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BA1C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</w:p>
    <w:p w14:paraId="175D23B0">
      <w:pPr>
        <w:pStyle w:val="2"/>
        <w:rPr>
          <w:rFonts w:hint="eastAsia"/>
        </w:rPr>
      </w:pPr>
    </w:p>
    <w:p w14:paraId="47EAA1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</w:p>
    <w:p w14:paraId="79ED22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关于《汕尾市陆河县“绿水青山就是金山银山”实践创新基地建设实施方案（修编）》的起草说明</w:t>
      </w:r>
    </w:p>
    <w:p w14:paraId="36E527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eastAsia" w:ascii="仿宋" w:hAnsi="仿宋" w:eastAsia="仿宋"/>
          <w:color w:val="auto"/>
          <w:sz w:val="32"/>
          <w:szCs w:val="32"/>
        </w:rPr>
      </w:pPr>
    </w:p>
    <w:p w14:paraId="4B52A821"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645" w:leftChars="0"/>
        <w:textAlignment w:val="auto"/>
        <w:rPr>
          <w:rFonts w:hint="eastAsia"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一、起草</w:t>
      </w:r>
      <w:r>
        <w:rPr>
          <w:rFonts w:hint="eastAsia" w:ascii="黑体" w:hAnsi="黑体" w:eastAsia="黑体"/>
          <w:color w:val="auto"/>
          <w:sz w:val="32"/>
          <w:szCs w:val="32"/>
        </w:rPr>
        <w:t>背景</w:t>
      </w:r>
    </w:p>
    <w:p w14:paraId="784DE9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“绿水青山就是金山银山”（以下简称“两山”）是习近平生态文明思想的主要理论基础和重要组成部分。2015年3月，中央政治局审议通过的《关于加快推进生态文明建设的意见》，把“坚持绿水青山就是金山银山”正式写入中央文件。2017年10月，“必须树立和践行绿水青山就是金山银山的理念”被写进党的十九大报告，“增强绿水青山就是金山银山的意识”被写进新修订的党章，成为党的重要执政理念。“两山”理念深刻阐述了人与自然对立统一的关系，揭示了经济社会发展与资源生态环境的辩证关系，为我国走向生态文明新时代和实现可持续发展指明了方向。</w:t>
      </w:r>
    </w:p>
    <w:p w14:paraId="74D5ED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陆河县作为国家重点生态功能区、汕尾市北部生态保护区，长期以来牢固树立“绿水青山就是金山银山”理念，统筹推进“五位一体”总体布局，协调推进“四个全面”战略布局，生态保护、生态治理、生态建设“三管齐下”，聚焦生态环境治理，深入打好污染防治攻坚战，绿水青山就是金山银山实践探索基础扎实，生态建设实现新变化，经济运行稳中有进、社会事业稳中向好。生态环境质量在广东名列前茅，依托生态资源发展生态经济推动绿色发展基础更牢，生态环境保护带动经济发展水平和质量显著提升，人均收入明显提高，生态环境保护与经济发展同步推进，绿水青山与金山银山互促共进成效明显。获得全国农民合作社质量提升整县推进试点县、中国营商环境百佳示范县、全国村庄清洁行动先进县、全国“四好农村路”示范县、中国建筑装饰之乡、中国农村水电之乡、中国楹联之乡、中国十大诗意小城、全国卫生城市、中国青梅之乡、中国生态养生之乡称号。为国家重点生态功能区实践“绿水青山就是金山银山”提供了可借鉴、可推广的宝贵经验！</w:t>
      </w:r>
    </w:p>
    <w:p w14:paraId="762656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依据《“绿水青山就是金山银山”实践创新基地建设管理规程（试行）》“申报‘两山’基地的地区应当编制“两山”基地建设实施方案，并由地方人民政府发布实施。”根据广东省生态环境厅评审流程，需要获得省生态环境厅向生态环境部“两山”推荐名额，算通过评审。目前全省“两山”创建竞争激烈，为进一步体现我县“两山”实践特色，提高我县“两山”创建竞争力，特对“两山”基地建设实施方案进行修编。</w:t>
      </w:r>
    </w:p>
    <w:p w14:paraId="636825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default" w:ascii="仿宋_GB2312" w:hAnsi="仿宋_GB2312" w:eastAsia="黑体" w:cs="仿宋_GB2312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二、起草</w:t>
      </w:r>
      <w:bookmarkStart w:id="0" w:name="_GoBack"/>
      <w:bookmarkEnd w:id="0"/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依据</w:t>
      </w:r>
    </w:p>
    <w:p w14:paraId="3345E9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依据《“绿水青山就是金山银山”实践创新基地建设管理规程（试行）》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第五条和附件1“绿水青山就是金山银山”实践创新基地建设实施方案编制大纲，附件2“两山指数”评估指标体系等要求编制《实施方案（修编）》</w:t>
      </w:r>
      <w:r>
        <w:rPr>
          <w:rFonts w:hint="eastAsia" w:ascii="仿宋_GB2312" w:hAnsi="仿宋_GB2312" w:eastAsia="仿宋_GB2312" w:cs="仿宋_GB2312"/>
          <w:bCs/>
          <w:color w:val="auto"/>
          <w:kern w:val="2"/>
          <w:sz w:val="32"/>
          <w:szCs w:val="32"/>
          <w:lang w:val="en-US" w:eastAsia="zh-CN" w:bidi="ar-SA"/>
        </w:rPr>
        <w:t>。</w:t>
      </w:r>
    </w:p>
    <w:p w14:paraId="21534E4D"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645" w:leftChars="0"/>
        <w:textAlignment w:val="auto"/>
        <w:rPr>
          <w:rFonts w:hint="eastAsia"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三、</w:t>
      </w:r>
      <w:r>
        <w:rPr>
          <w:rFonts w:hint="eastAsia" w:ascii="黑体" w:hAnsi="黑体" w:eastAsia="黑体"/>
          <w:color w:val="auto"/>
          <w:sz w:val="32"/>
          <w:szCs w:val="32"/>
        </w:rPr>
        <w:t>主要内容</w:t>
      </w:r>
    </w:p>
    <w:p w14:paraId="234BEF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方案</w:t>
      </w:r>
      <w:r>
        <w:rPr>
          <w:rFonts w:hint="eastAsia" w:ascii="仿宋_GB2312" w:hAnsi="仿宋_GB2312" w:eastAsia="仿宋_GB2312" w:cs="仿宋_GB2312"/>
          <w:sz w:val="32"/>
          <w:szCs w:val="32"/>
        </w:rPr>
        <w:t>共分为建设背景与意义、区域概况、“两山”实践探索成效与问题分析、总体思路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、重点任务、工程项目、保障措施</w:t>
      </w:r>
      <w:r>
        <w:rPr>
          <w:rFonts w:hint="eastAsia" w:ascii="仿宋_GB2312" w:hAnsi="仿宋_GB2312" w:eastAsia="仿宋_GB2312" w:cs="仿宋_GB2312"/>
          <w:sz w:val="32"/>
          <w:szCs w:val="32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七部分</w:t>
      </w:r>
      <w:r>
        <w:rPr>
          <w:rFonts w:hint="eastAsia" w:ascii="仿宋_GB2312" w:hAnsi="仿宋_GB2312" w:eastAsia="仿宋_GB2312" w:cs="仿宋_GB2312"/>
          <w:sz w:val="32"/>
          <w:szCs w:val="32"/>
        </w:rPr>
        <w:t>内容。</w:t>
      </w:r>
    </w:p>
    <w:p w14:paraId="3D0A3F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建设背景与意义，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主要提出“两山”基地建设着重于“多模式”下两山转化路径的探索，极大丰富了“绿水青山就是金山银山”的思想内涵。开展“两山”基地建设，已成为各地探索打通“两山”转化路径的一致行动，将为全国各地推进生态文明建设树立标杆和样板，具有重要的示范引领作用。创建国家“两山”基地，是陆河县委、县政府贯彻落实习近平生态文明思想的责任担当和实际行动。提高政治站位，把“两山”基地建设作为一项重要政治任务，坚持把生态文明建设作为区域发展的根本大计，把良好生态环境作为最普惠的民生福祉，坚决扛起生态环境保护的政治责任，走绿色发展之路，全力打通绿水青山向金山银山的转化通道。</w:t>
      </w:r>
    </w:p>
    <w:p w14:paraId="3AF94F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区域概况，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主要介绍陆河县地理位置，自然环境，资源利用、社会经济的基本概况。更新了气候特征、森林资源、土地资源、旅游资源与生态文明品牌等数据。</w:t>
      </w:r>
    </w:p>
    <w:p w14:paraId="4DF3A4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“两山”实践探索成效与问题分析，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包括“两山”实践探索进展与成效、存在主要问题和挑战分析和典型案例。</w:t>
      </w:r>
    </w:p>
    <w:p w14:paraId="0437C6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典型案例根据国家发布“两山”转化典型案例思路进行优化，并对最新的数据进行更新，由于有些案例相关数据缺乏，删除了红锥林生态公园与火山峰森林公园案例，非遗案例、水唇镇案例、油柑、南药，蜂蜜产业等案例。增加了螺洞村，与甘薯产业案例。</w:t>
      </w:r>
    </w:p>
    <w:p w14:paraId="341EA3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总体思路，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主要提出以习近平生态文明思想为指导，全面贯彻党的二十大精神，牢固树立和践行“绿水青山就是金山银山”理念。立足陆河的资源禀赋、区位优势和发展基础，着眼于未来，全面接轨深圳，加快融入“湾区带”新发展格局，努力将陆河打造成为粤港澳大湾区美丽大花园、绿色高质量发展示范县。基本原则为尊重自然，生态优先；绿色发展，点绿成金；生态惠民，共建共享；创新机制，探索模式。</w:t>
      </w:r>
    </w:p>
    <w:p w14:paraId="7C3C34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总体目标是围绕陆河创建“两山”基地的总体目标，聚焦生态立县，森林生态优势，突出绿色发展，立足于绿水青山，打通转化路径，走出一条既保护生态又富裕百姓的绿色发展之路。通过““两山”基地建设，到2025年生态环境质量进一步改善，基本形成区域“山水林田湖草”生态系统的统筹保护和有机整体，生态产品供给能力得到稳步提升，各产业绿色发展业态趋于成熟，生态文化和生态制度基本完备，人民群众具有充分的幸福感和获得感。</w:t>
      </w:r>
    </w:p>
    <w:p w14:paraId="4D008A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《“绿水青山就是金山银山”实践创新基地建设管理规程（试行）》，目前“两山指数”评估指标包含构筑绿水青山、推动“两山”转化、建立长效制度三大方面，计20个建设指标。根据陆河县实际，进行了评估，拟建设20项指标。并对指标内容和数据进行修正。</w:t>
      </w:r>
    </w:p>
    <w:p w14:paraId="22CD90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重点任务，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主要提出加强自然生态空间管控，守住绿水青山；提升生态产品供给水平，呵护绿水青山；拓宽“两山”转化路径，壮大金山银山；创新绿色发展体制机制，量化绿水青山；打造陆河特色绿色品牌，共享金山银山等章节。</w:t>
      </w:r>
    </w:p>
    <w:p w14:paraId="02ABBE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工程项目，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初步确定陆河县“两山”基地建设重点工程28项，包含生态功能提升工程、环境质量改善工程、推动“两山”转化工程和生态制度创新工程，共四大类。</w:t>
      </w:r>
    </w:p>
    <w:p w14:paraId="75256A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保障措施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包括加强组织领导，落实目标责任，强化监督考核，加强资金保障，强化科技支撑，加强宣传教育，强化人才建设等内容。增加了“绿美陆河”建设内容，为使正文更简明，将指标分析移为附件2。</w:t>
      </w:r>
    </w:p>
    <w:p w14:paraId="69AD9F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5EA15245">
      <w:pPr>
        <w:pStyle w:val="2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6B9C184D">
      <w:pPr>
        <w:rPr>
          <w:rFonts w:hint="eastAsia"/>
          <w:lang w:val="en-US" w:eastAsia="zh-CN"/>
        </w:rPr>
      </w:pPr>
    </w:p>
    <w:p w14:paraId="224A1679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 xml:space="preserve">                汕尾市生态环境局陆河分局</w:t>
      </w:r>
    </w:p>
    <w:p w14:paraId="45701061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 xml:space="preserve">                 2023年6月15日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0ED4B9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FFBC51E"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FFBC51E"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RkYjAxZmMzNWVlNzE5ZjY3ZGEyMjQ5YTE3OTBkMjUifQ=="/>
  </w:docVars>
  <w:rsids>
    <w:rsidRoot w:val="00692BB7"/>
    <w:rsid w:val="00140DED"/>
    <w:rsid w:val="004E3E60"/>
    <w:rsid w:val="00692BB7"/>
    <w:rsid w:val="009F3E9E"/>
    <w:rsid w:val="00A66164"/>
    <w:rsid w:val="00AA6274"/>
    <w:rsid w:val="00CA1EEF"/>
    <w:rsid w:val="00CF6AB3"/>
    <w:rsid w:val="00E12652"/>
    <w:rsid w:val="01C57D17"/>
    <w:rsid w:val="057D7D3A"/>
    <w:rsid w:val="08030185"/>
    <w:rsid w:val="09DB585C"/>
    <w:rsid w:val="0C4A598B"/>
    <w:rsid w:val="114E23AD"/>
    <w:rsid w:val="11C813BA"/>
    <w:rsid w:val="1558274D"/>
    <w:rsid w:val="168A1B7D"/>
    <w:rsid w:val="19B37EA0"/>
    <w:rsid w:val="20E315EB"/>
    <w:rsid w:val="23A75364"/>
    <w:rsid w:val="25044218"/>
    <w:rsid w:val="2E175568"/>
    <w:rsid w:val="2F60237A"/>
    <w:rsid w:val="30CE6E90"/>
    <w:rsid w:val="34405134"/>
    <w:rsid w:val="39641E83"/>
    <w:rsid w:val="3BB90C59"/>
    <w:rsid w:val="3CD36CC4"/>
    <w:rsid w:val="3D136D96"/>
    <w:rsid w:val="3F1172EF"/>
    <w:rsid w:val="423D72D5"/>
    <w:rsid w:val="456D7F60"/>
    <w:rsid w:val="474875F6"/>
    <w:rsid w:val="5787320B"/>
    <w:rsid w:val="5AE31AAC"/>
    <w:rsid w:val="5BE96727"/>
    <w:rsid w:val="67DD0049"/>
    <w:rsid w:val="6B9A5DD5"/>
    <w:rsid w:val="7180396E"/>
    <w:rsid w:val="74E3619A"/>
    <w:rsid w:val="7A6C7F40"/>
    <w:rsid w:val="7C910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3"/>
    <w:basedOn w:val="1"/>
    <w:next w:val="1"/>
    <w:unhideWhenUsed/>
    <w:qFormat/>
    <w:uiPriority w:val="9"/>
    <w:pPr>
      <w:spacing w:beforeAutospacing="1" w:after="0" w:afterAutospacing="1" w:line="240" w:lineRule="auto"/>
      <w:ind w:firstLine="0" w:firstLineChars="0"/>
      <w:jc w:val="left"/>
      <w:outlineLvl w:val="2"/>
    </w:pPr>
    <w:rPr>
      <w:rFonts w:ascii="Times New Roman" w:hAnsi="Times New Roman" w:eastAsia="仿宋_GB2312" w:cs="Times New Roman"/>
      <w:b/>
      <w:kern w:val="0"/>
      <w:sz w:val="32"/>
      <w:szCs w:val="32"/>
      <w:lang w:bidi="ar"/>
    </w:rPr>
  </w:style>
  <w:style w:type="paragraph" w:styleId="2">
    <w:name w:val="heading 6"/>
    <w:basedOn w:val="1"/>
    <w:next w:val="1"/>
    <w:unhideWhenUsed/>
    <w:qFormat/>
    <w:uiPriority w:val="0"/>
    <w:pPr>
      <w:keepNext/>
      <w:keepLines/>
      <w:spacing w:before="240" w:beforeLines="0" w:beforeAutospacing="0" w:after="64" w:afterLines="0" w:afterAutospacing="0" w:line="317" w:lineRule="auto"/>
      <w:outlineLvl w:val="5"/>
    </w:pPr>
    <w:rPr>
      <w:rFonts w:ascii="Arial" w:hAnsi="Arial" w:eastAsia="黑体"/>
      <w:b/>
      <w:sz w:val="24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customStyle="1" w:styleId="10">
    <w:name w:val="两山正文"/>
    <w:basedOn w:val="1"/>
    <w:qFormat/>
    <w:uiPriority w:val="0"/>
    <w:pPr>
      <w:spacing w:line="360" w:lineRule="auto"/>
      <w:ind w:firstLine="640" w:firstLineChars="200"/>
    </w:pPr>
    <w:rPr>
      <w:rFonts w:ascii="Times New Roman" w:hAnsi="Times New Roman" w:eastAsia="仿宋_GB2312" w:cs="Times New Roman"/>
      <w:bCs/>
      <w:sz w:val="32"/>
    </w:rPr>
  </w:style>
  <w:style w:type="character" w:customStyle="1" w:styleId="11">
    <w:name w:val="页眉 Char"/>
    <w:basedOn w:val="8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List Paragraph"/>
    <w:basedOn w:val="1"/>
    <w:qFormat/>
    <w:uiPriority w:val="34"/>
    <w:pPr>
      <w:ind w:firstLine="420" w:firstLineChars="200"/>
    </w:pPr>
  </w:style>
  <w:style w:type="paragraph" w:customStyle="1" w:styleId="14">
    <w:name w:val="样式1"/>
    <w:basedOn w:val="1"/>
    <w:qFormat/>
    <w:uiPriority w:val="0"/>
    <w:pPr>
      <w:spacing w:before="100" w:after="100" w:line="360" w:lineRule="auto"/>
      <w:jc w:val="center"/>
    </w:pPr>
    <w:rPr>
      <w:rFonts w:ascii="黑体" w:hAnsi="黑体" w:eastAsia="黑体" w:cs="仿宋_GB2312"/>
      <w:sz w:val="44"/>
      <w:szCs w:val="44"/>
    </w:rPr>
  </w:style>
  <w:style w:type="paragraph" w:customStyle="1" w:styleId="15">
    <w:name w:val="两山标题一"/>
    <w:basedOn w:val="16"/>
    <w:qFormat/>
    <w:uiPriority w:val="0"/>
    <w:pPr>
      <w:jc w:val="left"/>
    </w:pPr>
    <w:rPr>
      <w:sz w:val="32"/>
    </w:rPr>
  </w:style>
  <w:style w:type="paragraph" w:customStyle="1" w:styleId="16">
    <w:name w:val="玲标题一"/>
    <w:basedOn w:val="3"/>
    <w:qFormat/>
    <w:uiPriority w:val="0"/>
    <w:pPr>
      <w:pageBreakBefore/>
      <w:spacing w:before="100" w:after="100" w:line="360" w:lineRule="auto"/>
      <w:jc w:val="center"/>
    </w:pPr>
    <w:rPr>
      <w:rFonts w:ascii="Times New Roman" w:hAnsi="Times New Roman" w:eastAsia="黑体" w:cs="Times New Roman"/>
      <w:szCs w:val="32"/>
    </w:rPr>
  </w:style>
  <w:style w:type="paragraph" w:customStyle="1" w:styleId="17">
    <w:name w:val="两山标题二新"/>
    <w:basedOn w:val="1"/>
    <w:qFormat/>
    <w:uiPriority w:val="0"/>
    <w:pPr>
      <w:spacing w:before="100" w:after="100" w:line="360" w:lineRule="auto"/>
      <w:jc w:val="left"/>
      <w:outlineLvl w:val="1"/>
    </w:pPr>
    <w:rPr>
      <w:rFonts w:ascii="Times New Roman" w:hAnsi="Times New Roman" w:eastAsia="黑体" w:cs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5</Pages>
  <Words>2385</Words>
  <Characters>2402</Characters>
  <Lines>18</Lines>
  <Paragraphs>5</Paragraphs>
  <TotalTime>0</TotalTime>
  <ScaleCrop>false</ScaleCrop>
  <LinksUpToDate>false</LinksUpToDate>
  <CharactersWithSpaces>2435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2017-10-20T12:12:00Z</dcterms:created>
  <dc:creator>lrz</dc:creator>
  <cp:lastModifiedBy>陈嘉新</cp:lastModifiedBy>
  <cp:lastPrinted>2022-07-05T09:04:00Z</cp:lastPrinted>
  <dcterms:modified xsi:type="dcterms:W3CDTF">2024-08-15T07:36:59Z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7B01335960AD4F6B8BCDE6A7E2C050C8</vt:lpwstr>
  </property>
</Properties>
</file>