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粤港澳大湾区500千伏外环东段工程（陆河段）塔基占地面附着物拆迁补偿方案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为保障我省重点电力建设项目粤港澳大湾区500千伏外环东段工程（陆河段）建设工程用地，妥善处理好国家、集体、农民的利益关系，确保该线路在我县区域占地青赔拆迁工作顺利实施，根据《中华人民共和国土地管理法》《广东省实施〈中华人民共和国土地管理法〉办法》《广东省征地补偿保护标准》《广东省交通基础设施建设征地拆迁补偿实施办法》《汕尾市人民政府关于公布实施汕尾市征收农用地区片综合地价的公告》及《陆河县征收土地补偿实施办法（2017年修订调整）》等有关法律法规的规定，结合我县实际，制定本补偿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一、项目建设基本情况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粤港澳大湾区500千伏外环东段工程是2022年广东省重点项目，其中苏区至汕尾线路陆河段涉及南万镇（桂培村委、长营村委、梅角村委），上护镇（护东村委、洋岭村委、鸡坑村委），河口镇（云峰村委、北中村委、田墩村委、西湖村委）；汕尾至陆丰线路陆河段涉及河口镇（北龙村委、剑门村委、西湖村委）。根据国家有关法律、法规和省电力设施设计及安全要求，电网边线向外侧延伸20米所形成的两边平行线内的区域，为送电线路安全保护区。上述范围为电网线路工程建设工程用地范围（具体范围以设计红线图为准，已征用的除外），本工程线路路径已经沿途镇政府确认，不得变更，塔基位置一经勘定，不予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二、征地拆迁工作机构和要求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为加快粤港澳大湾区500千伏外环东段工程（陆河段）征（用）地拆迁工作，各有关镇和相关单位要切实做好如下几项工作：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要高度重视，各有关镇要成立线路建设工程征（用）地拆迁工作小组，指定一名主要领导任组长，落实一名专职人员具体负责，并抽调精干人员组成专门队伍，集中时间、集中力量做好征地拆迁补偿工作。要切实提高对粤港澳大湾区500千伏外环东段工程（陆河段）建设工作重要性的认识，把征地拆迁补偿工作摆上重要工作日程，抓实抓好，确保征地拆迁任务圆满完成。县自然资源局、住房和城乡建设局、农业</w:t>
      </w:r>
      <w:bookmarkStart w:id="0" w:name="_GoBack"/>
      <w:bookmarkEnd w:id="0"/>
      <w:r>
        <w:rPr>
          <w:rFonts w:hint="eastAsia" w:ascii="仿宋_GB2312" w:hAnsi="仿宋_GB2312" w:eastAsia="仿宋_GB2312" w:cs="仿宋_GB2312"/>
          <w:b w:val="0"/>
          <w:bCs w:val="0"/>
          <w:color w:val="auto"/>
          <w:sz w:val="32"/>
          <w:szCs w:val="32"/>
          <w:lang w:val="en-US" w:eastAsia="zh-CN"/>
        </w:rPr>
        <w:t>农村局、林业局、供电局等部门要全力支持、配合项目用地拆迁工作。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（二）要加大宣传力度，广泛宣传电网建设工程对当地经济和社会发展的重大作用，教育广大群众顾全大局，服从规划和建设的需要，支持电网建设。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征地拆迁工作涉及面广、政策性强，关系到千家万户，关系到群众切身利益，必须加大宣传力度，充分宣传征地拆迁有关政策及法律法规，使征地拆迁工作家喻户晓、人人皆知。及时答复群众反映的各类问题，耐心细致地做好群众思想工作，要引导当地的干部群众识大体、顾大局，提高遵纪守法意识，积极支持、参与、配合电网建设，主动搞好拆迁工作。对影响、阻挠征地拆迁工作的典型案件，要坚决进行曝光，引导广大群众树立配合支持征地拆迁工作光荣、无理取闹可耻的思想，营造良好的舆论氛围，形成强大合力，推动征地拆迁工作顺利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各有关镇要按照设计方案的征地拆迁控制图和设计红线图对征地范围的土地及地上附着物进行分类、登记、造册，根据经征地拆迁补偿工作小组确认的数量、标准和权属单位签订征地拆迁协议。征（用）地和青苗、拆迁补偿费用按相关规定拨到镇设立的专户，各镇再按协议书的补偿金额及时全额发至村民和业主手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（四）在征地拆迁过程中，要依法依规，尤其要严格执行征地拆迁补偿标准，严禁将征地补偿款截留或挪作他用。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（五）违法建筑的处理办法。凡在本县范围内违法建设的建筑物、构筑物一律不给予补偿，属非法买卖土地上建设的建筑物、构筑物一律不给予补偿。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三、用地补偿工作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项目用地手续由项目建设单位报自然资源部门依法依规办理；占用林地手续由项目建设单位报林业部门按有关规定办理；占地、拆迁面积（数量）由所在镇、村、建设单位、施工单位共同确认；征地及地面附着物拆迁补偿工作由线路沿途所经过镇政府负责组织实施，费用包干，由汕尾市供电局与各镇政府签订合同。各种相关手续须符合国家相关法律、法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征地及地面附着物的拆迁补偿工作包括：塔基永久占用、组塔、架线、接地网敷设、施工临时用地（含道路）及线行清理等设计的各项补偿费用。包括：建筑物、构筑物拆除补偿、迁坟补偿、青苗（林木）及农田复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四、各类用地拆迁补偿标准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（一）用地补偿标准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根据《汕尾市人民政府关于公布实施汕尾市征收农用地区片综合地价的公告》《陆河县征收土地补偿实施办法（2017年修订调整）》等文件规定，参照临近区、县的标准，结合我县实际，规定如下：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按实际征用土地的地类、面积，以“就高不就低”的原则进行补偿，补偿款一次性直接付给被征地单位，具体标准按陆河县对应地区标准执行。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征收农村集体所有的土地的补偿费和安置补助费，按实际征收土地的地类和测绘面积，一次性直接支付给被征地单位。补偿标准按《汕尾市人民政府关于公布实施汕尾市征收农用地区片综合地价的公告》《陆河县征收土地补偿实施办法（2017年修订调整）》等文件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其它土地的补偿：经批准取得国有土地使用证的建设用地，按取得建设用地的价格加上经过审核确认的对土地“三通一平”的实际投入费用酌情补偿；跨越河流、公路和使用未开发国有荒山、荒地、滩涂等不予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经批准使用国有农、林、牧、渔的土地，导致原使用单位受到损失的，应当根据使用单位的投入情况，按不高于征收集体所有土地的同类土地补偿费的标准给予适当补偿；青苗和地上附着物补偿费，按征收农民集体所有土地办法处理。（具体补偿标准见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（二）青苗、果（林）木补偿标准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属短期作物，按一造产值补偿；属多年生作物，按年产值5倍补偿，并直接付给权属人（或土地承包经营权人）。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属规模所种果树，按每亩补偿标准计算补偿，属零星的果树按每株的补偿标准计算补偿。对果林园地由不合理间（套）种的，按“补主不补次、补一不补二”的原则执行。（具体补偿标准见附件2）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（三）地面建筑（附着物）、坟墓拆迁补偿标准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根据《中华人民共和国土地管理法》《广东省实施〈中华人民共和国土地管理法〉办法》《汕尾市人民政府关于公布实施汕尾市征收农用地区片综合地价的公告》及《陆河县征收土地补偿实施办法（2017年修订调整）》等有关法律法规的规定，结合《500千伏甲湖湾电厂至福园送电线路工程（汕尾段）塔基占地地面附着物拆迁补偿方案》的补偿标准确定本次补偿标准，补偿方式原则上按实际拆迁面积（数量）实行货币补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1.乡镇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lang w:val="en-US" w:eastAsia="zh-CN"/>
        </w:rPr>
        <w:t>1）钢筋混凝土框架结构楼房：1800.00元/</w:t>
      </w:r>
      <w:r>
        <w:rPr>
          <w:rFonts w:hint="eastAsia" w:ascii="仿宋_GB2312" w:hAnsi="仿宋_GB2312" w:eastAsia="仿宋_GB2312" w:cs="仿宋_GB2312"/>
          <w:b w:val="0"/>
          <w:bCs w:val="0"/>
          <w:color w:val="auto"/>
          <w:sz w:val="32"/>
          <w:szCs w:val="32"/>
          <w:vertAlign w:val="baseline"/>
          <w:lang w:val="en-US" w:eastAsia="zh-CN"/>
        </w:rPr>
        <w:t>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2）混合结构楼房：1350.00元/平方米；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3）砖、瓦、桁结构的瓦房：800.00元/平方米；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4）砖体结构铁皮房：装饰完善的500.00.00元/平方米，装饰不完善的400.00元/平方米；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5）简易结构砖瓦房（含猪舍类，2.2米以下）：450.00元/平方米；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6）简易棚寮（油毡、竹棚类）：100.00元/平方米；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7）围墙：120.00元/平方米；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8）水泥结构（晒谷坪、庭院）：100.00元/平方米；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9）化粪池（按平面面积计）：800.00元/平方米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10）水井：直径1.2米以上3000.00元/个，直径1.2米以下2000.00元/个；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11）沼气池：大6000.00元/个，小4000.00元/个；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12）搬迁费：在规定时间内拆搬迁的按补偿总额10%给予奖励补助，不拆搬迁不给予补偿。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13）对补偿安置出现争议不能达成协议的，由第三方评估公司按程序进行评估，评估报告经专家认定后给予补偿。被拆迁人如对评估结果不满意也可以自行委托评估公司评估，双方评估结果经相关专家论证认定后给予补偿，或申请县一级人民法院依照法律程序强制拆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2.县城（含河田镇的五个居委、八个村委范围）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1）</w:t>
      </w:r>
      <w:r>
        <w:rPr>
          <w:rFonts w:hint="eastAsia" w:ascii="仿宋_GB2312" w:hAnsi="仿宋_GB2312" w:eastAsia="仿宋_GB2312" w:cs="仿宋_GB2312"/>
          <w:b w:val="0"/>
          <w:bCs w:val="0"/>
          <w:color w:val="auto"/>
          <w:sz w:val="32"/>
          <w:szCs w:val="32"/>
          <w:lang w:val="en-US" w:eastAsia="zh-CN"/>
        </w:rPr>
        <w:t>钢筋混凝土框架结构楼房：1960.00元/</w:t>
      </w:r>
      <w:r>
        <w:rPr>
          <w:rFonts w:hint="eastAsia" w:ascii="仿宋_GB2312" w:hAnsi="仿宋_GB2312" w:eastAsia="仿宋_GB2312" w:cs="仿宋_GB2312"/>
          <w:b w:val="0"/>
          <w:bCs w:val="0"/>
          <w:color w:val="auto"/>
          <w:sz w:val="32"/>
          <w:szCs w:val="32"/>
          <w:vertAlign w:val="baseline"/>
          <w:lang w:val="en-US" w:eastAsia="zh-CN"/>
        </w:rPr>
        <w:t>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2）混合结构楼房：1500.00元/平方米；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3）砖、瓦、桁结构的瓦房：900.00元/平方米；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4）其他结构的建筑物、构筑物：同乡镇的补偿标准一致。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3.坟墓迁移补偿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坟墓迁移补偿按大中小规格给予补偿，3.6尺（含3.6尺）以上为大坟，2.6尺（含2.6尺）至3.6尺为中坟，2.6尺以下为小坟，分别为12000.00元/个、8000.00元/个、4000元/个；骨坛（金斗）每个补偿600.00元。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坟墓的迁移补偿范围：塔基占地范围、临时施工场地范围内及影响线路施工需迁移的坟墓。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sz w:val="32"/>
          <w:szCs w:val="32"/>
          <w:vertAlign w:val="baseline"/>
          <w:lang w:val="en-US" w:eastAsia="zh-CN"/>
        </w:rPr>
      </w:pPr>
      <w:r>
        <w:rPr>
          <w:rFonts w:hint="eastAsia" w:ascii="楷体" w:hAnsi="楷体" w:eastAsia="楷体" w:cs="楷体"/>
          <w:b w:val="0"/>
          <w:bCs w:val="0"/>
          <w:color w:val="auto"/>
          <w:sz w:val="32"/>
          <w:szCs w:val="32"/>
          <w:vertAlign w:val="baseline"/>
          <w:lang w:val="en-US" w:eastAsia="zh-CN"/>
        </w:rPr>
        <w:t>（四）临时用地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1.工程建设确需临时使用土地的，由施工单位提出临时用地方案，经所在镇审核同意；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2.临时使用土地补偿工作由各镇负责落实，并与所有权人签订临时使用土地协议；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3.临时使用土地租金，按一年租金2.5元/平方米计付；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4.在施工过程中路道、桥涵、水管等因施工、运输损坏的，由施工单位负责修复。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五、工作经费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为便于沿线各镇开展征（用）地拆迁等各项相关工作，根据国家相关政策和我县实际，线路沿线各镇（含村）工作经费按每座塔基2000元计算（含塔基和架线），下拨给各镇、村作为征（用）地拆迁工作经费。综合协调工作经费根据实际情况另行拨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征（用）地范围内的通信设施、水利设施、地下供水管（网）、电缆光缆等，由建设单位和所属业主单位签订合同，在限定的时间内由所属业主单位自行迁移，迁移费用由建设单位与业主单位协商后直接支付。所在镇政府配合做好迁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2.征（用）地拆迁公告发布后，被征（用）地单位和个人在被征（用）地范围内抢种的农作物、抢建的构（建）筑物、抢挖的鱼池及抢修的坟墓等不列入补偿范围。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3.在征（用）地公告发布后，被征（用）地或被拆迁物的所有权人、使用人应当在公告规定期限内，到公告制定的地点办理征（用）地拆迁补偿登记。不按规定按时办理登记的，不列入补偿范围。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对个别漫天要价、恶意阻挠征地拆迁工作，拒不接受征（用）地、青苗和地上附着物的补偿标准的，由镇政府按规定确定征（用）地拆迁补偿金，通过公证机关实行证据持存，将其征地或青苗、地上附着物的补偿款存入银行专户，并告知当事人后，强制处理其青苗及地上附着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5.对征（用）地中权属有争议的土地，由镇政府及时按程序调处争议，确定权属，将征（用）地拆迁补偿款付给权属单位或个人。各争议方不得以争议为由阻挠征（用）地。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被征地所在镇及各村（社区）委会应当把用地拆迁补偿标准、补偿办法等向被征地单位和个人公开，确保被补偿人应得的补偿费及时足额拨付到户，不得截留、挪用和代扣各种收费。各级监察、财政、审计部门要加强行政监督，确保各项征地款项的合法、合理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凡扰乱、阻碍破坏项目建设，给国家造成损失的，依法追究当事人的经济、法律责任。凡违反土地管理法律、法规，阻挠或妨碍土地管理执法人员依法履行职责，阻挠依法取得土地使用权的单位正常施建的，由公安机关依照《中华人民共和国治安管理处罚法》予以处罚，构成犯罪的，由司法机关依法追究刑事责任。</w:t>
      </w:r>
    </w:p>
    <w:p>
      <w:pPr>
        <w:rPr>
          <w:rFonts w:hint="default" w:ascii="仿宋_GB2312" w:hAnsi="仿宋_GB2312" w:eastAsia="仿宋_GB2312" w:cs="仿宋_GB2312"/>
          <w:b w:val="0"/>
          <w:bCs w:val="0"/>
          <w:color w:val="auto"/>
          <w:sz w:val="32"/>
          <w:szCs w:val="32"/>
          <w:lang w:val="en-US" w:eastAsia="zh-CN"/>
        </w:rPr>
        <w:sectPr>
          <w:pgSz w:w="11906" w:h="16838"/>
          <w:pgMar w:top="2098" w:right="1587" w:bottom="1928" w:left="1587" w:header="851" w:footer="992" w:gutter="0"/>
          <w:cols w:space="0" w:num="1"/>
          <w:rtlGutter w:val="0"/>
          <w:docGrid w:type="lines" w:linePitch="312" w:charSpace="0"/>
        </w:sectPr>
      </w:pPr>
      <w:r>
        <w:rPr>
          <w:rFonts w:hint="default" w:ascii="仿宋_GB2312" w:hAnsi="仿宋_GB2312" w:eastAsia="仿宋_GB2312" w:cs="仿宋_GB2312"/>
          <w:b w:val="0"/>
          <w:bCs w:val="0"/>
          <w:color w:val="auto"/>
          <w:sz w:val="32"/>
          <w:szCs w:val="32"/>
          <w:lang w:val="en-US" w:eastAsia="zh-CN"/>
        </w:rPr>
        <w:br w:type="page"/>
      </w:r>
    </w:p>
    <w:p>
      <w:pPr>
        <w:pStyle w:val="6"/>
        <w:bidi w:val="0"/>
        <w:jc w:val="left"/>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附件1</w:t>
      </w:r>
    </w:p>
    <w:p>
      <w:pPr>
        <w:pStyle w:val="6"/>
        <w:bidi w:val="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汕尾</w:t>
      </w:r>
      <w:r>
        <w:rPr>
          <w:rFonts w:hint="eastAsia" w:ascii="方正小标宋简体" w:hAnsi="方正小标宋简体" w:eastAsia="方正小标宋简体" w:cs="方正小标宋简体"/>
          <w:color w:val="auto"/>
          <w:sz w:val="44"/>
          <w:szCs w:val="44"/>
        </w:rPr>
        <w:t>市征收农用地区片综合地价表</w:t>
      </w:r>
    </w:p>
    <w:tbl>
      <w:tblPr>
        <w:tblStyle w:val="3"/>
        <w:tblW w:w="14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709"/>
        <w:gridCol w:w="717"/>
        <w:gridCol w:w="976"/>
        <w:gridCol w:w="837"/>
        <w:gridCol w:w="976"/>
        <w:gridCol w:w="979"/>
        <w:gridCol w:w="7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blHeader/>
          <w:jc w:val="center"/>
        </w:trPr>
        <w:tc>
          <w:tcPr>
            <w:tcW w:w="920" w:type="dxa"/>
            <w:vMerge w:val="restart"/>
            <w:noWrap w:val="0"/>
            <w:vAlign w:val="center"/>
          </w:tcPr>
          <w:p>
            <w:pPr>
              <w:widowControl/>
              <w:jc w:val="center"/>
              <w:rPr>
                <w:rFonts w:ascii="仿宋_GB2312" w:hAnsi="黑体" w:eastAsia="仿宋_GB2312" w:cs="宋体"/>
                <w:b/>
                <w:bCs/>
                <w:color w:val="auto"/>
                <w:kern w:val="0"/>
                <w:sz w:val="22"/>
                <w:szCs w:val="22"/>
              </w:rPr>
            </w:pPr>
            <w:r>
              <w:rPr>
                <w:rFonts w:hint="eastAsia" w:ascii="仿宋_GB2312" w:hAnsi="黑体" w:eastAsia="仿宋_GB2312" w:cs="宋体"/>
                <w:b/>
                <w:bCs/>
                <w:color w:val="auto"/>
                <w:kern w:val="0"/>
                <w:sz w:val="22"/>
                <w:szCs w:val="22"/>
              </w:rPr>
              <w:t>区域</w:t>
            </w:r>
          </w:p>
          <w:p>
            <w:pPr>
              <w:widowControl/>
              <w:jc w:val="center"/>
              <w:rPr>
                <w:rFonts w:ascii="仿宋_GB2312" w:hAnsi="Times New Roman" w:eastAsia="仿宋_GB2312"/>
                <w:b/>
                <w:bCs/>
                <w:color w:val="auto"/>
                <w:kern w:val="0"/>
                <w:sz w:val="22"/>
                <w:szCs w:val="22"/>
              </w:rPr>
            </w:pPr>
            <w:r>
              <w:rPr>
                <w:rFonts w:hint="eastAsia" w:ascii="仿宋_GB2312" w:hAnsi="黑体" w:eastAsia="仿宋_GB2312" w:cs="宋体"/>
                <w:b/>
                <w:bCs/>
                <w:color w:val="auto"/>
                <w:kern w:val="0"/>
                <w:sz w:val="22"/>
                <w:szCs w:val="22"/>
              </w:rPr>
              <w:t>名称</w:t>
            </w:r>
          </w:p>
        </w:tc>
        <w:tc>
          <w:tcPr>
            <w:tcW w:w="709" w:type="dxa"/>
            <w:vMerge w:val="restart"/>
            <w:noWrap w:val="0"/>
            <w:vAlign w:val="center"/>
          </w:tcPr>
          <w:p>
            <w:pPr>
              <w:widowControl/>
              <w:jc w:val="center"/>
              <w:rPr>
                <w:rFonts w:ascii="仿宋_GB2312" w:hAnsi="Times New Roman" w:eastAsia="仿宋_GB2312"/>
                <w:b/>
                <w:bCs/>
                <w:color w:val="auto"/>
                <w:kern w:val="0"/>
                <w:sz w:val="22"/>
                <w:szCs w:val="22"/>
              </w:rPr>
            </w:pPr>
            <w:r>
              <w:rPr>
                <w:rFonts w:hint="eastAsia" w:ascii="仿宋_GB2312" w:hAnsi="黑体" w:eastAsia="仿宋_GB2312"/>
                <w:b/>
                <w:bCs/>
                <w:color w:val="auto"/>
                <w:kern w:val="0"/>
                <w:sz w:val="22"/>
                <w:szCs w:val="22"/>
              </w:rPr>
              <w:t>区片编号</w:t>
            </w:r>
          </w:p>
        </w:tc>
        <w:tc>
          <w:tcPr>
            <w:tcW w:w="4485" w:type="dxa"/>
            <w:gridSpan w:val="5"/>
            <w:noWrap w:val="0"/>
            <w:vAlign w:val="center"/>
          </w:tcPr>
          <w:p>
            <w:pPr>
              <w:widowControl/>
              <w:jc w:val="center"/>
              <w:rPr>
                <w:rFonts w:ascii="仿宋_GB2312" w:hAnsi="Times New Roman" w:eastAsia="仿宋_GB2312"/>
                <w:b/>
                <w:bCs/>
                <w:color w:val="auto"/>
                <w:kern w:val="0"/>
                <w:sz w:val="22"/>
                <w:szCs w:val="22"/>
              </w:rPr>
            </w:pPr>
            <w:r>
              <w:rPr>
                <w:rFonts w:hint="eastAsia" w:ascii="仿宋_GB2312" w:hAnsi="黑体" w:eastAsia="仿宋_GB2312"/>
                <w:b/>
                <w:bCs/>
                <w:color w:val="auto"/>
                <w:kern w:val="0"/>
                <w:sz w:val="22"/>
                <w:szCs w:val="22"/>
              </w:rPr>
              <w:t>区片综合地价（万元</w:t>
            </w:r>
            <w:r>
              <w:rPr>
                <w:rFonts w:hint="eastAsia" w:ascii="仿宋_GB2312" w:hAnsi="Times New Roman" w:eastAsia="仿宋_GB2312"/>
                <w:b/>
                <w:bCs/>
                <w:color w:val="auto"/>
                <w:kern w:val="0"/>
                <w:sz w:val="22"/>
                <w:szCs w:val="22"/>
              </w:rPr>
              <w:t>/</w:t>
            </w:r>
            <w:r>
              <w:rPr>
                <w:rFonts w:hint="eastAsia" w:ascii="仿宋_GB2312" w:hAnsi="黑体" w:eastAsia="仿宋_GB2312"/>
                <w:b/>
                <w:bCs/>
                <w:color w:val="auto"/>
                <w:kern w:val="0"/>
                <w:sz w:val="22"/>
                <w:szCs w:val="22"/>
              </w:rPr>
              <w:t>亩）</w:t>
            </w:r>
          </w:p>
        </w:tc>
        <w:tc>
          <w:tcPr>
            <w:tcW w:w="7981" w:type="dxa"/>
            <w:vMerge w:val="restart"/>
            <w:noWrap w:val="0"/>
            <w:vAlign w:val="center"/>
          </w:tcPr>
          <w:p>
            <w:pPr>
              <w:widowControl/>
              <w:jc w:val="center"/>
              <w:rPr>
                <w:rFonts w:ascii="仿宋_GB2312" w:hAnsi="Times New Roman" w:eastAsia="仿宋_GB2312"/>
                <w:b/>
                <w:bCs/>
                <w:color w:val="auto"/>
                <w:kern w:val="0"/>
                <w:sz w:val="22"/>
                <w:szCs w:val="22"/>
              </w:rPr>
            </w:pPr>
            <w:r>
              <w:rPr>
                <w:rFonts w:hint="eastAsia" w:ascii="仿宋_GB2312" w:hAnsi="黑体" w:eastAsia="仿宋_GB2312"/>
                <w:b/>
                <w:bCs/>
                <w:color w:val="auto"/>
                <w:kern w:val="0"/>
                <w:sz w:val="22"/>
                <w:szCs w:val="22"/>
              </w:rPr>
              <w:t>区片范围描述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jc w:val="center"/>
        </w:trPr>
        <w:tc>
          <w:tcPr>
            <w:tcW w:w="920" w:type="dxa"/>
            <w:vMerge w:val="continue"/>
            <w:noWrap w:val="0"/>
            <w:vAlign w:val="center"/>
          </w:tcPr>
          <w:p>
            <w:pPr>
              <w:widowControl/>
              <w:jc w:val="left"/>
              <w:rPr>
                <w:rFonts w:ascii="仿宋_GB2312" w:hAnsi="Times New Roman" w:eastAsia="仿宋_GB2312"/>
                <w:b/>
                <w:bCs/>
                <w:color w:val="auto"/>
                <w:kern w:val="0"/>
                <w:sz w:val="22"/>
                <w:szCs w:val="22"/>
              </w:rPr>
            </w:pPr>
          </w:p>
        </w:tc>
        <w:tc>
          <w:tcPr>
            <w:tcW w:w="709" w:type="dxa"/>
            <w:vMerge w:val="continue"/>
            <w:noWrap w:val="0"/>
            <w:vAlign w:val="center"/>
          </w:tcPr>
          <w:p>
            <w:pPr>
              <w:widowControl/>
              <w:jc w:val="left"/>
              <w:rPr>
                <w:rFonts w:ascii="仿宋_GB2312" w:hAnsi="Times New Roman" w:eastAsia="仿宋_GB2312"/>
                <w:b/>
                <w:bCs/>
                <w:color w:val="auto"/>
                <w:kern w:val="0"/>
                <w:sz w:val="22"/>
                <w:szCs w:val="22"/>
              </w:rPr>
            </w:pPr>
          </w:p>
        </w:tc>
        <w:tc>
          <w:tcPr>
            <w:tcW w:w="717" w:type="dxa"/>
            <w:noWrap w:val="0"/>
            <w:vAlign w:val="center"/>
          </w:tcPr>
          <w:p>
            <w:pPr>
              <w:widowControl/>
              <w:jc w:val="center"/>
              <w:rPr>
                <w:rFonts w:ascii="仿宋_GB2312" w:hAnsi="Times New Roman" w:eastAsia="仿宋_GB2312"/>
                <w:b/>
                <w:bCs/>
                <w:color w:val="auto"/>
                <w:kern w:val="0"/>
                <w:sz w:val="22"/>
                <w:szCs w:val="22"/>
              </w:rPr>
            </w:pPr>
            <w:r>
              <w:rPr>
                <w:rFonts w:hint="eastAsia" w:ascii="仿宋_GB2312" w:hAnsi="黑体" w:eastAsia="仿宋_GB2312"/>
                <w:b/>
                <w:bCs/>
                <w:color w:val="auto"/>
                <w:kern w:val="0"/>
                <w:sz w:val="22"/>
                <w:szCs w:val="22"/>
              </w:rPr>
              <w:t>合计</w:t>
            </w:r>
          </w:p>
        </w:tc>
        <w:tc>
          <w:tcPr>
            <w:tcW w:w="976" w:type="dxa"/>
            <w:noWrap w:val="0"/>
            <w:vAlign w:val="center"/>
          </w:tcPr>
          <w:p>
            <w:pPr>
              <w:widowControl/>
              <w:jc w:val="center"/>
              <w:rPr>
                <w:rFonts w:ascii="仿宋_GB2312" w:hAnsi="黑体" w:eastAsia="仿宋_GB2312"/>
                <w:b/>
                <w:bCs/>
                <w:color w:val="auto"/>
                <w:kern w:val="0"/>
                <w:sz w:val="22"/>
                <w:szCs w:val="22"/>
              </w:rPr>
            </w:pPr>
            <w:r>
              <w:rPr>
                <w:rFonts w:hint="eastAsia" w:ascii="仿宋_GB2312" w:hAnsi="黑体" w:eastAsia="仿宋_GB2312"/>
                <w:b/>
                <w:bCs/>
                <w:color w:val="auto"/>
                <w:kern w:val="0"/>
                <w:sz w:val="22"/>
                <w:szCs w:val="22"/>
              </w:rPr>
              <w:t>土地</w:t>
            </w:r>
          </w:p>
          <w:p>
            <w:pPr>
              <w:widowControl/>
              <w:jc w:val="center"/>
              <w:rPr>
                <w:rFonts w:ascii="仿宋_GB2312" w:hAnsi="Times New Roman" w:eastAsia="仿宋_GB2312"/>
                <w:b/>
                <w:bCs/>
                <w:color w:val="auto"/>
                <w:kern w:val="0"/>
                <w:sz w:val="22"/>
                <w:szCs w:val="22"/>
              </w:rPr>
            </w:pPr>
            <w:r>
              <w:rPr>
                <w:rFonts w:hint="eastAsia" w:ascii="仿宋_GB2312" w:hAnsi="黑体" w:eastAsia="仿宋_GB2312"/>
                <w:b/>
                <w:bCs/>
                <w:color w:val="auto"/>
                <w:kern w:val="0"/>
                <w:sz w:val="22"/>
                <w:szCs w:val="22"/>
              </w:rPr>
              <w:t>补偿费</w:t>
            </w:r>
          </w:p>
        </w:tc>
        <w:tc>
          <w:tcPr>
            <w:tcW w:w="837" w:type="dxa"/>
            <w:noWrap w:val="0"/>
            <w:vAlign w:val="center"/>
          </w:tcPr>
          <w:p>
            <w:pPr>
              <w:widowControl/>
              <w:jc w:val="center"/>
              <w:rPr>
                <w:rFonts w:ascii="仿宋_GB2312" w:hAnsi="Times New Roman" w:eastAsia="仿宋_GB2312"/>
                <w:b/>
                <w:bCs/>
                <w:color w:val="auto"/>
                <w:kern w:val="0"/>
                <w:sz w:val="22"/>
                <w:szCs w:val="22"/>
              </w:rPr>
            </w:pPr>
            <w:r>
              <w:rPr>
                <w:rFonts w:hint="eastAsia" w:ascii="仿宋_GB2312" w:hAnsi="黑体" w:eastAsia="仿宋_GB2312"/>
                <w:b/>
                <w:bCs/>
                <w:color w:val="auto"/>
                <w:kern w:val="0"/>
                <w:sz w:val="22"/>
                <w:szCs w:val="22"/>
              </w:rPr>
              <w:t>占比</w:t>
            </w:r>
          </w:p>
        </w:tc>
        <w:tc>
          <w:tcPr>
            <w:tcW w:w="976" w:type="dxa"/>
            <w:noWrap w:val="0"/>
            <w:vAlign w:val="center"/>
          </w:tcPr>
          <w:p>
            <w:pPr>
              <w:widowControl/>
              <w:jc w:val="center"/>
              <w:rPr>
                <w:rFonts w:ascii="仿宋_GB2312" w:hAnsi="黑体" w:eastAsia="仿宋_GB2312"/>
                <w:b/>
                <w:bCs/>
                <w:color w:val="auto"/>
                <w:kern w:val="0"/>
                <w:sz w:val="22"/>
                <w:szCs w:val="22"/>
              </w:rPr>
            </w:pPr>
            <w:r>
              <w:rPr>
                <w:rFonts w:hint="eastAsia" w:ascii="仿宋_GB2312" w:hAnsi="黑体" w:eastAsia="仿宋_GB2312"/>
                <w:b/>
                <w:bCs/>
                <w:color w:val="auto"/>
                <w:kern w:val="0"/>
                <w:sz w:val="22"/>
                <w:szCs w:val="22"/>
              </w:rPr>
              <w:t>安置</w:t>
            </w:r>
          </w:p>
          <w:p>
            <w:pPr>
              <w:widowControl/>
              <w:jc w:val="center"/>
              <w:rPr>
                <w:rFonts w:ascii="仿宋_GB2312" w:hAnsi="Times New Roman" w:eastAsia="仿宋_GB2312"/>
                <w:b/>
                <w:bCs/>
                <w:color w:val="auto"/>
                <w:kern w:val="0"/>
                <w:sz w:val="22"/>
                <w:szCs w:val="22"/>
              </w:rPr>
            </w:pPr>
            <w:r>
              <w:rPr>
                <w:rFonts w:hint="eastAsia" w:ascii="仿宋_GB2312" w:hAnsi="黑体" w:eastAsia="仿宋_GB2312"/>
                <w:b/>
                <w:bCs/>
                <w:color w:val="auto"/>
                <w:kern w:val="0"/>
                <w:sz w:val="22"/>
                <w:szCs w:val="22"/>
              </w:rPr>
              <w:t>补助费</w:t>
            </w:r>
          </w:p>
        </w:tc>
        <w:tc>
          <w:tcPr>
            <w:tcW w:w="979" w:type="dxa"/>
            <w:noWrap w:val="0"/>
            <w:vAlign w:val="center"/>
          </w:tcPr>
          <w:p>
            <w:pPr>
              <w:widowControl/>
              <w:jc w:val="center"/>
              <w:rPr>
                <w:rFonts w:ascii="仿宋_GB2312" w:hAnsi="Times New Roman" w:eastAsia="仿宋_GB2312"/>
                <w:b/>
                <w:bCs/>
                <w:color w:val="auto"/>
                <w:kern w:val="0"/>
                <w:sz w:val="22"/>
                <w:szCs w:val="22"/>
              </w:rPr>
            </w:pPr>
            <w:r>
              <w:rPr>
                <w:rFonts w:hint="eastAsia" w:ascii="仿宋_GB2312" w:hAnsi="黑体" w:eastAsia="仿宋_GB2312"/>
                <w:b/>
                <w:bCs/>
                <w:color w:val="auto"/>
                <w:kern w:val="0"/>
                <w:sz w:val="22"/>
                <w:szCs w:val="22"/>
              </w:rPr>
              <w:t>占比</w:t>
            </w:r>
          </w:p>
        </w:tc>
        <w:tc>
          <w:tcPr>
            <w:tcW w:w="7981" w:type="dxa"/>
            <w:vMerge w:val="continue"/>
            <w:noWrap w:val="0"/>
            <w:vAlign w:val="center"/>
          </w:tcPr>
          <w:p>
            <w:pPr>
              <w:widowControl/>
              <w:jc w:val="left"/>
              <w:rPr>
                <w:rFonts w:ascii="仿宋_GB2312" w:hAnsi="Times New Roman" w:eastAsia="仿宋_GB2312"/>
                <w:b/>
                <w:bCs/>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0" w:type="dxa"/>
            <w:vMerge w:val="restart"/>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汕尾市区（城区、红海湾经济开发区、华侨管理区）</w:t>
            </w:r>
          </w:p>
        </w:tc>
        <w:tc>
          <w:tcPr>
            <w:tcW w:w="709"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1</w:t>
            </w:r>
          </w:p>
        </w:tc>
        <w:tc>
          <w:tcPr>
            <w:tcW w:w="717"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6.65</w:t>
            </w:r>
          </w:p>
        </w:tc>
        <w:tc>
          <w:tcPr>
            <w:tcW w:w="976"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2.66</w:t>
            </w:r>
          </w:p>
        </w:tc>
        <w:tc>
          <w:tcPr>
            <w:tcW w:w="837"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40%</w:t>
            </w:r>
          </w:p>
        </w:tc>
        <w:tc>
          <w:tcPr>
            <w:tcW w:w="976"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3.99</w:t>
            </w:r>
          </w:p>
        </w:tc>
        <w:tc>
          <w:tcPr>
            <w:tcW w:w="979"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60%</w:t>
            </w:r>
          </w:p>
        </w:tc>
        <w:tc>
          <w:tcPr>
            <w:tcW w:w="7981" w:type="dxa"/>
            <w:noWrap w:val="0"/>
            <w:vAlign w:val="center"/>
          </w:tcPr>
          <w:p>
            <w:pPr>
              <w:widowControl/>
              <w:jc w:val="left"/>
              <w:rPr>
                <w:rFonts w:ascii="仿宋_GB2312" w:hAnsi="Times New Roman" w:eastAsia="仿宋_GB2312"/>
                <w:color w:val="auto"/>
                <w:kern w:val="0"/>
                <w:sz w:val="22"/>
                <w:szCs w:val="22"/>
              </w:rPr>
            </w:pPr>
            <w:r>
              <w:rPr>
                <w:rFonts w:hint="eastAsia" w:ascii="仿宋_GB2312" w:hAnsi="仿宋" w:eastAsia="仿宋_GB2312"/>
                <w:color w:val="auto"/>
                <w:kern w:val="0"/>
                <w:sz w:val="22"/>
                <w:szCs w:val="22"/>
              </w:rPr>
              <w:t>凤山街道（除芦列坑村委会外所有行政村）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20" w:type="dxa"/>
            <w:vMerge w:val="continue"/>
            <w:noWrap w:val="0"/>
            <w:vAlign w:val="center"/>
          </w:tcPr>
          <w:p>
            <w:pPr>
              <w:widowControl/>
              <w:jc w:val="left"/>
              <w:rPr>
                <w:rFonts w:ascii="仿宋_GB2312" w:hAnsi="Times New Roman" w:eastAsia="仿宋_GB2312"/>
                <w:color w:val="auto"/>
                <w:kern w:val="0"/>
                <w:sz w:val="22"/>
                <w:szCs w:val="22"/>
              </w:rPr>
            </w:pPr>
          </w:p>
        </w:tc>
        <w:tc>
          <w:tcPr>
            <w:tcW w:w="709"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2</w:t>
            </w:r>
          </w:p>
        </w:tc>
        <w:tc>
          <w:tcPr>
            <w:tcW w:w="717"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6.11</w:t>
            </w:r>
          </w:p>
        </w:tc>
        <w:tc>
          <w:tcPr>
            <w:tcW w:w="976"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2.44</w:t>
            </w:r>
          </w:p>
        </w:tc>
        <w:tc>
          <w:tcPr>
            <w:tcW w:w="837"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40%</w:t>
            </w:r>
          </w:p>
        </w:tc>
        <w:tc>
          <w:tcPr>
            <w:tcW w:w="976"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3.67</w:t>
            </w:r>
          </w:p>
        </w:tc>
        <w:tc>
          <w:tcPr>
            <w:tcW w:w="979"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60%</w:t>
            </w:r>
          </w:p>
        </w:tc>
        <w:tc>
          <w:tcPr>
            <w:tcW w:w="7981" w:type="dxa"/>
            <w:noWrap w:val="0"/>
            <w:vAlign w:val="center"/>
          </w:tcPr>
          <w:p>
            <w:pPr>
              <w:widowControl/>
              <w:jc w:val="left"/>
              <w:rPr>
                <w:rFonts w:ascii="仿宋_GB2312" w:hAnsi="仿宋" w:eastAsia="仿宋_GB2312" w:cs="宋体"/>
                <w:color w:val="auto"/>
                <w:kern w:val="0"/>
                <w:sz w:val="22"/>
                <w:szCs w:val="22"/>
              </w:rPr>
            </w:pPr>
            <w:r>
              <w:rPr>
                <w:rFonts w:hint="eastAsia" w:ascii="仿宋_GB2312" w:hAnsi="仿宋" w:eastAsia="仿宋_GB2312" w:cs="宋体"/>
                <w:color w:val="auto"/>
                <w:kern w:val="0"/>
                <w:sz w:val="22"/>
                <w:szCs w:val="22"/>
              </w:rPr>
              <w:t>新港街道（所有行政村）、香洲街道（所有行政村）、马宫街道（所有行政村）、东涌镇（所有行政村）、红草镇（所有行政村）、捷胜镇（所有行政村）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exact"/>
          <w:jc w:val="center"/>
        </w:trPr>
        <w:tc>
          <w:tcPr>
            <w:tcW w:w="920" w:type="dxa"/>
            <w:vMerge w:val="continue"/>
            <w:noWrap w:val="0"/>
            <w:vAlign w:val="center"/>
          </w:tcPr>
          <w:p>
            <w:pPr>
              <w:widowControl/>
              <w:jc w:val="left"/>
              <w:rPr>
                <w:rFonts w:ascii="仿宋_GB2312" w:hAnsi="Times New Roman" w:eastAsia="仿宋_GB2312"/>
                <w:color w:val="auto"/>
                <w:kern w:val="0"/>
                <w:sz w:val="22"/>
                <w:szCs w:val="22"/>
              </w:rPr>
            </w:pPr>
          </w:p>
        </w:tc>
        <w:tc>
          <w:tcPr>
            <w:tcW w:w="709"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3</w:t>
            </w:r>
          </w:p>
        </w:tc>
        <w:tc>
          <w:tcPr>
            <w:tcW w:w="717"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5.59</w:t>
            </w:r>
          </w:p>
        </w:tc>
        <w:tc>
          <w:tcPr>
            <w:tcW w:w="976"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2.24</w:t>
            </w:r>
          </w:p>
        </w:tc>
        <w:tc>
          <w:tcPr>
            <w:tcW w:w="837"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40%</w:t>
            </w:r>
          </w:p>
        </w:tc>
        <w:tc>
          <w:tcPr>
            <w:tcW w:w="976"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3.35</w:t>
            </w:r>
          </w:p>
        </w:tc>
        <w:tc>
          <w:tcPr>
            <w:tcW w:w="979"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60%</w:t>
            </w:r>
          </w:p>
        </w:tc>
        <w:tc>
          <w:tcPr>
            <w:tcW w:w="7981" w:type="dxa"/>
            <w:noWrap w:val="0"/>
            <w:vAlign w:val="center"/>
          </w:tcPr>
          <w:p>
            <w:pPr>
              <w:widowControl/>
              <w:jc w:val="left"/>
              <w:rPr>
                <w:rFonts w:ascii="仿宋_GB2312" w:hAnsi="Times New Roman" w:eastAsia="仿宋_GB2312"/>
                <w:color w:val="auto"/>
                <w:kern w:val="0"/>
                <w:sz w:val="22"/>
                <w:szCs w:val="22"/>
              </w:rPr>
            </w:pPr>
            <w:r>
              <w:rPr>
                <w:rFonts w:hint="eastAsia" w:ascii="仿宋_GB2312" w:hAnsi="仿宋" w:eastAsia="仿宋_GB2312"/>
                <w:color w:val="auto"/>
                <w:kern w:val="0"/>
                <w:sz w:val="22"/>
                <w:szCs w:val="22"/>
              </w:rPr>
              <w:t>田</w:t>
            </w:r>
            <w:r>
              <w:rPr>
                <w:rFonts w:hint="eastAsia" w:ascii="微软雅黑" w:hAnsi="微软雅黑" w:eastAsia="微软雅黑" w:cs="微软雅黑"/>
                <w:color w:val="auto"/>
                <w:kern w:val="0"/>
                <w:sz w:val="22"/>
                <w:szCs w:val="22"/>
              </w:rPr>
              <w:t>墘</w:t>
            </w:r>
            <w:r>
              <w:rPr>
                <w:rFonts w:hint="eastAsia" w:ascii="仿宋_GB2312" w:hAnsi="仿宋_GB2312" w:eastAsia="仿宋_GB2312" w:cs="仿宋_GB2312"/>
                <w:color w:val="auto"/>
                <w:kern w:val="0"/>
                <w:sz w:val="22"/>
                <w:szCs w:val="22"/>
              </w:rPr>
              <w:t>街道</w:t>
            </w:r>
            <w:r>
              <w:rPr>
                <w:rFonts w:hint="eastAsia" w:ascii="仿宋_GB2312" w:hAnsi="仿宋" w:eastAsia="仿宋_GB2312"/>
                <w:color w:val="auto"/>
                <w:kern w:val="0"/>
                <w:sz w:val="22"/>
                <w:szCs w:val="22"/>
              </w:rPr>
              <w:t>（所有行政村）、遮浪街道（所有行政村）、东洲街道（所有行政村）</w:t>
            </w:r>
            <w:r>
              <w:rPr>
                <w:rFonts w:hint="eastAsia" w:ascii="仿宋_GB2312" w:hAnsi="仿宋" w:eastAsia="仿宋_GB2312"/>
                <w:color w:val="auto"/>
                <w:kern w:val="0"/>
                <w:sz w:val="22"/>
                <w:szCs w:val="22"/>
                <w:lang w:eastAsia="zh-CN"/>
              </w:rPr>
              <w:t>、</w:t>
            </w:r>
            <w:r>
              <w:rPr>
                <w:rFonts w:hint="eastAsia" w:ascii="仿宋_GB2312" w:hAnsi="仿宋" w:eastAsia="仿宋_GB2312"/>
                <w:color w:val="auto"/>
                <w:kern w:val="0"/>
                <w:sz w:val="22"/>
                <w:szCs w:val="22"/>
              </w:rPr>
              <w:t>凤山街道（芦列坑村委会）、华侨管理区（所有行政村）。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920" w:type="dxa"/>
            <w:vMerge w:val="restart"/>
            <w:shd w:val="clear" w:color="auto" w:fill="auto"/>
            <w:noWrap w:val="0"/>
            <w:vAlign w:val="center"/>
          </w:tcPr>
          <w:p>
            <w:pPr>
              <w:widowControl/>
              <w:jc w:val="center"/>
              <w:rPr>
                <w:rFonts w:ascii="仿宋_GB2312" w:hAnsi="Times New Roman" w:eastAsia="仿宋_GB2312"/>
                <w:color w:val="auto"/>
                <w:kern w:val="0"/>
                <w:sz w:val="22"/>
                <w:szCs w:val="22"/>
              </w:rPr>
            </w:pPr>
            <w:r>
              <w:rPr>
                <w:rFonts w:hint="eastAsia" w:ascii="仿宋_GB2312" w:hAnsi="黑体" w:eastAsia="仿宋_GB2312"/>
                <w:color w:val="auto"/>
                <w:kern w:val="0"/>
                <w:sz w:val="22"/>
                <w:szCs w:val="22"/>
              </w:rPr>
              <w:t>海丰县</w:t>
            </w:r>
          </w:p>
        </w:tc>
        <w:tc>
          <w:tcPr>
            <w:tcW w:w="709" w:type="dxa"/>
            <w:shd w:val="clear" w:color="auto" w:fill="auto"/>
            <w:noWrap/>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1</w:t>
            </w:r>
          </w:p>
        </w:tc>
        <w:tc>
          <w:tcPr>
            <w:tcW w:w="717" w:type="dxa"/>
            <w:shd w:val="clear" w:color="auto" w:fill="auto"/>
            <w:noWrap/>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6.20</w:t>
            </w:r>
          </w:p>
        </w:tc>
        <w:tc>
          <w:tcPr>
            <w:tcW w:w="976" w:type="dxa"/>
            <w:shd w:val="clear" w:color="auto" w:fill="auto"/>
            <w:noWrap/>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1.86</w:t>
            </w:r>
          </w:p>
        </w:tc>
        <w:tc>
          <w:tcPr>
            <w:tcW w:w="837" w:type="dxa"/>
            <w:shd w:val="clear" w:color="auto" w:fill="auto"/>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30%</w:t>
            </w:r>
          </w:p>
        </w:tc>
        <w:tc>
          <w:tcPr>
            <w:tcW w:w="976" w:type="dxa"/>
            <w:shd w:val="clear" w:color="auto" w:fill="auto"/>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4.34</w:t>
            </w:r>
          </w:p>
        </w:tc>
        <w:tc>
          <w:tcPr>
            <w:tcW w:w="979" w:type="dxa"/>
            <w:shd w:val="clear" w:color="auto" w:fill="auto"/>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70%</w:t>
            </w:r>
          </w:p>
        </w:tc>
        <w:tc>
          <w:tcPr>
            <w:tcW w:w="7981" w:type="dxa"/>
            <w:shd w:val="clear" w:color="000000" w:fill="FFFFFF"/>
            <w:noWrap w:val="0"/>
            <w:vAlign w:val="center"/>
          </w:tcPr>
          <w:p>
            <w:pPr>
              <w:widowControl/>
              <w:rPr>
                <w:rFonts w:ascii="仿宋_GB2312" w:hAnsi="Times New Roman" w:eastAsia="仿宋_GB2312"/>
                <w:color w:val="auto"/>
                <w:kern w:val="0"/>
                <w:sz w:val="22"/>
                <w:szCs w:val="22"/>
              </w:rPr>
            </w:pPr>
            <w:r>
              <w:rPr>
                <w:rFonts w:hint="eastAsia" w:ascii="仿宋_GB2312" w:hAnsi="仿宋" w:eastAsia="仿宋_GB2312"/>
                <w:color w:val="auto"/>
                <w:kern w:val="0"/>
                <w:sz w:val="22"/>
                <w:szCs w:val="22"/>
              </w:rPr>
              <w:t>海城镇（海珠社区、新桥社区、龙门社区、南门社区、新安社区、龙津社区、新城社区、城西社区、城北社区、北门社区、新园社区、云岭社区）；</w:t>
            </w:r>
            <w:r>
              <w:rPr>
                <w:rFonts w:hint="eastAsia" w:ascii="仿宋_GB2312" w:hAnsi="仿宋" w:eastAsia="仿宋_GB2312"/>
                <w:color w:val="auto"/>
                <w:kern w:val="0"/>
                <w:sz w:val="22"/>
                <w:szCs w:val="22"/>
              </w:rPr>
              <w:br w:type="textWrapping"/>
            </w:r>
            <w:r>
              <w:rPr>
                <w:rFonts w:hint="eastAsia" w:ascii="仿宋_GB2312" w:hAnsi="仿宋" w:eastAsia="仿宋_GB2312"/>
                <w:color w:val="auto"/>
                <w:kern w:val="0"/>
                <w:sz w:val="22"/>
                <w:szCs w:val="22"/>
              </w:rPr>
              <w:t>附城镇（南湖社区、中河社区、城南社区、云岭山庄社区、荣山村、荣港村、道山村、圆山村、笏口村、兴洲村、联西村、联河村、青年村）；</w:t>
            </w:r>
            <w:r>
              <w:rPr>
                <w:rFonts w:hint="eastAsia" w:ascii="仿宋_GB2312" w:hAnsi="仿宋" w:eastAsia="仿宋_GB2312"/>
                <w:color w:val="auto"/>
                <w:kern w:val="0"/>
                <w:sz w:val="22"/>
                <w:szCs w:val="22"/>
              </w:rPr>
              <w:br w:type="textWrapping"/>
            </w:r>
            <w:r>
              <w:rPr>
                <w:rFonts w:hint="eastAsia" w:ascii="仿宋_GB2312" w:hAnsi="仿宋" w:eastAsia="仿宋_GB2312"/>
                <w:color w:val="auto"/>
                <w:kern w:val="0"/>
                <w:sz w:val="22"/>
                <w:szCs w:val="22"/>
              </w:rPr>
              <w:t>城东镇（桥东社区、龙山村）；</w:t>
            </w:r>
            <w:r>
              <w:rPr>
                <w:rFonts w:hint="eastAsia" w:ascii="仿宋_GB2312" w:hAnsi="仿宋" w:eastAsia="仿宋_GB2312"/>
                <w:color w:val="auto"/>
                <w:kern w:val="0"/>
                <w:sz w:val="22"/>
                <w:szCs w:val="22"/>
              </w:rPr>
              <w:br w:type="textWrapping"/>
            </w:r>
            <w:r>
              <w:rPr>
                <w:rFonts w:hint="eastAsia" w:ascii="仿宋_GB2312" w:hAnsi="仿宋" w:eastAsia="仿宋_GB2312"/>
                <w:color w:val="auto"/>
                <w:kern w:val="0"/>
                <w:sz w:val="22"/>
                <w:szCs w:val="22"/>
              </w:rPr>
              <w:t>梅陇镇（梅南社区、中兴社区、梅北社区、东兴社区、西兴社区、梅陇村、梅星村、屿岭村、云路村、月池村、东风村、梅西村、永红村）。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3" w:hRule="atLeast"/>
          <w:jc w:val="center"/>
        </w:trPr>
        <w:tc>
          <w:tcPr>
            <w:tcW w:w="920" w:type="dxa"/>
            <w:vMerge w:val="continue"/>
            <w:shd w:val="clear" w:color="auto" w:fill="auto"/>
            <w:noWrap w:val="0"/>
            <w:vAlign w:val="center"/>
          </w:tcPr>
          <w:p>
            <w:pPr>
              <w:widowControl/>
              <w:jc w:val="left"/>
              <w:rPr>
                <w:rFonts w:ascii="仿宋_GB2312" w:hAnsi="Times New Roman" w:eastAsia="仿宋_GB2312"/>
                <w:color w:val="auto"/>
                <w:kern w:val="0"/>
                <w:sz w:val="22"/>
                <w:szCs w:val="22"/>
              </w:rPr>
            </w:pPr>
          </w:p>
        </w:tc>
        <w:tc>
          <w:tcPr>
            <w:tcW w:w="709" w:type="dxa"/>
            <w:shd w:val="clear" w:color="auto" w:fill="auto"/>
            <w:noWrap/>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2</w:t>
            </w:r>
          </w:p>
        </w:tc>
        <w:tc>
          <w:tcPr>
            <w:tcW w:w="717" w:type="dxa"/>
            <w:shd w:val="clear" w:color="auto" w:fill="auto"/>
            <w:noWrap/>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5.33</w:t>
            </w:r>
          </w:p>
        </w:tc>
        <w:tc>
          <w:tcPr>
            <w:tcW w:w="976" w:type="dxa"/>
            <w:shd w:val="clear" w:color="auto" w:fill="auto"/>
            <w:noWrap/>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1.60</w:t>
            </w:r>
          </w:p>
        </w:tc>
        <w:tc>
          <w:tcPr>
            <w:tcW w:w="837" w:type="dxa"/>
            <w:shd w:val="clear" w:color="auto" w:fill="auto"/>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30%</w:t>
            </w:r>
          </w:p>
        </w:tc>
        <w:tc>
          <w:tcPr>
            <w:tcW w:w="976" w:type="dxa"/>
            <w:shd w:val="clear" w:color="auto" w:fill="auto"/>
            <w:noWrap/>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3.73</w:t>
            </w:r>
          </w:p>
        </w:tc>
        <w:tc>
          <w:tcPr>
            <w:tcW w:w="979" w:type="dxa"/>
            <w:shd w:val="clear" w:color="auto" w:fill="auto"/>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70%</w:t>
            </w:r>
          </w:p>
        </w:tc>
        <w:tc>
          <w:tcPr>
            <w:tcW w:w="7981" w:type="dxa"/>
            <w:shd w:val="clear" w:color="000000" w:fill="FFFFFF"/>
            <w:noWrap w:val="0"/>
            <w:vAlign w:val="center"/>
          </w:tcPr>
          <w:p>
            <w:pPr>
              <w:widowControl/>
              <w:rPr>
                <w:rFonts w:ascii="仿宋_GB2312" w:hAnsi="Times New Roman" w:eastAsia="仿宋_GB2312"/>
                <w:color w:val="auto"/>
                <w:kern w:val="0"/>
                <w:sz w:val="22"/>
                <w:szCs w:val="22"/>
              </w:rPr>
            </w:pPr>
            <w:r>
              <w:rPr>
                <w:rFonts w:hint="eastAsia" w:ascii="仿宋_GB2312" w:hAnsi="仿宋" w:eastAsia="仿宋_GB2312"/>
                <w:color w:val="auto"/>
                <w:kern w:val="0"/>
                <w:sz w:val="22"/>
                <w:szCs w:val="22"/>
              </w:rPr>
              <w:t>海城镇（总寮社区、莲光村、桂望村、莲花村、召贡村、新望村、南垭村、万中村、埔仔村、长埔村）；附城镇（新东村、新北村、新南村、池口村、新山村）；城东镇（安东村、新江村、赤山村、东园村、关东村、名园村、台东村、汀洲村、梓里村、后塘村、后林村、河中村、圆墩村、北平村、大嶂村）；梅陇镇（银液村、银丰村、水踏村、梅联村、石南村、新兴村、南山村、联平村、高中村、石安村、梅陇镇镇政府、红阳村、梅尖村、东家亚村、仓兜村、东联村、东港村、梅东村、竹符村、联兴村、石洲村、新寮村、围湖村、新渔村）；大湖镇（石牌社区、高螺村、新德村、山脚村）；公平镇（所有行政村、社区）；可塘镇（所有行政村、社区）；联安镇（所有行政村、社区）；陶河镇（所有行政村、社区）；赤坑镇（所有行政村、社区）；</w:t>
            </w:r>
            <w:r>
              <w:rPr>
                <w:rFonts w:hint="eastAsia" w:ascii="仿宋_GB2312" w:hAnsi="仿宋" w:eastAsia="仿宋_GB2312"/>
                <w:color w:val="auto"/>
                <w:kern w:val="0"/>
                <w:sz w:val="22"/>
                <w:szCs w:val="22"/>
              </w:rPr>
              <w:br w:type="textWrapping"/>
            </w:r>
            <w:r>
              <w:rPr>
                <w:rFonts w:hint="eastAsia" w:ascii="仿宋_GB2312" w:hAnsi="仿宋" w:eastAsia="仿宋_GB2312"/>
                <w:color w:val="auto"/>
                <w:kern w:val="0"/>
                <w:sz w:val="22"/>
                <w:szCs w:val="22"/>
              </w:rPr>
              <w:t>梅陇农场（所有行政村、社区）；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920" w:type="dxa"/>
            <w:vMerge w:val="continue"/>
            <w:shd w:val="clear" w:color="auto" w:fill="auto"/>
            <w:noWrap w:val="0"/>
            <w:vAlign w:val="center"/>
          </w:tcPr>
          <w:p>
            <w:pPr>
              <w:widowControl/>
              <w:jc w:val="left"/>
              <w:rPr>
                <w:rFonts w:ascii="仿宋_GB2312" w:hAnsi="Times New Roman" w:eastAsia="仿宋_GB2312"/>
                <w:color w:val="auto"/>
                <w:kern w:val="0"/>
                <w:sz w:val="22"/>
                <w:szCs w:val="22"/>
              </w:rPr>
            </w:pPr>
          </w:p>
        </w:tc>
        <w:tc>
          <w:tcPr>
            <w:tcW w:w="709" w:type="dxa"/>
            <w:shd w:val="clear" w:color="auto" w:fill="auto"/>
            <w:noWrap/>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3</w:t>
            </w:r>
          </w:p>
        </w:tc>
        <w:tc>
          <w:tcPr>
            <w:tcW w:w="717" w:type="dxa"/>
            <w:shd w:val="clear" w:color="auto" w:fill="auto"/>
            <w:noWrap/>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4.13</w:t>
            </w:r>
          </w:p>
        </w:tc>
        <w:tc>
          <w:tcPr>
            <w:tcW w:w="976" w:type="dxa"/>
            <w:shd w:val="clear" w:color="auto" w:fill="auto"/>
            <w:noWrap/>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1.24</w:t>
            </w:r>
          </w:p>
        </w:tc>
        <w:tc>
          <w:tcPr>
            <w:tcW w:w="837" w:type="dxa"/>
            <w:shd w:val="clear" w:color="auto" w:fill="auto"/>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30%</w:t>
            </w:r>
          </w:p>
        </w:tc>
        <w:tc>
          <w:tcPr>
            <w:tcW w:w="976" w:type="dxa"/>
            <w:shd w:val="clear" w:color="auto" w:fill="auto"/>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2.89</w:t>
            </w:r>
          </w:p>
        </w:tc>
        <w:tc>
          <w:tcPr>
            <w:tcW w:w="979" w:type="dxa"/>
            <w:shd w:val="clear" w:color="auto" w:fill="auto"/>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70%</w:t>
            </w:r>
          </w:p>
        </w:tc>
        <w:tc>
          <w:tcPr>
            <w:tcW w:w="7981" w:type="dxa"/>
            <w:shd w:val="clear" w:color="000000" w:fill="FFFFFF"/>
            <w:noWrap w:val="0"/>
            <w:vAlign w:val="center"/>
          </w:tcPr>
          <w:p>
            <w:pPr>
              <w:widowControl/>
              <w:rPr>
                <w:rFonts w:ascii="仿宋_GB2312" w:hAnsi="Times New Roman" w:eastAsia="仿宋_GB2312"/>
                <w:color w:val="auto"/>
                <w:kern w:val="0"/>
                <w:sz w:val="22"/>
                <w:szCs w:val="22"/>
              </w:rPr>
            </w:pPr>
            <w:r>
              <w:rPr>
                <w:rFonts w:hint="eastAsia" w:ascii="仿宋_GB2312" w:hAnsi="仿宋" w:eastAsia="仿宋_GB2312"/>
                <w:color w:val="auto"/>
                <w:kern w:val="0"/>
                <w:sz w:val="22"/>
                <w:szCs w:val="22"/>
              </w:rPr>
              <w:t>大湖镇（新置村、湖仔村）；黄羌镇（所有行政村、社区）；平东镇（所有行政村、社区）；黄羌林场（所有行政村、社区）。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20" w:type="dxa"/>
            <w:vMerge w:val="restart"/>
            <w:noWrap w:val="0"/>
            <w:vAlign w:val="center"/>
          </w:tcPr>
          <w:p>
            <w:pPr>
              <w:widowControl/>
              <w:jc w:val="center"/>
              <w:rPr>
                <w:rFonts w:ascii="仿宋_GB2312" w:hAnsi="Times New Roman" w:eastAsia="仿宋_GB2312"/>
                <w:color w:val="auto"/>
                <w:kern w:val="0"/>
                <w:sz w:val="22"/>
                <w:szCs w:val="22"/>
              </w:rPr>
            </w:pPr>
            <w:r>
              <w:rPr>
                <w:rFonts w:hint="eastAsia" w:ascii="仿宋_GB2312" w:hAnsi="黑体" w:eastAsia="仿宋_GB2312"/>
                <w:color w:val="auto"/>
                <w:kern w:val="0"/>
                <w:sz w:val="22"/>
                <w:szCs w:val="22"/>
              </w:rPr>
              <w:t>陆丰市</w:t>
            </w:r>
          </w:p>
        </w:tc>
        <w:tc>
          <w:tcPr>
            <w:tcW w:w="709"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1</w:t>
            </w:r>
          </w:p>
        </w:tc>
        <w:tc>
          <w:tcPr>
            <w:tcW w:w="717"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 xml:space="preserve">5.27 </w:t>
            </w:r>
          </w:p>
        </w:tc>
        <w:tc>
          <w:tcPr>
            <w:tcW w:w="976"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 xml:space="preserve">2.635 </w:t>
            </w:r>
          </w:p>
        </w:tc>
        <w:tc>
          <w:tcPr>
            <w:tcW w:w="837"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50%</w:t>
            </w:r>
          </w:p>
        </w:tc>
        <w:tc>
          <w:tcPr>
            <w:tcW w:w="976"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 xml:space="preserve">2.635 </w:t>
            </w:r>
          </w:p>
        </w:tc>
        <w:tc>
          <w:tcPr>
            <w:tcW w:w="979"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50%</w:t>
            </w:r>
          </w:p>
        </w:tc>
        <w:tc>
          <w:tcPr>
            <w:tcW w:w="7981" w:type="dxa"/>
            <w:noWrap w:val="0"/>
            <w:vAlign w:val="center"/>
          </w:tcPr>
          <w:p>
            <w:pPr>
              <w:widowControl/>
              <w:jc w:val="left"/>
              <w:rPr>
                <w:rFonts w:ascii="仿宋_GB2312" w:hAnsi="Times New Roman" w:eastAsia="仿宋_GB2312"/>
                <w:color w:val="auto"/>
                <w:kern w:val="0"/>
                <w:sz w:val="22"/>
                <w:szCs w:val="22"/>
              </w:rPr>
            </w:pPr>
            <w:r>
              <w:rPr>
                <w:rFonts w:hint="eastAsia" w:ascii="仿宋_GB2312" w:hAnsi="仿宋" w:eastAsia="仿宋_GB2312"/>
                <w:color w:val="auto"/>
                <w:kern w:val="0"/>
                <w:sz w:val="22"/>
                <w:szCs w:val="22"/>
              </w:rPr>
              <w:t>东海镇（所有行政村）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20" w:type="dxa"/>
            <w:vMerge w:val="continue"/>
            <w:noWrap w:val="0"/>
            <w:vAlign w:val="center"/>
          </w:tcPr>
          <w:p>
            <w:pPr>
              <w:widowControl/>
              <w:jc w:val="left"/>
              <w:rPr>
                <w:rFonts w:ascii="仿宋_GB2312" w:hAnsi="Times New Roman" w:eastAsia="仿宋_GB2312"/>
                <w:color w:val="auto"/>
                <w:kern w:val="0"/>
                <w:sz w:val="22"/>
                <w:szCs w:val="22"/>
              </w:rPr>
            </w:pPr>
          </w:p>
        </w:tc>
        <w:tc>
          <w:tcPr>
            <w:tcW w:w="709"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2</w:t>
            </w:r>
          </w:p>
        </w:tc>
        <w:tc>
          <w:tcPr>
            <w:tcW w:w="717"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 xml:space="preserve">4.61 </w:t>
            </w:r>
          </w:p>
        </w:tc>
        <w:tc>
          <w:tcPr>
            <w:tcW w:w="976"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 xml:space="preserve">2.305 </w:t>
            </w:r>
          </w:p>
        </w:tc>
        <w:tc>
          <w:tcPr>
            <w:tcW w:w="837"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50%</w:t>
            </w:r>
          </w:p>
        </w:tc>
        <w:tc>
          <w:tcPr>
            <w:tcW w:w="976"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 xml:space="preserve">2.305 </w:t>
            </w:r>
          </w:p>
        </w:tc>
        <w:tc>
          <w:tcPr>
            <w:tcW w:w="979"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50%</w:t>
            </w:r>
          </w:p>
        </w:tc>
        <w:tc>
          <w:tcPr>
            <w:tcW w:w="7981" w:type="dxa"/>
            <w:noWrap w:val="0"/>
            <w:vAlign w:val="center"/>
          </w:tcPr>
          <w:p>
            <w:pPr>
              <w:widowControl/>
              <w:jc w:val="left"/>
              <w:rPr>
                <w:rFonts w:ascii="仿宋_GB2312" w:hAnsi="Times New Roman" w:eastAsia="仿宋_GB2312"/>
                <w:color w:val="auto"/>
                <w:kern w:val="0"/>
                <w:sz w:val="22"/>
                <w:szCs w:val="22"/>
              </w:rPr>
            </w:pPr>
            <w:r>
              <w:rPr>
                <w:rFonts w:hint="eastAsia" w:ascii="仿宋_GB2312" w:hAnsi="仿宋" w:eastAsia="仿宋_GB2312"/>
                <w:color w:val="auto"/>
                <w:kern w:val="0"/>
                <w:sz w:val="22"/>
                <w:szCs w:val="22"/>
              </w:rPr>
              <w:t>甲子镇（所有行政村）、碣石镇（所有行政村）、南塘镇（所有行政村）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jc w:val="center"/>
        </w:trPr>
        <w:tc>
          <w:tcPr>
            <w:tcW w:w="920" w:type="dxa"/>
            <w:vMerge w:val="continue"/>
            <w:noWrap w:val="0"/>
            <w:vAlign w:val="center"/>
          </w:tcPr>
          <w:p>
            <w:pPr>
              <w:widowControl/>
              <w:jc w:val="left"/>
              <w:rPr>
                <w:rFonts w:ascii="仿宋_GB2312" w:hAnsi="Times New Roman" w:eastAsia="仿宋_GB2312"/>
                <w:color w:val="auto"/>
                <w:kern w:val="0"/>
                <w:sz w:val="22"/>
                <w:szCs w:val="22"/>
              </w:rPr>
            </w:pPr>
          </w:p>
        </w:tc>
        <w:tc>
          <w:tcPr>
            <w:tcW w:w="709"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3</w:t>
            </w:r>
          </w:p>
        </w:tc>
        <w:tc>
          <w:tcPr>
            <w:tcW w:w="717"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 xml:space="preserve">3.96 </w:t>
            </w:r>
          </w:p>
        </w:tc>
        <w:tc>
          <w:tcPr>
            <w:tcW w:w="976"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 xml:space="preserve">1.98 </w:t>
            </w:r>
          </w:p>
        </w:tc>
        <w:tc>
          <w:tcPr>
            <w:tcW w:w="837"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50%</w:t>
            </w:r>
          </w:p>
        </w:tc>
        <w:tc>
          <w:tcPr>
            <w:tcW w:w="976"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 xml:space="preserve">1.98 </w:t>
            </w:r>
          </w:p>
        </w:tc>
        <w:tc>
          <w:tcPr>
            <w:tcW w:w="979"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50%</w:t>
            </w:r>
          </w:p>
        </w:tc>
        <w:tc>
          <w:tcPr>
            <w:tcW w:w="7981" w:type="dxa"/>
            <w:noWrap w:val="0"/>
            <w:vAlign w:val="center"/>
          </w:tcPr>
          <w:p>
            <w:pPr>
              <w:widowControl/>
              <w:jc w:val="left"/>
              <w:rPr>
                <w:rFonts w:ascii="仿宋_GB2312" w:hAnsi="Times New Roman" w:eastAsia="仿宋_GB2312"/>
                <w:color w:val="auto"/>
                <w:kern w:val="0"/>
                <w:sz w:val="22"/>
                <w:szCs w:val="22"/>
              </w:rPr>
            </w:pPr>
            <w:r>
              <w:rPr>
                <w:rFonts w:hint="eastAsia" w:ascii="仿宋_GB2312" w:hAnsi="仿宋" w:eastAsia="仿宋_GB2312"/>
                <w:color w:val="auto"/>
                <w:kern w:val="0"/>
                <w:sz w:val="22"/>
                <w:szCs w:val="22"/>
              </w:rPr>
              <w:t>八万镇（所有行政村）、陂洋镇（所有行政村）、博美镇（所有行政村）、城东镇（所有行政村）、畜牧果林场（所有行政村）、大安农场（所有行政村）、大安镇（所有行政村）、东海岸林场（所有行政村）、河东镇（所有行政村）、河西镇（所有行政村）、红岭林场（所有行政村）、湖东林场（所有行政村）、湖东镇（所有行政村）、甲东镇（所有行政村）、甲西镇（所有行政村）、金厢镇（所有行政村）、罗经嶂林场（所有行政村）、内湖镇（所有行政村）、桥冲镇（所有行政村）、上英镇（所有行政村）、潭西镇（所有行政村）、铜锣湖农场（所有行政村）、西南镇（所有行政村）、星都经济开发区（所有行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20" w:type="dxa"/>
            <w:vMerge w:val="restart"/>
            <w:noWrap w:val="0"/>
            <w:vAlign w:val="center"/>
          </w:tcPr>
          <w:p>
            <w:pPr>
              <w:widowControl/>
              <w:jc w:val="center"/>
              <w:rPr>
                <w:rFonts w:ascii="仿宋_GB2312" w:hAnsi="Times New Roman" w:eastAsia="仿宋_GB2312"/>
                <w:color w:val="auto"/>
                <w:kern w:val="0"/>
                <w:sz w:val="22"/>
                <w:szCs w:val="22"/>
              </w:rPr>
            </w:pPr>
            <w:r>
              <w:rPr>
                <w:rFonts w:hint="eastAsia" w:ascii="仿宋_GB2312" w:hAnsi="黑体" w:eastAsia="仿宋_GB2312"/>
                <w:color w:val="auto"/>
                <w:kern w:val="0"/>
                <w:sz w:val="22"/>
                <w:szCs w:val="22"/>
              </w:rPr>
              <w:t>陆河县</w:t>
            </w:r>
          </w:p>
        </w:tc>
        <w:tc>
          <w:tcPr>
            <w:tcW w:w="709"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1</w:t>
            </w:r>
          </w:p>
        </w:tc>
        <w:tc>
          <w:tcPr>
            <w:tcW w:w="717"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5.74</w:t>
            </w:r>
          </w:p>
        </w:tc>
        <w:tc>
          <w:tcPr>
            <w:tcW w:w="976"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2.87</w:t>
            </w:r>
          </w:p>
        </w:tc>
        <w:tc>
          <w:tcPr>
            <w:tcW w:w="837"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50%</w:t>
            </w:r>
          </w:p>
        </w:tc>
        <w:tc>
          <w:tcPr>
            <w:tcW w:w="976"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2.87</w:t>
            </w:r>
          </w:p>
        </w:tc>
        <w:tc>
          <w:tcPr>
            <w:tcW w:w="979"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50%</w:t>
            </w:r>
          </w:p>
        </w:tc>
        <w:tc>
          <w:tcPr>
            <w:tcW w:w="7981" w:type="dxa"/>
            <w:noWrap w:val="0"/>
            <w:vAlign w:val="center"/>
          </w:tcPr>
          <w:p>
            <w:pPr>
              <w:widowControl/>
              <w:jc w:val="left"/>
              <w:rPr>
                <w:rFonts w:ascii="仿宋_GB2312" w:hAnsi="Times New Roman" w:eastAsia="仿宋_GB2312"/>
                <w:color w:val="auto"/>
                <w:kern w:val="0"/>
                <w:sz w:val="22"/>
                <w:szCs w:val="22"/>
              </w:rPr>
            </w:pPr>
            <w:r>
              <w:rPr>
                <w:rFonts w:hint="eastAsia" w:ascii="仿宋_GB2312" w:hAnsi="仿宋" w:eastAsia="仿宋_GB2312"/>
                <w:color w:val="auto"/>
                <w:kern w:val="0"/>
                <w:sz w:val="22"/>
                <w:szCs w:val="22"/>
              </w:rPr>
              <w:t>河田镇（所有行政村）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20" w:type="dxa"/>
            <w:vMerge w:val="continue"/>
            <w:noWrap w:val="0"/>
            <w:vAlign w:val="center"/>
          </w:tcPr>
          <w:p>
            <w:pPr>
              <w:widowControl/>
              <w:jc w:val="left"/>
              <w:rPr>
                <w:rFonts w:ascii="仿宋_GB2312" w:hAnsi="Times New Roman" w:eastAsia="仿宋_GB2312"/>
                <w:color w:val="auto"/>
                <w:kern w:val="0"/>
                <w:sz w:val="22"/>
                <w:szCs w:val="22"/>
              </w:rPr>
            </w:pPr>
          </w:p>
        </w:tc>
        <w:tc>
          <w:tcPr>
            <w:tcW w:w="709"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2</w:t>
            </w:r>
          </w:p>
        </w:tc>
        <w:tc>
          <w:tcPr>
            <w:tcW w:w="717"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4.07</w:t>
            </w:r>
          </w:p>
        </w:tc>
        <w:tc>
          <w:tcPr>
            <w:tcW w:w="976"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2.035</w:t>
            </w:r>
          </w:p>
        </w:tc>
        <w:tc>
          <w:tcPr>
            <w:tcW w:w="837"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50%</w:t>
            </w:r>
          </w:p>
        </w:tc>
        <w:tc>
          <w:tcPr>
            <w:tcW w:w="976"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2.035</w:t>
            </w:r>
          </w:p>
        </w:tc>
        <w:tc>
          <w:tcPr>
            <w:tcW w:w="979"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50%</w:t>
            </w:r>
          </w:p>
        </w:tc>
        <w:tc>
          <w:tcPr>
            <w:tcW w:w="7981" w:type="dxa"/>
            <w:noWrap w:val="0"/>
            <w:vAlign w:val="center"/>
          </w:tcPr>
          <w:p>
            <w:pPr>
              <w:widowControl/>
              <w:jc w:val="left"/>
              <w:rPr>
                <w:rFonts w:ascii="仿宋_GB2312" w:hAnsi="Times New Roman" w:eastAsia="仿宋_GB2312"/>
                <w:color w:val="auto"/>
                <w:kern w:val="0"/>
                <w:sz w:val="22"/>
                <w:szCs w:val="22"/>
              </w:rPr>
            </w:pPr>
            <w:r>
              <w:rPr>
                <w:rFonts w:hint="eastAsia" w:ascii="仿宋_GB2312" w:hAnsi="仿宋" w:eastAsia="仿宋_GB2312"/>
                <w:color w:val="auto"/>
                <w:kern w:val="0"/>
                <w:sz w:val="22"/>
                <w:szCs w:val="22"/>
              </w:rPr>
              <w:t>水唇镇（所有行政村）、河口镇（所有行政村）、新田镇（所有行政村）、东坑镇（所有行政村）、上护镇（所有行政村）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Merge w:val="continue"/>
            <w:noWrap w:val="0"/>
            <w:vAlign w:val="center"/>
          </w:tcPr>
          <w:p>
            <w:pPr>
              <w:widowControl/>
              <w:jc w:val="left"/>
              <w:rPr>
                <w:rFonts w:ascii="仿宋_GB2312" w:hAnsi="Times New Roman" w:eastAsia="仿宋_GB2312"/>
                <w:color w:val="auto"/>
                <w:kern w:val="0"/>
                <w:sz w:val="22"/>
                <w:szCs w:val="22"/>
              </w:rPr>
            </w:pPr>
          </w:p>
        </w:tc>
        <w:tc>
          <w:tcPr>
            <w:tcW w:w="709"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3</w:t>
            </w:r>
          </w:p>
        </w:tc>
        <w:tc>
          <w:tcPr>
            <w:tcW w:w="717"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3.68</w:t>
            </w:r>
          </w:p>
        </w:tc>
        <w:tc>
          <w:tcPr>
            <w:tcW w:w="976"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1.84</w:t>
            </w:r>
          </w:p>
        </w:tc>
        <w:tc>
          <w:tcPr>
            <w:tcW w:w="837"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50%</w:t>
            </w:r>
          </w:p>
        </w:tc>
        <w:tc>
          <w:tcPr>
            <w:tcW w:w="976"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1.84</w:t>
            </w:r>
          </w:p>
        </w:tc>
        <w:tc>
          <w:tcPr>
            <w:tcW w:w="979" w:type="dxa"/>
            <w:noWrap w:val="0"/>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50%</w:t>
            </w:r>
          </w:p>
        </w:tc>
        <w:tc>
          <w:tcPr>
            <w:tcW w:w="7981" w:type="dxa"/>
            <w:noWrap w:val="0"/>
            <w:vAlign w:val="center"/>
          </w:tcPr>
          <w:p>
            <w:pPr>
              <w:widowControl/>
              <w:jc w:val="left"/>
              <w:rPr>
                <w:rFonts w:ascii="仿宋_GB2312" w:hAnsi="Times New Roman" w:eastAsia="仿宋_GB2312"/>
                <w:color w:val="auto"/>
                <w:kern w:val="0"/>
                <w:sz w:val="22"/>
                <w:szCs w:val="22"/>
              </w:rPr>
            </w:pPr>
            <w:r>
              <w:rPr>
                <w:rFonts w:hint="eastAsia" w:ascii="仿宋_GB2312" w:hAnsi="仿宋" w:eastAsia="仿宋_GB2312"/>
                <w:color w:val="auto"/>
                <w:kern w:val="0"/>
                <w:sz w:val="22"/>
                <w:szCs w:val="22"/>
              </w:rPr>
              <w:t>螺溪镇（所有行政村）、南万镇（所有行政村）</w:t>
            </w:r>
          </w:p>
        </w:tc>
      </w:tr>
    </w:tbl>
    <w:p>
      <w:pPr>
        <w:rPr>
          <w:rFonts w:ascii="仿宋" w:hAnsi="仿宋" w:eastAsia="仿宋" w:cs="仿宋"/>
          <w:color w:val="auto"/>
          <w:sz w:val="22"/>
        </w:rPr>
      </w:pPr>
      <w:r>
        <w:rPr>
          <w:rFonts w:hint="eastAsia" w:ascii="仿宋" w:hAnsi="仿宋" w:eastAsia="仿宋" w:cs="仿宋"/>
          <w:color w:val="auto"/>
          <w:sz w:val="22"/>
        </w:rPr>
        <w:t>注：1.全市统一设定林地调节系数0.45；</w:t>
      </w:r>
    </w:p>
    <w:p>
      <w:pPr>
        <w:ind w:firstLine="440" w:firstLineChars="200"/>
        <w:rPr>
          <w:rFonts w:ascii="仿宋" w:hAnsi="仿宋" w:eastAsia="仿宋" w:cs="仿宋"/>
          <w:color w:val="auto"/>
          <w:sz w:val="22"/>
        </w:rPr>
      </w:pPr>
      <w:r>
        <w:rPr>
          <w:rFonts w:hint="eastAsia" w:ascii="仿宋" w:hAnsi="仿宋" w:eastAsia="仿宋" w:cs="仿宋"/>
          <w:color w:val="auto"/>
          <w:sz w:val="22"/>
        </w:rPr>
        <w:t>2.征收建设用地参照征收农用地区片综合地价执行；</w:t>
      </w:r>
    </w:p>
    <w:p>
      <w:pPr>
        <w:ind w:firstLine="440" w:firstLineChars="200"/>
        <w:rPr>
          <w:color w:val="auto"/>
        </w:rPr>
      </w:pPr>
      <w:r>
        <w:rPr>
          <w:rFonts w:hint="eastAsia" w:ascii="仿宋" w:hAnsi="仿宋" w:eastAsia="仿宋" w:cs="仿宋"/>
          <w:color w:val="auto"/>
          <w:sz w:val="22"/>
        </w:rPr>
        <w:t>3.征收未利用地参照征收农用地区片综合地价设定调节系数0.4执行。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sectPr>
          <w:pgSz w:w="16838" w:h="11906" w:orient="landscape"/>
          <w:pgMar w:top="1587" w:right="2098" w:bottom="1587" w:left="1928" w:header="851" w:footer="992" w:gutter="0"/>
          <w:cols w:space="0" w:num="1"/>
          <w:rtlGutter w:val="0"/>
          <w:docGrid w:type="lines" w:linePitch="312" w:charSpace="0"/>
        </w:sectPr>
      </w:pPr>
    </w:p>
    <w:p>
      <w:pPr>
        <w:pStyle w:val="6"/>
        <w:bidi w:val="0"/>
        <w:jc w:val="left"/>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附件2</w:t>
      </w:r>
    </w:p>
    <w:tbl>
      <w:tblPr>
        <w:tblStyle w:val="3"/>
        <w:tblW w:w="11250" w:type="dxa"/>
        <w:jc w:val="center"/>
        <w:tblCellSpacing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133"/>
        <w:gridCol w:w="762"/>
        <w:gridCol w:w="3057"/>
        <w:gridCol w:w="1075"/>
        <w:gridCol w:w="1360"/>
        <w:gridCol w:w="28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6" w:hRule="atLeast"/>
          <w:tblCellSpacing w:w="15" w:type="dxa"/>
          <w:jc w:val="center"/>
        </w:trPr>
        <w:tc>
          <w:tcPr>
            <w:tcW w:w="11190" w:type="dxa"/>
            <w:gridSpan w:val="6"/>
            <w:shd w:val="clear" w:color="auto" w:fill="FFFFFF"/>
            <w:vAlign w:val="center"/>
          </w:tcPr>
          <w:p>
            <w:pPr>
              <w:jc w:val="center"/>
              <w:rPr>
                <w:rFonts w:hint="default"/>
                <w:color w:val="auto"/>
                <w:lang w:val="en-US" w:eastAsia="zh-CN"/>
              </w:rPr>
            </w:pPr>
            <w:r>
              <w:rPr>
                <w:rFonts w:hint="default"/>
                <w:b/>
                <w:bCs/>
                <w:color w:val="auto"/>
                <w:sz w:val="32"/>
                <w:szCs w:val="40"/>
                <w:lang w:val="en-US" w:eastAsia="zh-CN"/>
              </w:rPr>
              <w:t>陆河县征地青苗补偿标准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6" w:hRule="atLeast"/>
          <w:tblCellSpacing w:w="15" w:type="dxa"/>
          <w:jc w:val="center"/>
        </w:trPr>
        <w:tc>
          <w:tcPr>
            <w:tcW w:w="2088" w:type="dxa"/>
            <w:vMerge w:val="restart"/>
            <w:shd w:val="clear" w:color="auto" w:fill="FFFFFF"/>
            <w:vAlign w:val="center"/>
          </w:tcPr>
          <w:p>
            <w:pPr>
              <w:jc w:val="center"/>
              <w:rPr>
                <w:rFonts w:hint="default"/>
                <w:color w:val="auto"/>
                <w:lang w:val="en-US" w:eastAsia="zh-CN"/>
              </w:rPr>
            </w:pPr>
            <w:r>
              <w:rPr>
                <w:rFonts w:hint="default"/>
                <w:color w:val="auto"/>
                <w:lang w:val="en-US" w:eastAsia="zh-CN"/>
              </w:rPr>
              <w:t>项目种类</w:t>
            </w:r>
          </w:p>
        </w:tc>
        <w:tc>
          <w:tcPr>
            <w:tcW w:w="3789" w:type="dxa"/>
            <w:gridSpan w:val="2"/>
            <w:shd w:val="clear" w:color="auto" w:fill="FFFFFF"/>
            <w:vAlign w:val="center"/>
          </w:tcPr>
          <w:p>
            <w:pPr>
              <w:jc w:val="center"/>
              <w:rPr>
                <w:rFonts w:hint="default"/>
                <w:color w:val="auto"/>
                <w:lang w:val="en-US" w:eastAsia="zh-CN"/>
              </w:rPr>
            </w:pPr>
            <w:r>
              <w:rPr>
                <w:rFonts w:hint="default"/>
                <w:color w:val="auto"/>
                <w:lang w:val="en-US" w:eastAsia="zh-CN"/>
              </w:rPr>
              <w:t>规格</w:t>
            </w:r>
          </w:p>
        </w:tc>
        <w:tc>
          <w:tcPr>
            <w:tcW w:w="2405" w:type="dxa"/>
            <w:gridSpan w:val="2"/>
            <w:shd w:val="clear" w:color="auto" w:fill="FFFFFF"/>
            <w:vAlign w:val="center"/>
          </w:tcPr>
          <w:p>
            <w:pPr>
              <w:jc w:val="center"/>
              <w:rPr>
                <w:rFonts w:hint="default"/>
                <w:color w:val="auto"/>
                <w:lang w:val="en-US" w:eastAsia="zh-CN"/>
              </w:rPr>
            </w:pPr>
            <w:r>
              <w:rPr>
                <w:rFonts w:hint="default"/>
                <w:color w:val="auto"/>
                <w:lang w:val="en-US" w:eastAsia="zh-CN"/>
              </w:rPr>
              <w:t>单价（元）</w:t>
            </w:r>
          </w:p>
        </w:tc>
        <w:tc>
          <w:tcPr>
            <w:tcW w:w="2818" w:type="dxa"/>
            <w:vMerge w:val="restart"/>
            <w:shd w:val="clear" w:color="auto" w:fill="FFFFFF"/>
            <w:vAlign w:val="center"/>
          </w:tcPr>
          <w:p>
            <w:pPr>
              <w:jc w:val="center"/>
              <w:rPr>
                <w:rFonts w:hint="default"/>
                <w:color w:val="auto"/>
                <w:lang w:val="en-US" w:eastAsia="zh-CN"/>
              </w:rPr>
            </w:pPr>
            <w:r>
              <w:rPr>
                <w:rFonts w:hint="default"/>
                <w:color w:val="auto"/>
                <w:lang w:val="en-US" w:eastAsia="zh-CN"/>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6" w:hRule="atLeast"/>
          <w:tblCellSpacing w:w="15" w:type="dxa"/>
          <w:jc w:val="center"/>
        </w:trPr>
        <w:tc>
          <w:tcPr>
            <w:tcW w:w="2088" w:type="dxa"/>
            <w:vMerge w:val="continue"/>
            <w:shd w:val="clear" w:color="auto" w:fill="FFFFFF"/>
            <w:vAlign w:val="center"/>
          </w:tcPr>
          <w:p>
            <w:pPr>
              <w:jc w:val="center"/>
              <w:rPr>
                <w:rFonts w:hint="default"/>
                <w:color w:val="auto"/>
                <w:lang w:val="en-US" w:eastAsia="zh-CN"/>
              </w:rPr>
            </w:pP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大小</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划分标准</w:t>
            </w:r>
          </w:p>
        </w:tc>
        <w:tc>
          <w:tcPr>
            <w:tcW w:w="1045" w:type="dxa"/>
            <w:shd w:val="clear" w:color="auto" w:fill="FFFFFF"/>
            <w:vAlign w:val="center"/>
          </w:tcPr>
          <w:p>
            <w:pPr>
              <w:jc w:val="center"/>
              <w:rPr>
                <w:rFonts w:hint="default"/>
                <w:color w:val="auto"/>
                <w:lang w:val="en-US" w:eastAsia="zh-CN"/>
              </w:rPr>
            </w:pPr>
            <w:r>
              <w:rPr>
                <w:rFonts w:hint="default"/>
                <w:color w:val="auto"/>
                <w:lang w:val="en-US" w:eastAsia="zh-CN"/>
              </w:rPr>
              <w:t>株价</w:t>
            </w: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亩价</w:t>
            </w:r>
          </w:p>
        </w:tc>
        <w:tc>
          <w:tcPr>
            <w:tcW w:w="2818" w:type="dxa"/>
            <w:vMerge w:val="continue"/>
            <w:shd w:val="clear" w:color="auto" w:fill="FFFFFF"/>
            <w:vAlign w:val="center"/>
          </w:tcPr>
          <w:p>
            <w:pPr>
              <w:jc w:val="center"/>
              <w:rPr>
                <w:rFonts w:hint="default"/>
                <w:color w:val="auto"/>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tblCellSpacing w:w="15" w:type="dxa"/>
          <w:jc w:val="center"/>
        </w:trPr>
        <w:tc>
          <w:tcPr>
            <w:tcW w:w="2088" w:type="dxa"/>
            <w:shd w:val="clear" w:color="auto" w:fill="FFFFFF"/>
            <w:vAlign w:val="center"/>
          </w:tcPr>
          <w:p>
            <w:pPr>
              <w:jc w:val="center"/>
              <w:rPr>
                <w:rFonts w:hint="default"/>
                <w:color w:val="auto"/>
                <w:lang w:val="en-US" w:eastAsia="zh-CN"/>
              </w:rPr>
            </w:pPr>
            <w:r>
              <w:rPr>
                <w:rFonts w:hint="default"/>
                <w:color w:val="auto"/>
                <w:lang w:val="en-US" w:eastAsia="zh-CN"/>
              </w:rPr>
              <w:t>水稻、番薯、</w:t>
            </w:r>
            <w:r>
              <w:rPr>
                <w:rFonts w:hint="default"/>
                <w:color w:val="auto"/>
                <w:lang w:val="en-US" w:eastAsia="zh-CN"/>
              </w:rPr>
              <w:br w:type="textWrapping"/>
            </w:r>
            <w:r>
              <w:rPr>
                <w:rFonts w:hint="default"/>
                <w:color w:val="auto"/>
                <w:lang w:val="en-US" w:eastAsia="zh-CN"/>
              </w:rPr>
              <w:t>花生、玉米等作物</w:t>
            </w:r>
          </w:p>
        </w:tc>
        <w:tc>
          <w:tcPr>
            <w:tcW w:w="732" w:type="dxa"/>
            <w:shd w:val="clear" w:color="auto" w:fill="FFFFFF"/>
            <w:vAlign w:val="center"/>
          </w:tcPr>
          <w:p>
            <w:pPr>
              <w:jc w:val="center"/>
              <w:rPr>
                <w:rFonts w:hint="default"/>
                <w:color w:val="auto"/>
                <w:lang w:val="en-US" w:eastAsia="zh-CN"/>
              </w:rPr>
            </w:pP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根据生长情况适当补偿</w:t>
            </w:r>
          </w:p>
        </w:tc>
        <w:tc>
          <w:tcPr>
            <w:tcW w:w="1045" w:type="dxa"/>
            <w:shd w:val="clear" w:color="auto" w:fill="FFFFFF"/>
            <w:vAlign w:val="center"/>
          </w:tcPr>
          <w:p>
            <w:pPr>
              <w:jc w:val="center"/>
              <w:rPr>
                <w:rFonts w:hint="default"/>
                <w:color w:val="auto"/>
                <w:lang w:val="en-US" w:eastAsia="zh-CN"/>
              </w:rPr>
            </w:pP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800－1000</w:t>
            </w:r>
          </w:p>
        </w:tc>
        <w:tc>
          <w:tcPr>
            <w:tcW w:w="2818" w:type="dxa"/>
            <w:shd w:val="clear" w:color="auto" w:fill="FFFFFF"/>
            <w:vAlign w:val="center"/>
          </w:tcPr>
          <w:p>
            <w:pPr>
              <w:jc w:val="center"/>
              <w:rPr>
                <w:rFonts w:hint="default"/>
                <w:color w:val="auto"/>
                <w:lang w:val="en-US" w:eastAsia="zh-CN"/>
              </w:rPr>
            </w:pPr>
            <w:r>
              <w:rPr>
                <w:rFonts w:hint="default"/>
                <w:color w:val="auto"/>
                <w:lang w:val="en-US" w:eastAsia="zh-CN"/>
              </w:rPr>
              <w:t>每亩最高</w:t>
            </w:r>
            <w:r>
              <w:rPr>
                <w:rFonts w:hint="default"/>
                <w:color w:val="auto"/>
                <w:lang w:val="en-US" w:eastAsia="zh-CN"/>
              </w:rPr>
              <w:br w:type="textWrapping"/>
            </w:r>
            <w:r>
              <w:rPr>
                <w:rFonts w:hint="default"/>
                <w:color w:val="auto"/>
                <w:lang w:val="en-US" w:eastAsia="zh-CN"/>
              </w:rPr>
              <w:t>不超过1000元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tblCellSpacing w:w="15" w:type="dxa"/>
          <w:jc w:val="center"/>
        </w:trPr>
        <w:tc>
          <w:tcPr>
            <w:tcW w:w="2088" w:type="dxa"/>
            <w:shd w:val="clear" w:color="auto" w:fill="FFFFFF"/>
            <w:vAlign w:val="center"/>
          </w:tcPr>
          <w:p>
            <w:pPr>
              <w:jc w:val="center"/>
              <w:rPr>
                <w:rFonts w:hint="default"/>
                <w:color w:val="auto"/>
                <w:lang w:val="en-US" w:eastAsia="zh-CN"/>
              </w:rPr>
            </w:pPr>
            <w:r>
              <w:rPr>
                <w:rFonts w:hint="default"/>
                <w:color w:val="auto"/>
                <w:lang w:val="en-US" w:eastAsia="zh-CN"/>
              </w:rPr>
              <w:t>甘蔗、蔬菜、莲藕、</w:t>
            </w:r>
            <w:r>
              <w:rPr>
                <w:rFonts w:hint="default"/>
                <w:color w:val="auto"/>
                <w:lang w:val="en-US" w:eastAsia="zh-CN"/>
              </w:rPr>
              <w:br w:type="textWrapping"/>
            </w:r>
            <w:r>
              <w:rPr>
                <w:rFonts w:hint="default"/>
                <w:color w:val="auto"/>
                <w:lang w:val="en-US" w:eastAsia="zh-CN"/>
              </w:rPr>
              <w:t>芋头、瓜果类等作物</w:t>
            </w:r>
          </w:p>
        </w:tc>
        <w:tc>
          <w:tcPr>
            <w:tcW w:w="732" w:type="dxa"/>
            <w:shd w:val="clear" w:color="auto" w:fill="FFFFFF"/>
            <w:vAlign w:val="center"/>
          </w:tcPr>
          <w:p>
            <w:pPr>
              <w:jc w:val="center"/>
              <w:rPr>
                <w:rFonts w:hint="default"/>
                <w:color w:val="auto"/>
                <w:lang w:val="en-US" w:eastAsia="zh-CN"/>
              </w:rPr>
            </w:pP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根据生长情况适当补偿</w:t>
            </w:r>
          </w:p>
        </w:tc>
        <w:tc>
          <w:tcPr>
            <w:tcW w:w="1045" w:type="dxa"/>
            <w:shd w:val="clear" w:color="auto" w:fill="FFFFFF"/>
            <w:vAlign w:val="center"/>
          </w:tcPr>
          <w:p>
            <w:pPr>
              <w:jc w:val="center"/>
              <w:rPr>
                <w:rFonts w:hint="default"/>
                <w:color w:val="auto"/>
                <w:lang w:val="en-US" w:eastAsia="zh-CN"/>
              </w:rPr>
            </w:pP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2000－2500</w:t>
            </w:r>
          </w:p>
        </w:tc>
        <w:tc>
          <w:tcPr>
            <w:tcW w:w="2818" w:type="dxa"/>
            <w:shd w:val="clear" w:color="auto" w:fill="FFFFFF"/>
            <w:vAlign w:val="center"/>
          </w:tcPr>
          <w:p>
            <w:pPr>
              <w:jc w:val="center"/>
              <w:rPr>
                <w:rFonts w:hint="default"/>
                <w:color w:val="auto"/>
                <w:lang w:val="en-US" w:eastAsia="zh-CN"/>
              </w:rPr>
            </w:pPr>
            <w:r>
              <w:rPr>
                <w:rFonts w:hint="default"/>
                <w:color w:val="auto"/>
                <w:lang w:val="en-US" w:eastAsia="zh-CN"/>
              </w:rPr>
              <w:t>每亩最高</w:t>
            </w:r>
            <w:r>
              <w:rPr>
                <w:rFonts w:hint="default"/>
                <w:color w:val="auto"/>
                <w:lang w:val="en-US" w:eastAsia="zh-CN"/>
              </w:rPr>
              <w:br w:type="textWrapping"/>
            </w:r>
            <w:r>
              <w:rPr>
                <w:rFonts w:hint="default"/>
                <w:color w:val="auto"/>
                <w:lang w:val="en-US" w:eastAsia="zh-CN"/>
              </w:rPr>
              <w:t>不超过2500元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tblCellSpacing w:w="15" w:type="dxa"/>
          <w:jc w:val="center"/>
        </w:trPr>
        <w:tc>
          <w:tcPr>
            <w:tcW w:w="2088" w:type="dxa"/>
            <w:vMerge w:val="restart"/>
            <w:shd w:val="clear" w:color="auto" w:fill="FFFFFF"/>
            <w:vAlign w:val="center"/>
          </w:tcPr>
          <w:p>
            <w:pPr>
              <w:jc w:val="center"/>
              <w:rPr>
                <w:rFonts w:hint="default"/>
                <w:color w:val="auto"/>
                <w:lang w:val="en-US" w:eastAsia="zh-CN"/>
              </w:rPr>
            </w:pPr>
            <w:r>
              <w:rPr>
                <w:rFonts w:hint="default"/>
                <w:color w:val="auto"/>
                <w:lang w:val="en-US" w:eastAsia="zh-CN"/>
              </w:rPr>
              <w:t>香蕉</w:t>
            </w: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大</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种植时间在10个月以上、</w:t>
            </w:r>
            <w:r>
              <w:rPr>
                <w:rFonts w:hint="default"/>
                <w:color w:val="auto"/>
                <w:lang w:val="en-US" w:eastAsia="zh-CN"/>
              </w:rPr>
              <w:br w:type="textWrapping"/>
            </w:r>
            <w:r>
              <w:rPr>
                <w:rFonts w:hint="default"/>
                <w:color w:val="auto"/>
                <w:lang w:val="en-US" w:eastAsia="zh-CN"/>
              </w:rPr>
              <w:t>高度1.5米以上</w:t>
            </w:r>
          </w:p>
        </w:tc>
        <w:tc>
          <w:tcPr>
            <w:tcW w:w="1045" w:type="dxa"/>
            <w:shd w:val="clear" w:color="auto" w:fill="FFFFFF"/>
            <w:vAlign w:val="center"/>
          </w:tcPr>
          <w:p>
            <w:pPr>
              <w:jc w:val="center"/>
              <w:rPr>
                <w:rFonts w:hint="default"/>
                <w:color w:val="auto"/>
                <w:lang w:val="en-US" w:eastAsia="zh-CN"/>
              </w:rPr>
            </w:pPr>
            <w:r>
              <w:rPr>
                <w:rFonts w:hint="default"/>
                <w:color w:val="auto"/>
                <w:lang w:val="en-US" w:eastAsia="zh-CN"/>
              </w:rPr>
              <w:t>30</w:t>
            </w: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4000</w:t>
            </w:r>
          </w:p>
        </w:tc>
        <w:tc>
          <w:tcPr>
            <w:tcW w:w="2818" w:type="dxa"/>
            <w:vMerge w:val="restart"/>
            <w:shd w:val="clear" w:color="auto" w:fill="FFFFFF"/>
            <w:vAlign w:val="center"/>
          </w:tcPr>
          <w:p>
            <w:pPr>
              <w:jc w:val="center"/>
              <w:rPr>
                <w:rFonts w:hint="default"/>
                <w:color w:val="auto"/>
                <w:lang w:val="en-US" w:eastAsia="zh-CN"/>
              </w:rPr>
            </w:pPr>
            <w:r>
              <w:rPr>
                <w:rFonts w:hint="default"/>
                <w:color w:val="auto"/>
                <w:lang w:val="en-US" w:eastAsia="zh-CN"/>
              </w:rPr>
              <w:t>每亩最多</w:t>
            </w:r>
            <w:r>
              <w:rPr>
                <w:rFonts w:hint="default"/>
                <w:color w:val="auto"/>
                <w:lang w:val="en-US" w:eastAsia="zh-CN"/>
              </w:rPr>
              <w:br w:type="textWrapping"/>
            </w:r>
            <w:r>
              <w:rPr>
                <w:rFonts w:hint="default"/>
                <w:color w:val="auto"/>
                <w:lang w:val="en-US" w:eastAsia="zh-CN"/>
              </w:rPr>
              <w:t>不超过133株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tblCellSpacing w:w="15" w:type="dxa"/>
          <w:jc w:val="center"/>
        </w:trPr>
        <w:tc>
          <w:tcPr>
            <w:tcW w:w="2088" w:type="dxa"/>
            <w:vMerge w:val="continue"/>
            <w:shd w:val="clear" w:color="auto" w:fill="FFFFFF"/>
            <w:vAlign w:val="center"/>
          </w:tcPr>
          <w:p>
            <w:pPr>
              <w:jc w:val="center"/>
              <w:rPr>
                <w:rFonts w:hint="default"/>
                <w:color w:val="auto"/>
                <w:lang w:val="en-US" w:eastAsia="zh-CN"/>
              </w:rPr>
            </w:pP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中</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种植时间在7至10个月以内、</w:t>
            </w:r>
            <w:r>
              <w:rPr>
                <w:rFonts w:hint="default"/>
                <w:color w:val="auto"/>
                <w:lang w:val="en-US" w:eastAsia="zh-CN"/>
              </w:rPr>
              <w:br w:type="textWrapping"/>
            </w:r>
            <w:r>
              <w:rPr>
                <w:rFonts w:hint="default"/>
                <w:color w:val="auto"/>
                <w:lang w:val="en-US" w:eastAsia="zh-CN"/>
              </w:rPr>
              <w:t>高度1至1.5米以内</w:t>
            </w:r>
          </w:p>
        </w:tc>
        <w:tc>
          <w:tcPr>
            <w:tcW w:w="1045" w:type="dxa"/>
            <w:shd w:val="clear" w:color="auto" w:fill="FFFFFF"/>
            <w:vAlign w:val="center"/>
          </w:tcPr>
          <w:p>
            <w:pPr>
              <w:jc w:val="center"/>
              <w:rPr>
                <w:rFonts w:hint="default"/>
                <w:color w:val="auto"/>
                <w:lang w:val="en-US" w:eastAsia="zh-CN"/>
              </w:rPr>
            </w:pPr>
            <w:r>
              <w:rPr>
                <w:rFonts w:hint="default"/>
                <w:color w:val="auto"/>
                <w:lang w:val="en-US" w:eastAsia="zh-CN"/>
              </w:rPr>
              <w:t>25</w:t>
            </w: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3325</w:t>
            </w:r>
          </w:p>
        </w:tc>
        <w:tc>
          <w:tcPr>
            <w:tcW w:w="2818" w:type="dxa"/>
            <w:vMerge w:val="continue"/>
            <w:shd w:val="clear" w:color="auto" w:fill="FFFFFF"/>
            <w:vAlign w:val="center"/>
          </w:tcPr>
          <w:p>
            <w:pPr>
              <w:jc w:val="center"/>
              <w:rPr>
                <w:rFonts w:hint="default"/>
                <w:color w:val="auto"/>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tblCellSpacing w:w="15" w:type="dxa"/>
          <w:jc w:val="center"/>
        </w:trPr>
        <w:tc>
          <w:tcPr>
            <w:tcW w:w="2088" w:type="dxa"/>
            <w:vMerge w:val="continue"/>
            <w:shd w:val="clear" w:color="auto" w:fill="FFFFFF"/>
            <w:vAlign w:val="center"/>
          </w:tcPr>
          <w:p>
            <w:pPr>
              <w:jc w:val="center"/>
              <w:rPr>
                <w:rFonts w:hint="default"/>
                <w:color w:val="auto"/>
                <w:lang w:val="en-US" w:eastAsia="zh-CN"/>
              </w:rPr>
            </w:pP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小</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种植时间在3至7个月以内、</w:t>
            </w:r>
            <w:r>
              <w:rPr>
                <w:rFonts w:hint="default"/>
                <w:color w:val="auto"/>
                <w:lang w:val="en-US" w:eastAsia="zh-CN"/>
              </w:rPr>
              <w:br w:type="textWrapping"/>
            </w:r>
            <w:r>
              <w:rPr>
                <w:rFonts w:hint="default"/>
                <w:color w:val="auto"/>
                <w:lang w:val="en-US" w:eastAsia="zh-CN"/>
              </w:rPr>
              <w:t>高度0.6至1米以内</w:t>
            </w:r>
          </w:p>
        </w:tc>
        <w:tc>
          <w:tcPr>
            <w:tcW w:w="1045" w:type="dxa"/>
            <w:shd w:val="clear" w:color="auto" w:fill="FFFFFF"/>
            <w:vAlign w:val="center"/>
          </w:tcPr>
          <w:p>
            <w:pPr>
              <w:jc w:val="center"/>
              <w:rPr>
                <w:rFonts w:hint="default"/>
                <w:color w:val="auto"/>
                <w:lang w:val="en-US" w:eastAsia="zh-CN"/>
              </w:rPr>
            </w:pPr>
            <w:r>
              <w:rPr>
                <w:rFonts w:hint="default"/>
                <w:color w:val="auto"/>
                <w:lang w:val="en-US" w:eastAsia="zh-CN"/>
              </w:rPr>
              <w:t>20</w:t>
            </w: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2660</w:t>
            </w:r>
          </w:p>
        </w:tc>
        <w:tc>
          <w:tcPr>
            <w:tcW w:w="2818" w:type="dxa"/>
            <w:vMerge w:val="continue"/>
            <w:shd w:val="clear" w:color="auto" w:fill="FFFFFF"/>
            <w:vAlign w:val="center"/>
          </w:tcPr>
          <w:p>
            <w:pPr>
              <w:jc w:val="center"/>
              <w:rPr>
                <w:rFonts w:hint="default"/>
                <w:color w:val="auto"/>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tblCellSpacing w:w="15" w:type="dxa"/>
          <w:jc w:val="center"/>
        </w:trPr>
        <w:tc>
          <w:tcPr>
            <w:tcW w:w="2088" w:type="dxa"/>
            <w:vMerge w:val="continue"/>
            <w:shd w:val="clear" w:color="auto" w:fill="FFFFFF"/>
            <w:vAlign w:val="center"/>
          </w:tcPr>
          <w:p>
            <w:pPr>
              <w:jc w:val="center"/>
              <w:rPr>
                <w:rFonts w:hint="default"/>
                <w:color w:val="auto"/>
                <w:lang w:val="en-US" w:eastAsia="zh-CN"/>
              </w:rPr>
            </w:pP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幼苗</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种植时间在3个月以内、</w:t>
            </w:r>
            <w:r>
              <w:rPr>
                <w:rFonts w:hint="default"/>
                <w:color w:val="auto"/>
                <w:lang w:val="en-US" w:eastAsia="zh-CN"/>
              </w:rPr>
              <w:br w:type="textWrapping"/>
            </w:r>
            <w:r>
              <w:rPr>
                <w:rFonts w:hint="default"/>
                <w:color w:val="auto"/>
                <w:lang w:val="en-US" w:eastAsia="zh-CN"/>
              </w:rPr>
              <w:t>高度0.6米以下</w:t>
            </w:r>
          </w:p>
        </w:tc>
        <w:tc>
          <w:tcPr>
            <w:tcW w:w="1045" w:type="dxa"/>
            <w:shd w:val="clear" w:color="auto" w:fill="FFFFFF"/>
            <w:vAlign w:val="center"/>
          </w:tcPr>
          <w:p>
            <w:pPr>
              <w:jc w:val="center"/>
              <w:rPr>
                <w:rFonts w:hint="default"/>
                <w:color w:val="auto"/>
                <w:lang w:val="en-US" w:eastAsia="zh-CN"/>
              </w:rPr>
            </w:pPr>
            <w:r>
              <w:rPr>
                <w:rFonts w:hint="default"/>
                <w:color w:val="auto"/>
                <w:lang w:val="en-US" w:eastAsia="zh-CN"/>
              </w:rPr>
              <w:t>10</w:t>
            </w: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1330</w:t>
            </w:r>
          </w:p>
        </w:tc>
        <w:tc>
          <w:tcPr>
            <w:tcW w:w="2818" w:type="dxa"/>
            <w:vMerge w:val="continue"/>
            <w:shd w:val="clear" w:color="auto" w:fill="FFFFFF"/>
            <w:vAlign w:val="center"/>
          </w:tcPr>
          <w:p>
            <w:pPr>
              <w:jc w:val="center"/>
              <w:rPr>
                <w:rFonts w:hint="default"/>
                <w:color w:val="auto"/>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tblCellSpacing w:w="15" w:type="dxa"/>
          <w:jc w:val="center"/>
        </w:trPr>
        <w:tc>
          <w:tcPr>
            <w:tcW w:w="2088" w:type="dxa"/>
            <w:vMerge w:val="restart"/>
            <w:shd w:val="clear" w:color="auto" w:fill="FFFFFF"/>
            <w:vAlign w:val="center"/>
          </w:tcPr>
          <w:p>
            <w:pPr>
              <w:jc w:val="center"/>
              <w:rPr>
                <w:rFonts w:hint="default"/>
                <w:color w:val="auto"/>
                <w:lang w:val="en-US" w:eastAsia="zh-CN"/>
              </w:rPr>
            </w:pPr>
            <w:r>
              <w:rPr>
                <w:rFonts w:hint="default"/>
                <w:color w:val="auto"/>
                <w:lang w:val="en-US" w:eastAsia="zh-CN"/>
              </w:rPr>
              <w:t>梅、李、桃、</w:t>
            </w:r>
            <w:r>
              <w:rPr>
                <w:rFonts w:hint="default"/>
                <w:color w:val="auto"/>
                <w:lang w:val="en-US" w:eastAsia="zh-CN"/>
              </w:rPr>
              <w:br w:type="textWrapping"/>
            </w:r>
            <w:r>
              <w:rPr>
                <w:rFonts w:hint="default"/>
                <w:color w:val="auto"/>
                <w:lang w:val="en-US" w:eastAsia="zh-CN"/>
              </w:rPr>
              <w:t>番石榴等果树</w:t>
            </w: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特大</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种植时间在10年以上、</w:t>
            </w:r>
            <w:r>
              <w:rPr>
                <w:rFonts w:hint="default"/>
                <w:color w:val="auto"/>
                <w:lang w:val="en-US" w:eastAsia="zh-CN"/>
              </w:rPr>
              <w:br w:type="textWrapping"/>
            </w:r>
            <w:r>
              <w:rPr>
                <w:rFonts w:hint="default"/>
                <w:color w:val="auto"/>
                <w:lang w:val="en-US" w:eastAsia="zh-CN"/>
              </w:rPr>
              <w:t>高度2米以上</w:t>
            </w:r>
          </w:p>
        </w:tc>
        <w:tc>
          <w:tcPr>
            <w:tcW w:w="1045" w:type="dxa"/>
            <w:shd w:val="clear" w:color="auto" w:fill="FFFFFF"/>
            <w:vAlign w:val="center"/>
          </w:tcPr>
          <w:p>
            <w:pPr>
              <w:jc w:val="center"/>
              <w:rPr>
                <w:rFonts w:hint="default"/>
                <w:color w:val="auto"/>
                <w:lang w:val="en-US" w:eastAsia="zh-CN"/>
              </w:rPr>
            </w:pPr>
            <w:r>
              <w:rPr>
                <w:rFonts w:hint="default"/>
                <w:color w:val="auto"/>
                <w:lang w:val="en-US" w:eastAsia="zh-CN"/>
              </w:rPr>
              <w:t>150</w:t>
            </w: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9000</w:t>
            </w:r>
          </w:p>
        </w:tc>
        <w:tc>
          <w:tcPr>
            <w:tcW w:w="2818" w:type="dxa"/>
            <w:vMerge w:val="restart"/>
            <w:shd w:val="clear" w:color="auto" w:fill="FFFFFF"/>
            <w:vAlign w:val="center"/>
          </w:tcPr>
          <w:p>
            <w:pPr>
              <w:jc w:val="center"/>
              <w:rPr>
                <w:rFonts w:hint="default"/>
                <w:color w:val="auto"/>
                <w:lang w:val="en-US" w:eastAsia="zh-CN"/>
              </w:rPr>
            </w:pPr>
            <w:r>
              <w:rPr>
                <w:rFonts w:hint="default"/>
                <w:color w:val="auto"/>
                <w:lang w:val="en-US" w:eastAsia="zh-CN"/>
              </w:rPr>
              <w:t>每亩最多</w:t>
            </w:r>
            <w:r>
              <w:rPr>
                <w:rFonts w:hint="default"/>
                <w:color w:val="auto"/>
                <w:lang w:val="en-US" w:eastAsia="zh-CN"/>
              </w:rPr>
              <w:br w:type="textWrapping"/>
            </w:r>
            <w:r>
              <w:rPr>
                <w:rFonts w:hint="default"/>
                <w:color w:val="auto"/>
                <w:lang w:val="en-US" w:eastAsia="zh-CN"/>
              </w:rPr>
              <w:t>不超过60株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tblCellSpacing w:w="15" w:type="dxa"/>
          <w:jc w:val="center"/>
        </w:trPr>
        <w:tc>
          <w:tcPr>
            <w:tcW w:w="2088" w:type="dxa"/>
            <w:vMerge w:val="continue"/>
            <w:shd w:val="clear" w:color="auto" w:fill="FFFFFF"/>
            <w:vAlign w:val="center"/>
          </w:tcPr>
          <w:p>
            <w:pPr>
              <w:jc w:val="center"/>
              <w:rPr>
                <w:rFonts w:hint="default"/>
                <w:color w:val="auto"/>
                <w:lang w:val="en-US" w:eastAsia="zh-CN"/>
              </w:rPr>
            </w:pP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大</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种植时间在3年至10年以内、</w:t>
            </w:r>
            <w:r>
              <w:rPr>
                <w:rFonts w:hint="default"/>
                <w:color w:val="auto"/>
                <w:lang w:val="en-US" w:eastAsia="zh-CN"/>
              </w:rPr>
              <w:br w:type="textWrapping"/>
            </w:r>
            <w:r>
              <w:rPr>
                <w:rFonts w:hint="default"/>
                <w:color w:val="auto"/>
                <w:lang w:val="en-US" w:eastAsia="zh-CN"/>
              </w:rPr>
              <w:t>高度1.5至2米以内</w:t>
            </w:r>
          </w:p>
        </w:tc>
        <w:tc>
          <w:tcPr>
            <w:tcW w:w="1045" w:type="dxa"/>
            <w:shd w:val="clear" w:color="auto" w:fill="FFFFFF"/>
            <w:vAlign w:val="center"/>
          </w:tcPr>
          <w:p>
            <w:pPr>
              <w:jc w:val="center"/>
              <w:rPr>
                <w:rFonts w:hint="default"/>
                <w:color w:val="auto"/>
                <w:lang w:val="en-US" w:eastAsia="zh-CN"/>
              </w:rPr>
            </w:pPr>
            <w:r>
              <w:rPr>
                <w:rFonts w:hint="default"/>
                <w:color w:val="auto"/>
                <w:lang w:val="en-US" w:eastAsia="zh-CN"/>
              </w:rPr>
              <w:t>90</w:t>
            </w: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5400</w:t>
            </w:r>
          </w:p>
        </w:tc>
        <w:tc>
          <w:tcPr>
            <w:tcW w:w="2818" w:type="dxa"/>
            <w:vMerge w:val="continue"/>
            <w:shd w:val="clear" w:color="auto" w:fill="FFFFFF"/>
            <w:vAlign w:val="center"/>
          </w:tcPr>
          <w:p>
            <w:pPr>
              <w:jc w:val="center"/>
              <w:rPr>
                <w:rFonts w:hint="default"/>
                <w:color w:val="auto"/>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tblCellSpacing w:w="15" w:type="dxa"/>
          <w:jc w:val="center"/>
        </w:trPr>
        <w:tc>
          <w:tcPr>
            <w:tcW w:w="2088" w:type="dxa"/>
            <w:vMerge w:val="continue"/>
            <w:shd w:val="clear" w:color="auto" w:fill="FFFFFF"/>
            <w:vAlign w:val="center"/>
          </w:tcPr>
          <w:p>
            <w:pPr>
              <w:jc w:val="center"/>
              <w:rPr>
                <w:rFonts w:hint="default"/>
                <w:color w:val="auto"/>
                <w:lang w:val="en-US" w:eastAsia="zh-CN"/>
              </w:rPr>
            </w:pP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中</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种植时间在1年至3年以内、</w:t>
            </w:r>
            <w:r>
              <w:rPr>
                <w:rFonts w:hint="default"/>
                <w:color w:val="auto"/>
                <w:lang w:val="en-US" w:eastAsia="zh-CN"/>
              </w:rPr>
              <w:br w:type="textWrapping"/>
            </w:r>
            <w:r>
              <w:rPr>
                <w:rFonts w:hint="default"/>
                <w:color w:val="auto"/>
                <w:lang w:val="en-US" w:eastAsia="zh-CN"/>
              </w:rPr>
              <w:t>高度0.8至1.5米以内</w:t>
            </w:r>
          </w:p>
        </w:tc>
        <w:tc>
          <w:tcPr>
            <w:tcW w:w="1045" w:type="dxa"/>
            <w:shd w:val="clear" w:color="auto" w:fill="FFFFFF"/>
            <w:vAlign w:val="center"/>
          </w:tcPr>
          <w:p>
            <w:pPr>
              <w:jc w:val="center"/>
              <w:rPr>
                <w:rFonts w:hint="default"/>
                <w:color w:val="auto"/>
                <w:lang w:val="en-US" w:eastAsia="zh-CN"/>
              </w:rPr>
            </w:pPr>
            <w:r>
              <w:rPr>
                <w:rFonts w:hint="default"/>
                <w:color w:val="auto"/>
                <w:lang w:val="en-US" w:eastAsia="zh-CN"/>
              </w:rPr>
              <w:t>50</w:t>
            </w: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3000</w:t>
            </w:r>
          </w:p>
        </w:tc>
        <w:tc>
          <w:tcPr>
            <w:tcW w:w="2818" w:type="dxa"/>
            <w:vMerge w:val="continue"/>
            <w:shd w:val="clear" w:color="auto" w:fill="FFFFFF"/>
            <w:vAlign w:val="center"/>
          </w:tcPr>
          <w:p>
            <w:pPr>
              <w:jc w:val="center"/>
              <w:rPr>
                <w:rFonts w:hint="default"/>
                <w:color w:val="auto"/>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tblCellSpacing w:w="15" w:type="dxa"/>
          <w:jc w:val="center"/>
        </w:trPr>
        <w:tc>
          <w:tcPr>
            <w:tcW w:w="2088" w:type="dxa"/>
            <w:vMerge w:val="continue"/>
            <w:shd w:val="clear" w:color="auto" w:fill="FFFFFF"/>
            <w:vAlign w:val="center"/>
          </w:tcPr>
          <w:p>
            <w:pPr>
              <w:jc w:val="center"/>
              <w:rPr>
                <w:rFonts w:hint="default"/>
                <w:color w:val="auto"/>
                <w:lang w:val="en-US" w:eastAsia="zh-CN"/>
              </w:rPr>
            </w:pP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小</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种植时间在1年以内、</w:t>
            </w:r>
            <w:r>
              <w:rPr>
                <w:rFonts w:hint="default"/>
                <w:color w:val="auto"/>
                <w:lang w:val="en-US" w:eastAsia="zh-CN"/>
              </w:rPr>
              <w:br w:type="textWrapping"/>
            </w:r>
            <w:r>
              <w:rPr>
                <w:rFonts w:hint="default"/>
                <w:color w:val="auto"/>
                <w:lang w:val="en-US" w:eastAsia="zh-CN"/>
              </w:rPr>
              <w:t>高度0.8米以下</w:t>
            </w:r>
          </w:p>
        </w:tc>
        <w:tc>
          <w:tcPr>
            <w:tcW w:w="1045" w:type="dxa"/>
            <w:shd w:val="clear" w:color="auto" w:fill="FFFFFF"/>
            <w:vAlign w:val="center"/>
          </w:tcPr>
          <w:p>
            <w:pPr>
              <w:jc w:val="center"/>
              <w:rPr>
                <w:rFonts w:hint="default"/>
                <w:color w:val="auto"/>
                <w:lang w:val="en-US" w:eastAsia="zh-CN"/>
              </w:rPr>
            </w:pPr>
            <w:r>
              <w:rPr>
                <w:rFonts w:hint="default"/>
                <w:color w:val="auto"/>
                <w:lang w:val="en-US" w:eastAsia="zh-CN"/>
              </w:rPr>
              <w:t>20</w:t>
            </w: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1200</w:t>
            </w:r>
          </w:p>
        </w:tc>
        <w:tc>
          <w:tcPr>
            <w:tcW w:w="2818" w:type="dxa"/>
            <w:vMerge w:val="continue"/>
            <w:shd w:val="clear" w:color="auto" w:fill="FFFFFF"/>
            <w:vAlign w:val="center"/>
          </w:tcPr>
          <w:p>
            <w:pPr>
              <w:jc w:val="center"/>
              <w:rPr>
                <w:rFonts w:hint="default"/>
                <w:color w:val="auto"/>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tblCellSpacing w:w="15" w:type="dxa"/>
          <w:jc w:val="center"/>
        </w:trPr>
        <w:tc>
          <w:tcPr>
            <w:tcW w:w="2088" w:type="dxa"/>
            <w:vMerge w:val="restart"/>
            <w:shd w:val="clear" w:color="auto" w:fill="FFFFFF"/>
            <w:vAlign w:val="center"/>
          </w:tcPr>
          <w:p>
            <w:pPr>
              <w:jc w:val="center"/>
              <w:rPr>
                <w:rFonts w:hint="default"/>
                <w:color w:val="auto"/>
                <w:lang w:val="en-US" w:eastAsia="zh-CN"/>
              </w:rPr>
            </w:pPr>
            <w:r>
              <w:rPr>
                <w:rFonts w:hint="default"/>
                <w:color w:val="auto"/>
                <w:lang w:val="en-US" w:eastAsia="zh-CN"/>
              </w:rPr>
              <w:t>龙眼、荔枝、芒果、</w:t>
            </w:r>
            <w:r>
              <w:rPr>
                <w:rFonts w:hint="default"/>
                <w:color w:val="auto"/>
                <w:lang w:val="en-US" w:eastAsia="zh-CN"/>
              </w:rPr>
              <w:br w:type="textWrapping"/>
            </w:r>
            <w:r>
              <w:rPr>
                <w:rFonts w:hint="default"/>
                <w:color w:val="auto"/>
                <w:lang w:val="en-US" w:eastAsia="zh-CN"/>
              </w:rPr>
              <w:t>黄皮、杨桃等果树</w:t>
            </w: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特大</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种植时间30年以上、树冠直径</w:t>
            </w:r>
            <w:r>
              <w:rPr>
                <w:rFonts w:hint="default"/>
                <w:color w:val="auto"/>
                <w:lang w:val="en-US" w:eastAsia="zh-CN"/>
              </w:rPr>
              <w:br w:type="textWrapping"/>
            </w:r>
            <w:r>
              <w:rPr>
                <w:rFonts w:hint="default"/>
                <w:color w:val="auto"/>
                <w:lang w:val="en-US" w:eastAsia="zh-CN"/>
              </w:rPr>
              <w:t>在5米以上的特大棵果树</w:t>
            </w:r>
          </w:p>
        </w:tc>
        <w:tc>
          <w:tcPr>
            <w:tcW w:w="1045" w:type="dxa"/>
            <w:shd w:val="clear" w:color="auto" w:fill="FFFFFF"/>
            <w:vAlign w:val="center"/>
          </w:tcPr>
          <w:p>
            <w:pPr>
              <w:jc w:val="center"/>
              <w:rPr>
                <w:rFonts w:hint="default"/>
                <w:color w:val="auto"/>
                <w:lang w:val="en-US" w:eastAsia="zh-CN"/>
              </w:rPr>
            </w:pPr>
            <w:r>
              <w:rPr>
                <w:rFonts w:hint="default"/>
                <w:color w:val="auto"/>
                <w:lang w:val="en-US" w:eastAsia="zh-CN"/>
              </w:rPr>
              <w:t>400</w:t>
            </w: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16000</w:t>
            </w:r>
          </w:p>
        </w:tc>
        <w:tc>
          <w:tcPr>
            <w:tcW w:w="2818" w:type="dxa"/>
            <w:shd w:val="clear" w:color="auto" w:fill="FFFFFF"/>
            <w:vAlign w:val="center"/>
          </w:tcPr>
          <w:p>
            <w:pPr>
              <w:jc w:val="center"/>
              <w:rPr>
                <w:rFonts w:hint="default"/>
                <w:color w:val="auto"/>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tblCellSpacing w:w="15" w:type="dxa"/>
          <w:jc w:val="center"/>
        </w:trPr>
        <w:tc>
          <w:tcPr>
            <w:tcW w:w="2088" w:type="dxa"/>
            <w:vMerge w:val="continue"/>
            <w:shd w:val="clear" w:color="auto" w:fill="FFFFFF"/>
            <w:vAlign w:val="center"/>
          </w:tcPr>
          <w:p>
            <w:pPr>
              <w:jc w:val="center"/>
              <w:rPr>
                <w:rFonts w:hint="default"/>
                <w:color w:val="auto"/>
                <w:lang w:val="en-US" w:eastAsia="zh-CN"/>
              </w:rPr>
            </w:pP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大</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种植时间15至30年、树冠</w:t>
            </w:r>
            <w:r>
              <w:rPr>
                <w:rFonts w:hint="default"/>
                <w:color w:val="auto"/>
                <w:lang w:val="en-US" w:eastAsia="zh-CN"/>
              </w:rPr>
              <w:br w:type="textWrapping"/>
            </w:r>
            <w:r>
              <w:rPr>
                <w:rFonts w:hint="default"/>
                <w:color w:val="auto"/>
                <w:lang w:val="en-US" w:eastAsia="zh-CN"/>
              </w:rPr>
              <w:t>直径在4至5米以内</w:t>
            </w:r>
          </w:p>
        </w:tc>
        <w:tc>
          <w:tcPr>
            <w:tcW w:w="1045" w:type="dxa"/>
            <w:shd w:val="clear" w:color="auto" w:fill="FFFFFF"/>
            <w:vAlign w:val="center"/>
          </w:tcPr>
          <w:p>
            <w:pPr>
              <w:jc w:val="center"/>
              <w:rPr>
                <w:rFonts w:hint="default"/>
                <w:color w:val="auto"/>
                <w:lang w:val="en-US" w:eastAsia="zh-CN"/>
              </w:rPr>
            </w:pPr>
            <w:r>
              <w:rPr>
                <w:rFonts w:hint="default"/>
                <w:color w:val="auto"/>
                <w:lang w:val="en-US" w:eastAsia="zh-CN"/>
              </w:rPr>
              <w:t>300</w:t>
            </w: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12000</w:t>
            </w:r>
          </w:p>
        </w:tc>
        <w:tc>
          <w:tcPr>
            <w:tcW w:w="2818" w:type="dxa"/>
            <w:vMerge w:val="restart"/>
            <w:shd w:val="clear" w:color="auto" w:fill="FFFFFF"/>
            <w:vAlign w:val="center"/>
          </w:tcPr>
          <w:p>
            <w:pPr>
              <w:jc w:val="center"/>
              <w:rPr>
                <w:rFonts w:hint="default"/>
                <w:color w:val="auto"/>
                <w:lang w:val="en-US" w:eastAsia="zh-CN"/>
              </w:rPr>
            </w:pPr>
            <w:r>
              <w:rPr>
                <w:rFonts w:hint="default"/>
                <w:color w:val="auto"/>
                <w:lang w:val="en-US" w:eastAsia="zh-CN"/>
              </w:rPr>
              <w:t>每亩最多</w:t>
            </w:r>
            <w:r>
              <w:rPr>
                <w:rFonts w:hint="default"/>
                <w:color w:val="auto"/>
                <w:lang w:val="en-US" w:eastAsia="zh-CN"/>
              </w:rPr>
              <w:br w:type="textWrapping"/>
            </w:r>
            <w:r>
              <w:rPr>
                <w:rFonts w:hint="default"/>
                <w:color w:val="auto"/>
                <w:lang w:val="en-US" w:eastAsia="zh-CN"/>
              </w:rPr>
              <w:t>不超过40株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tblCellSpacing w:w="15" w:type="dxa"/>
          <w:jc w:val="center"/>
        </w:trPr>
        <w:tc>
          <w:tcPr>
            <w:tcW w:w="2088" w:type="dxa"/>
            <w:vMerge w:val="continue"/>
            <w:shd w:val="clear" w:color="auto" w:fill="FFFFFF"/>
            <w:vAlign w:val="center"/>
          </w:tcPr>
          <w:p>
            <w:pPr>
              <w:jc w:val="center"/>
              <w:rPr>
                <w:rFonts w:hint="default"/>
                <w:color w:val="auto"/>
                <w:lang w:val="en-US" w:eastAsia="zh-CN"/>
              </w:rPr>
            </w:pP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大</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种植时间10至15年、</w:t>
            </w:r>
            <w:r>
              <w:rPr>
                <w:rFonts w:hint="default"/>
                <w:color w:val="auto"/>
                <w:lang w:val="en-US" w:eastAsia="zh-CN"/>
              </w:rPr>
              <w:br w:type="textWrapping"/>
            </w:r>
            <w:r>
              <w:rPr>
                <w:rFonts w:hint="default"/>
                <w:color w:val="auto"/>
                <w:lang w:val="en-US" w:eastAsia="zh-CN"/>
              </w:rPr>
              <w:t>树冠直径在3至4米以内</w:t>
            </w:r>
          </w:p>
        </w:tc>
        <w:tc>
          <w:tcPr>
            <w:tcW w:w="1045" w:type="dxa"/>
            <w:shd w:val="clear" w:color="auto" w:fill="FFFFFF"/>
            <w:vAlign w:val="center"/>
          </w:tcPr>
          <w:p>
            <w:pPr>
              <w:jc w:val="center"/>
              <w:rPr>
                <w:rFonts w:hint="default"/>
                <w:color w:val="auto"/>
                <w:lang w:val="en-US" w:eastAsia="zh-CN"/>
              </w:rPr>
            </w:pPr>
            <w:r>
              <w:rPr>
                <w:rFonts w:hint="default"/>
                <w:color w:val="auto"/>
                <w:lang w:val="en-US" w:eastAsia="zh-CN"/>
              </w:rPr>
              <w:t>200</w:t>
            </w: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8000</w:t>
            </w:r>
          </w:p>
        </w:tc>
        <w:tc>
          <w:tcPr>
            <w:tcW w:w="2818" w:type="dxa"/>
            <w:vMerge w:val="continue"/>
            <w:shd w:val="clear" w:color="auto" w:fill="FFFFFF"/>
            <w:vAlign w:val="center"/>
          </w:tcPr>
          <w:p>
            <w:pPr>
              <w:jc w:val="center"/>
              <w:rPr>
                <w:rFonts w:hint="default"/>
                <w:color w:val="auto"/>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tblCellSpacing w:w="15" w:type="dxa"/>
          <w:jc w:val="center"/>
        </w:trPr>
        <w:tc>
          <w:tcPr>
            <w:tcW w:w="2088" w:type="dxa"/>
            <w:vMerge w:val="continue"/>
            <w:shd w:val="clear" w:color="auto" w:fill="FFFFFF"/>
            <w:vAlign w:val="center"/>
          </w:tcPr>
          <w:p>
            <w:pPr>
              <w:jc w:val="center"/>
              <w:rPr>
                <w:rFonts w:hint="default"/>
                <w:color w:val="auto"/>
                <w:lang w:val="en-US" w:eastAsia="zh-CN"/>
              </w:rPr>
            </w:pP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中</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种植时间6至10年、</w:t>
            </w:r>
            <w:r>
              <w:rPr>
                <w:rFonts w:hint="default"/>
                <w:color w:val="auto"/>
                <w:lang w:val="en-US" w:eastAsia="zh-CN"/>
              </w:rPr>
              <w:br w:type="textWrapping"/>
            </w:r>
            <w:r>
              <w:rPr>
                <w:rFonts w:hint="default"/>
                <w:color w:val="auto"/>
                <w:lang w:val="en-US" w:eastAsia="zh-CN"/>
              </w:rPr>
              <w:t>树冠直径在2至3米以内</w:t>
            </w:r>
          </w:p>
        </w:tc>
        <w:tc>
          <w:tcPr>
            <w:tcW w:w="1045" w:type="dxa"/>
            <w:shd w:val="clear" w:color="auto" w:fill="FFFFFF"/>
            <w:vAlign w:val="center"/>
          </w:tcPr>
          <w:p>
            <w:pPr>
              <w:jc w:val="center"/>
              <w:rPr>
                <w:rFonts w:hint="default"/>
                <w:color w:val="auto"/>
                <w:lang w:val="en-US" w:eastAsia="zh-CN"/>
              </w:rPr>
            </w:pPr>
            <w:r>
              <w:rPr>
                <w:rFonts w:hint="default"/>
                <w:color w:val="auto"/>
                <w:lang w:val="en-US" w:eastAsia="zh-CN"/>
              </w:rPr>
              <w:t>150</w:t>
            </w: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6000</w:t>
            </w:r>
          </w:p>
        </w:tc>
        <w:tc>
          <w:tcPr>
            <w:tcW w:w="2818" w:type="dxa"/>
            <w:vMerge w:val="continue"/>
            <w:shd w:val="clear" w:color="auto" w:fill="FFFFFF"/>
            <w:vAlign w:val="center"/>
          </w:tcPr>
          <w:p>
            <w:pPr>
              <w:jc w:val="center"/>
              <w:rPr>
                <w:rFonts w:hint="default"/>
                <w:color w:val="auto"/>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tblCellSpacing w:w="15" w:type="dxa"/>
          <w:jc w:val="center"/>
        </w:trPr>
        <w:tc>
          <w:tcPr>
            <w:tcW w:w="2088" w:type="dxa"/>
            <w:vMerge w:val="continue"/>
            <w:shd w:val="clear" w:color="auto" w:fill="FFFFFF"/>
            <w:vAlign w:val="center"/>
          </w:tcPr>
          <w:p>
            <w:pPr>
              <w:jc w:val="center"/>
              <w:rPr>
                <w:rFonts w:hint="default"/>
                <w:color w:val="auto"/>
                <w:lang w:val="en-US" w:eastAsia="zh-CN"/>
              </w:rPr>
            </w:pP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中</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已挂果的，种植时间3至6年、</w:t>
            </w:r>
            <w:r>
              <w:rPr>
                <w:rFonts w:hint="default"/>
                <w:color w:val="auto"/>
                <w:lang w:val="en-US" w:eastAsia="zh-CN"/>
              </w:rPr>
              <w:br w:type="textWrapping"/>
            </w:r>
            <w:r>
              <w:rPr>
                <w:rFonts w:hint="default"/>
                <w:color w:val="auto"/>
                <w:lang w:val="en-US" w:eastAsia="zh-CN"/>
              </w:rPr>
              <w:t>树冠直径在1米至2米以内</w:t>
            </w:r>
          </w:p>
        </w:tc>
        <w:tc>
          <w:tcPr>
            <w:tcW w:w="1045" w:type="dxa"/>
            <w:shd w:val="clear" w:color="auto" w:fill="FFFFFF"/>
            <w:vAlign w:val="center"/>
          </w:tcPr>
          <w:p>
            <w:pPr>
              <w:jc w:val="center"/>
              <w:rPr>
                <w:rFonts w:hint="default"/>
                <w:color w:val="auto"/>
                <w:lang w:val="en-US" w:eastAsia="zh-CN"/>
              </w:rPr>
            </w:pPr>
            <w:r>
              <w:rPr>
                <w:rFonts w:hint="default"/>
                <w:color w:val="auto"/>
                <w:lang w:val="en-US" w:eastAsia="zh-CN"/>
              </w:rPr>
              <w:t>100</w:t>
            </w: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4000</w:t>
            </w:r>
          </w:p>
        </w:tc>
        <w:tc>
          <w:tcPr>
            <w:tcW w:w="2818" w:type="dxa"/>
            <w:vMerge w:val="continue"/>
            <w:shd w:val="clear" w:color="auto" w:fill="FFFFFF"/>
            <w:vAlign w:val="center"/>
          </w:tcPr>
          <w:p>
            <w:pPr>
              <w:jc w:val="center"/>
              <w:rPr>
                <w:rFonts w:hint="default"/>
                <w:color w:val="auto"/>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tblCellSpacing w:w="15" w:type="dxa"/>
          <w:jc w:val="center"/>
        </w:trPr>
        <w:tc>
          <w:tcPr>
            <w:tcW w:w="2088" w:type="dxa"/>
            <w:vMerge w:val="continue"/>
            <w:shd w:val="clear" w:color="auto" w:fill="FFFFFF"/>
            <w:vAlign w:val="center"/>
          </w:tcPr>
          <w:p>
            <w:pPr>
              <w:jc w:val="center"/>
              <w:rPr>
                <w:rFonts w:hint="default"/>
                <w:color w:val="auto"/>
                <w:lang w:val="en-US" w:eastAsia="zh-CN"/>
              </w:rPr>
            </w:pP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小</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未挂果的，种植时间1年至3年、</w:t>
            </w:r>
            <w:r>
              <w:rPr>
                <w:rFonts w:hint="default"/>
                <w:color w:val="auto"/>
                <w:lang w:val="en-US" w:eastAsia="zh-CN"/>
              </w:rPr>
              <w:br w:type="textWrapping"/>
            </w:r>
            <w:r>
              <w:rPr>
                <w:rFonts w:hint="default"/>
                <w:color w:val="auto"/>
                <w:lang w:val="en-US" w:eastAsia="zh-CN"/>
              </w:rPr>
              <w:t>树冠直径在0.6至1米以内</w:t>
            </w:r>
          </w:p>
        </w:tc>
        <w:tc>
          <w:tcPr>
            <w:tcW w:w="1045" w:type="dxa"/>
            <w:shd w:val="clear" w:color="auto" w:fill="FFFFFF"/>
            <w:vAlign w:val="center"/>
          </w:tcPr>
          <w:p>
            <w:pPr>
              <w:jc w:val="center"/>
              <w:rPr>
                <w:rFonts w:hint="default"/>
                <w:color w:val="auto"/>
                <w:lang w:val="en-US" w:eastAsia="zh-CN"/>
              </w:rPr>
            </w:pPr>
            <w:r>
              <w:rPr>
                <w:rFonts w:hint="default"/>
                <w:color w:val="auto"/>
                <w:lang w:val="en-US" w:eastAsia="zh-CN"/>
              </w:rPr>
              <w:t>50</w:t>
            </w: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2000</w:t>
            </w:r>
          </w:p>
        </w:tc>
        <w:tc>
          <w:tcPr>
            <w:tcW w:w="2818" w:type="dxa"/>
            <w:vMerge w:val="continue"/>
            <w:shd w:val="clear" w:color="auto" w:fill="FFFFFF"/>
            <w:vAlign w:val="center"/>
          </w:tcPr>
          <w:p>
            <w:pPr>
              <w:jc w:val="center"/>
              <w:rPr>
                <w:rFonts w:hint="default"/>
                <w:color w:val="auto"/>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tblCellSpacing w:w="15" w:type="dxa"/>
          <w:jc w:val="center"/>
        </w:trPr>
        <w:tc>
          <w:tcPr>
            <w:tcW w:w="2088" w:type="dxa"/>
            <w:vMerge w:val="continue"/>
            <w:shd w:val="clear" w:color="auto" w:fill="FFFFFF"/>
            <w:vAlign w:val="center"/>
          </w:tcPr>
          <w:p>
            <w:pPr>
              <w:jc w:val="center"/>
              <w:rPr>
                <w:rFonts w:hint="default"/>
                <w:color w:val="auto"/>
                <w:lang w:val="en-US" w:eastAsia="zh-CN"/>
              </w:rPr>
            </w:pP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小</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未挂果的，种植时间1年以内、</w:t>
            </w:r>
            <w:r>
              <w:rPr>
                <w:rFonts w:hint="default"/>
                <w:color w:val="auto"/>
                <w:lang w:val="en-US" w:eastAsia="zh-CN"/>
              </w:rPr>
              <w:br w:type="textWrapping"/>
            </w:r>
            <w:r>
              <w:rPr>
                <w:rFonts w:hint="default"/>
                <w:color w:val="auto"/>
                <w:lang w:val="en-US" w:eastAsia="zh-CN"/>
              </w:rPr>
              <w:t>树冠直径在0.6米以下</w:t>
            </w:r>
          </w:p>
        </w:tc>
        <w:tc>
          <w:tcPr>
            <w:tcW w:w="1045" w:type="dxa"/>
            <w:shd w:val="clear" w:color="auto" w:fill="FFFFFF"/>
            <w:vAlign w:val="center"/>
          </w:tcPr>
          <w:p>
            <w:pPr>
              <w:jc w:val="center"/>
              <w:rPr>
                <w:rFonts w:hint="default"/>
                <w:color w:val="auto"/>
                <w:lang w:val="en-US" w:eastAsia="zh-CN"/>
              </w:rPr>
            </w:pPr>
            <w:r>
              <w:rPr>
                <w:rFonts w:hint="default"/>
                <w:color w:val="auto"/>
                <w:lang w:val="en-US" w:eastAsia="zh-CN"/>
              </w:rPr>
              <w:t>20</w:t>
            </w: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800</w:t>
            </w:r>
          </w:p>
        </w:tc>
        <w:tc>
          <w:tcPr>
            <w:tcW w:w="2818" w:type="dxa"/>
            <w:vMerge w:val="continue"/>
            <w:shd w:val="clear" w:color="auto" w:fill="FFFFFF"/>
            <w:vAlign w:val="center"/>
          </w:tcPr>
          <w:p>
            <w:pPr>
              <w:jc w:val="center"/>
              <w:rPr>
                <w:rFonts w:hint="default"/>
                <w:color w:val="auto"/>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5" w:hRule="atLeast"/>
          <w:tblCellSpacing w:w="15" w:type="dxa"/>
          <w:jc w:val="center"/>
        </w:trPr>
        <w:tc>
          <w:tcPr>
            <w:tcW w:w="2088" w:type="dxa"/>
            <w:vMerge w:val="restart"/>
            <w:shd w:val="clear" w:color="auto" w:fill="FFFFFF"/>
            <w:vAlign w:val="center"/>
          </w:tcPr>
          <w:p>
            <w:pPr>
              <w:jc w:val="center"/>
              <w:rPr>
                <w:rFonts w:hint="default"/>
                <w:color w:val="auto"/>
                <w:lang w:val="en-US" w:eastAsia="zh-CN"/>
              </w:rPr>
            </w:pPr>
            <w:r>
              <w:rPr>
                <w:rFonts w:hint="default"/>
                <w:color w:val="auto"/>
                <w:lang w:val="en-US" w:eastAsia="zh-CN"/>
              </w:rPr>
              <w:t>林木</w:t>
            </w:r>
          </w:p>
        </w:tc>
        <w:tc>
          <w:tcPr>
            <w:tcW w:w="732" w:type="dxa"/>
            <w:shd w:val="clear" w:color="auto" w:fill="FFFFFF"/>
            <w:vAlign w:val="center"/>
          </w:tcPr>
          <w:p>
            <w:pPr>
              <w:jc w:val="center"/>
              <w:rPr>
                <w:rFonts w:hint="default"/>
                <w:color w:val="auto"/>
                <w:lang w:val="en-US" w:eastAsia="zh-CN"/>
              </w:rPr>
            </w:pP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属人工林地的成熟林和近熟林</w:t>
            </w:r>
          </w:p>
        </w:tc>
        <w:tc>
          <w:tcPr>
            <w:tcW w:w="1045" w:type="dxa"/>
            <w:shd w:val="clear" w:color="auto" w:fill="FFFFFF"/>
            <w:vAlign w:val="center"/>
          </w:tcPr>
          <w:p>
            <w:pPr>
              <w:jc w:val="center"/>
              <w:rPr>
                <w:rFonts w:hint="default"/>
                <w:color w:val="auto"/>
                <w:lang w:val="en-US" w:eastAsia="zh-CN"/>
              </w:rPr>
            </w:pP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2000</w:t>
            </w:r>
          </w:p>
        </w:tc>
        <w:tc>
          <w:tcPr>
            <w:tcW w:w="2818" w:type="dxa"/>
            <w:shd w:val="clear" w:color="auto" w:fill="FFFFFF"/>
            <w:vAlign w:val="center"/>
          </w:tcPr>
          <w:p>
            <w:pPr>
              <w:jc w:val="center"/>
              <w:rPr>
                <w:rFonts w:hint="default"/>
                <w:color w:val="auto"/>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5" w:hRule="atLeast"/>
          <w:tblCellSpacing w:w="15" w:type="dxa"/>
          <w:jc w:val="center"/>
        </w:trPr>
        <w:tc>
          <w:tcPr>
            <w:tcW w:w="2088" w:type="dxa"/>
            <w:vMerge w:val="continue"/>
            <w:shd w:val="clear" w:color="auto" w:fill="FFFFFF"/>
            <w:vAlign w:val="center"/>
          </w:tcPr>
          <w:p>
            <w:pPr>
              <w:jc w:val="center"/>
              <w:rPr>
                <w:rFonts w:hint="default"/>
                <w:color w:val="auto"/>
                <w:lang w:val="en-US" w:eastAsia="zh-CN"/>
              </w:rPr>
            </w:pPr>
          </w:p>
        </w:tc>
        <w:tc>
          <w:tcPr>
            <w:tcW w:w="732" w:type="dxa"/>
            <w:shd w:val="clear" w:color="auto" w:fill="FFFFFF"/>
            <w:vAlign w:val="center"/>
          </w:tcPr>
          <w:p>
            <w:pPr>
              <w:jc w:val="center"/>
              <w:rPr>
                <w:rFonts w:hint="default"/>
                <w:color w:val="auto"/>
                <w:lang w:val="en-US" w:eastAsia="zh-CN"/>
              </w:rPr>
            </w:pP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中熟林</w:t>
            </w:r>
          </w:p>
        </w:tc>
        <w:tc>
          <w:tcPr>
            <w:tcW w:w="1045" w:type="dxa"/>
            <w:shd w:val="clear" w:color="auto" w:fill="FFFFFF"/>
            <w:vAlign w:val="center"/>
          </w:tcPr>
          <w:p>
            <w:pPr>
              <w:jc w:val="center"/>
              <w:rPr>
                <w:rFonts w:hint="default"/>
                <w:color w:val="auto"/>
                <w:lang w:val="en-US" w:eastAsia="zh-CN"/>
              </w:rPr>
            </w:pP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1500</w:t>
            </w:r>
          </w:p>
        </w:tc>
        <w:tc>
          <w:tcPr>
            <w:tcW w:w="2818" w:type="dxa"/>
            <w:shd w:val="clear" w:color="auto" w:fill="FFFFFF"/>
            <w:vAlign w:val="center"/>
          </w:tcPr>
          <w:p>
            <w:pPr>
              <w:jc w:val="center"/>
              <w:rPr>
                <w:rFonts w:hint="default"/>
                <w:color w:val="auto"/>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5" w:hRule="atLeast"/>
          <w:tblCellSpacing w:w="15" w:type="dxa"/>
          <w:jc w:val="center"/>
        </w:trPr>
        <w:tc>
          <w:tcPr>
            <w:tcW w:w="2088" w:type="dxa"/>
            <w:vMerge w:val="continue"/>
            <w:shd w:val="clear" w:color="auto" w:fill="FFFFFF"/>
            <w:vAlign w:val="center"/>
          </w:tcPr>
          <w:p>
            <w:pPr>
              <w:jc w:val="center"/>
              <w:rPr>
                <w:rFonts w:hint="default"/>
                <w:color w:val="auto"/>
                <w:lang w:val="en-US" w:eastAsia="zh-CN"/>
              </w:rPr>
            </w:pPr>
          </w:p>
        </w:tc>
        <w:tc>
          <w:tcPr>
            <w:tcW w:w="732" w:type="dxa"/>
            <w:shd w:val="clear" w:color="auto" w:fill="FFFFFF"/>
            <w:vAlign w:val="center"/>
          </w:tcPr>
          <w:p>
            <w:pPr>
              <w:jc w:val="center"/>
              <w:rPr>
                <w:rFonts w:hint="default"/>
                <w:color w:val="auto"/>
                <w:lang w:val="en-US" w:eastAsia="zh-CN"/>
              </w:rPr>
            </w:pP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幼龄林</w:t>
            </w:r>
          </w:p>
        </w:tc>
        <w:tc>
          <w:tcPr>
            <w:tcW w:w="1045" w:type="dxa"/>
            <w:shd w:val="clear" w:color="auto" w:fill="FFFFFF"/>
            <w:vAlign w:val="center"/>
          </w:tcPr>
          <w:p>
            <w:pPr>
              <w:jc w:val="center"/>
              <w:rPr>
                <w:rFonts w:hint="default"/>
                <w:color w:val="auto"/>
                <w:lang w:val="en-US" w:eastAsia="zh-CN"/>
              </w:rPr>
            </w:pP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1000</w:t>
            </w:r>
          </w:p>
        </w:tc>
        <w:tc>
          <w:tcPr>
            <w:tcW w:w="2818" w:type="dxa"/>
            <w:shd w:val="clear" w:color="auto" w:fill="FFFFFF"/>
            <w:vAlign w:val="center"/>
          </w:tcPr>
          <w:p>
            <w:pPr>
              <w:jc w:val="center"/>
              <w:rPr>
                <w:rFonts w:hint="default"/>
                <w:color w:val="auto"/>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5" w:hRule="atLeast"/>
          <w:tblCellSpacing w:w="15" w:type="dxa"/>
          <w:jc w:val="center"/>
        </w:trPr>
        <w:tc>
          <w:tcPr>
            <w:tcW w:w="2088" w:type="dxa"/>
            <w:shd w:val="clear" w:color="auto" w:fill="FFFFFF"/>
            <w:vAlign w:val="center"/>
          </w:tcPr>
          <w:p>
            <w:pPr>
              <w:jc w:val="center"/>
              <w:rPr>
                <w:rFonts w:hint="default"/>
                <w:color w:val="auto"/>
                <w:lang w:val="en-US" w:eastAsia="zh-CN"/>
              </w:rPr>
            </w:pPr>
            <w:r>
              <w:rPr>
                <w:rFonts w:hint="default"/>
                <w:color w:val="auto"/>
                <w:lang w:val="en-US" w:eastAsia="zh-CN"/>
              </w:rPr>
              <w:t>竹丛等</w:t>
            </w:r>
          </w:p>
        </w:tc>
        <w:tc>
          <w:tcPr>
            <w:tcW w:w="732" w:type="dxa"/>
            <w:shd w:val="clear" w:color="auto" w:fill="FFFFFF"/>
            <w:vAlign w:val="center"/>
          </w:tcPr>
          <w:p>
            <w:pPr>
              <w:jc w:val="center"/>
              <w:rPr>
                <w:rFonts w:hint="default"/>
                <w:color w:val="auto"/>
                <w:lang w:val="en-US" w:eastAsia="zh-CN"/>
              </w:rPr>
            </w:pPr>
          </w:p>
        </w:tc>
        <w:tc>
          <w:tcPr>
            <w:tcW w:w="3027" w:type="dxa"/>
            <w:shd w:val="clear" w:color="auto" w:fill="FFFFFF"/>
            <w:vAlign w:val="center"/>
          </w:tcPr>
          <w:p>
            <w:pPr>
              <w:jc w:val="center"/>
              <w:rPr>
                <w:rFonts w:hint="default"/>
                <w:color w:val="auto"/>
                <w:lang w:val="en-US" w:eastAsia="zh-CN"/>
              </w:rPr>
            </w:pPr>
          </w:p>
        </w:tc>
        <w:tc>
          <w:tcPr>
            <w:tcW w:w="1045" w:type="dxa"/>
            <w:shd w:val="clear" w:color="auto" w:fill="FFFFFF"/>
            <w:vAlign w:val="center"/>
          </w:tcPr>
          <w:p>
            <w:pPr>
              <w:jc w:val="center"/>
              <w:rPr>
                <w:rFonts w:hint="default"/>
                <w:color w:val="auto"/>
                <w:lang w:val="en-US" w:eastAsia="zh-CN"/>
              </w:rPr>
            </w:pP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3500</w:t>
            </w:r>
          </w:p>
        </w:tc>
        <w:tc>
          <w:tcPr>
            <w:tcW w:w="2818" w:type="dxa"/>
            <w:shd w:val="clear" w:color="auto" w:fill="FFFFFF"/>
            <w:vAlign w:val="center"/>
          </w:tcPr>
          <w:p>
            <w:pPr>
              <w:jc w:val="center"/>
              <w:rPr>
                <w:rFonts w:hint="default"/>
                <w:color w:val="auto"/>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5" w:hRule="atLeast"/>
          <w:tblCellSpacing w:w="15" w:type="dxa"/>
          <w:jc w:val="center"/>
        </w:trPr>
        <w:tc>
          <w:tcPr>
            <w:tcW w:w="2088" w:type="dxa"/>
            <w:shd w:val="clear" w:color="auto" w:fill="FFFFFF"/>
            <w:vAlign w:val="center"/>
          </w:tcPr>
          <w:p>
            <w:pPr>
              <w:jc w:val="center"/>
              <w:rPr>
                <w:rFonts w:hint="default"/>
                <w:color w:val="auto"/>
                <w:lang w:val="en-US" w:eastAsia="zh-CN"/>
              </w:rPr>
            </w:pPr>
            <w:r>
              <w:rPr>
                <w:rFonts w:hint="default"/>
                <w:color w:val="auto"/>
                <w:lang w:val="en-US" w:eastAsia="zh-CN"/>
              </w:rPr>
              <w:t>零星林</w:t>
            </w:r>
          </w:p>
        </w:tc>
        <w:tc>
          <w:tcPr>
            <w:tcW w:w="732" w:type="dxa"/>
            <w:shd w:val="clear" w:color="auto" w:fill="FFFFFF"/>
            <w:vAlign w:val="center"/>
          </w:tcPr>
          <w:p>
            <w:pPr>
              <w:jc w:val="center"/>
              <w:rPr>
                <w:rFonts w:hint="default"/>
                <w:color w:val="auto"/>
                <w:lang w:val="en-US" w:eastAsia="zh-CN"/>
              </w:rPr>
            </w:pPr>
          </w:p>
        </w:tc>
        <w:tc>
          <w:tcPr>
            <w:tcW w:w="3027" w:type="dxa"/>
            <w:shd w:val="clear" w:color="auto" w:fill="FFFFFF"/>
            <w:vAlign w:val="center"/>
          </w:tcPr>
          <w:p>
            <w:pPr>
              <w:jc w:val="center"/>
              <w:rPr>
                <w:rFonts w:hint="default"/>
                <w:color w:val="auto"/>
                <w:lang w:val="en-US" w:eastAsia="zh-CN"/>
              </w:rPr>
            </w:pPr>
          </w:p>
        </w:tc>
        <w:tc>
          <w:tcPr>
            <w:tcW w:w="1045" w:type="dxa"/>
            <w:shd w:val="clear" w:color="auto" w:fill="FFFFFF"/>
            <w:vAlign w:val="center"/>
          </w:tcPr>
          <w:p>
            <w:pPr>
              <w:jc w:val="center"/>
              <w:rPr>
                <w:rFonts w:hint="default"/>
                <w:color w:val="auto"/>
                <w:lang w:val="en-US" w:eastAsia="zh-CN"/>
              </w:rPr>
            </w:pP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500</w:t>
            </w:r>
          </w:p>
        </w:tc>
        <w:tc>
          <w:tcPr>
            <w:tcW w:w="2818" w:type="dxa"/>
            <w:shd w:val="clear" w:color="auto" w:fill="FFFFFF"/>
            <w:vAlign w:val="center"/>
          </w:tcPr>
          <w:p>
            <w:pPr>
              <w:jc w:val="center"/>
              <w:rPr>
                <w:rFonts w:hint="default"/>
                <w:color w:val="auto"/>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5" w:hRule="atLeast"/>
          <w:tblCellSpacing w:w="15" w:type="dxa"/>
          <w:jc w:val="center"/>
        </w:trPr>
        <w:tc>
          <w:tcPr>
            <w:tcW w:w="2088" w:type="dxa"/>
            <w:vMerge w:val="restart"/>
            <w:shd w:val="clear" w:color="auto" w:fill="FFFFFF"/>
            <w:vAlign w:val="center"/>
          </w:tcPr>
          <w:p>
            <w:pPr>
              <w:jc w:val="center"/>
              <w:rPr>
                <w:rFonts w:hint="default"/>
                <w:color w:val="auto"/>
                <w:lang w:val="en-US" w:eastAsia="zh-CN"/>
              </w:rPr>
            </w:pPr>
            <w:r>
              <w:rPr>
                <w:rFonts w:hint="default"/>
                <w:color w:val="auto"/>
                <w:lang w:val="en-US" w:eastAsia="zh-CN"/>
              </w:rPr>
              <w:t>桔、佛手、柑、</w:t>
            </w:r>
            <w:r>
              <w:rPr>
                <w:rFonts w:hint="default"/>
                <w:color w:val="auto"/>
                <w:lang w:val="en-US" w:eastAsia="zh-CN"/>
              </w:rPr>
              <w:br w:type="textWrapping"/>
            </w:r>
            <w:r>
              <w:rPr>
                <w:rFonts w:hint="default"/>
                <w:color w:val="auto"/>
                <w:lang w:val="en-US" w:eastAsia="zh-CN"/>
              </w:rPr>
              <w:t>橙、油柑</w:t>
            </w: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大</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树冠投影直径2.1米以上</w:t>
            </w:r>
          </w:p>
        </w:tc>
        <w:tc>
          <w:tcPr>
            <w:tcW w:w="1045" w:type="dxa"/>
            <w:shd w:val="clear" w:color="auto" w:fill="FFFFFF"/>
            <w:vAlign w:val="center"/>
          </w:tcPr>
          <w:p>
            <w:pPr>
              <w:jc w:val="center"/>
              <w:rPr>
                <w:rFonts w:hint="default"/>
                <w:color w:val="auto"/>
                <w:lang w:val="en-US" w:eastAsia="zh-CN"/>
              </w:rPr>
            </w:pPr>
            <w:r>
              <w:rPr>
                <w:rFonts w:hint="default"/>
                <w:color w:val="auto"/>
                <w:lang w:val="en-US" w:eastAsia="zh-CN"/>
              </w:rPr>
              <w:t>150－200</w:t>
            </w: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10000</w:t>
            </w:r>
          </w:p>
        </w:tc>
        <w:tc>
          <w:tcPr>
            <w:tcW w:w="2818" w:type="dxa"/>
            <w:shd w:val="clear" w:color="auto" w:fill="FFFFFF"/>
            <w:vAlign w:val="center"/>
          </w:tcPr>
          <w:p>
            <w:pPr>
              <w:jc w:val="center"/>
              <w:rPr>
                <w:rFonts w:hint="default"/>
                <w:color w:val="auto"/>
                <w:lang w:val="en-US" w:eastAsia="zh-CN"/>
              </w:rPr>
            </w:pPr>
            <w:r>
              <w:rPr>
                <w:rFonts w:hint="default"/>
                <w:color w:val="auto"/>
                <w:lang w:val="en-US" w:eastAsia="zh-CN"/>
              </w:rPr>
              <w:t>每亩最多50株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5" w:hRule="atLeast"/>
          <w:tblCellSpacing w:w="15" w:type="dxa"/>
          <w:jc w:val="center"/>
        </w:trPr>
        <w:tc>
          <w:tcPr>
            <w:tcW w:w="2088" w:type="dxa"/>
            <w:vMerge w:val="continue"/>
            <w:shd w:val="clear" w:color="auto" w:fill="FFFFFF"/>
            <w:vAlign w:val="center"/>
          </w:tcPr>
          <w:p>
            <w:pPr>
              <w:jc w:val="center"/>
              <w:rPr>
                <w:rFonts w:hint="default"/>
                <w:color w:val="auto"/>
                <w:lang w:val="en-US" w:eastAsia="zh-CN"/>
              </w:rPr>
            </w:pP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中</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树冠投影直径1.1－2.0米已挂果</w:t>
            </w:r>
          </w:p>
        </w:tc>
        <w:tc>
          <w:tcPr>
            <w:tcW w:w="1045" w:type="dxa"/>
            <w:shd w:val="clear" w:color="auto" w:fill="FFFFFF"/>
            <w:vAlign w:val="center"/>
          </w:tcPr>
          <w:p>
            <w:pPr>
              <w:jc w:val="center"/>
              <w:rPr>
                <w:rFonts w:hint="default"/>
                <w:color w:val="auto"/>
                <w:lang w:val="en-US" w:eastAsia="zh-CN"/>
              </w:rPr>
            </w:pPr>
            <w:r>
              <w:rPr>
                <w:rFonts w:hint="default"/>
                <w:color w:val="auto"/>
                <w:lang w:val="en-US" w:eastAsia="zh-CN"/>
              </w:rPr>
              <w:t>70－130</w:t>
            </w: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6500</w:t>
            </w:r>
          </w:p>
        </w:tc>
        <w:tc>
          <w:tcPr>
            <w:tcW w:w="2818" w:type="dxa"/>
            <w:shd w:val="clear" w:color="auto" w:fill="FFFFFF"/>
            <w:vAlign w:val="center"/>
          </w:tcPr>
          <w:p>
            <w:pPr>
              <w:jc w:val="center"/>
              <w:rPr>
                <w:rFonts w:hint="default"/>
                <w:color w:val="auto"/>
                <w:lang w:val="en-US" w:eastAsia="zh-CN"/>
              </w:rPr>
            </w:pPr>
            <w:r>
              <w:rPr>
                <w:rFonts w:hint="default"/>
                <w:color w:val="auto"/>
                <w:lang w:val="en-US" w:eastAsia="zh-CN"/>
              </w:rPr>
              <w:t>每亩最多50株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5" w:hRule="atLeast"/>
          <w:tblCellSpacing w:w="15" w:type="dxa"/>
          <w:jc w:val="center"/>
        </w:trPr>
        <w:tc>
          <w:tcPr>
            <w:tcW w:w="2088" w:type="dxa"/>
            <w:vMerge w:val="continue"/>
            <w:shd w:val="clear" w:color="auto" w:fill="FFFFFF"/>
            <w:vAlign w:val="center"/>
          </w:tcPr>
          <w:p>
            <w:pPr>
              <w:jc w:val="center"/>
              <w:rPr>
                <w:rFonts w:hint="default"/>
                <w:color w:val="auto"/>
                <w:lang w:val="en-US" w:eastAsia="zh-CN"/>
              </w:rPr>
            </w:pP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小</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树冠投影直径0.5－1米未挂果</w:t>
            </w:r>
          </w:p>
        </w:tc>
        <w:tc>
          <w:tcPr>
            <w:tcW w:w="1045" w:type="dxa"/>
            <w:shd w:val="clear" w:color="auto" w:fill="FFFFFF"/>
            <w:vAlign w:val="center"/>
          </w:tcPr>
          <w:p>
            <w:pPr>
              <w:jc w:val="center"/>
              <w:rPr>
                <w:rFonts w:hint="default"/>
                <w:color w:val="auto"/>
                <w:lang w:val="en-US" w:eastAsia="zh-CN"/>
              </w:rPr>
            </w:pPr>
            <w:r>
              <w:rPr>
                <w:rFonts w:hint="default"/>
                <w:color w:val="auto"/>
                <w:lang w:val="en-US" w:eastAsia="zh-CN"/>
              </w:rPr>
              <w:t>30－60</w:t>
            </w: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5400</w:t>
            </w:r>
          </w:p>
        </w:tc>
        <w:tc>
          <w:tcPr>
            <w:tcW w:w="2818" w:type="dxa"/>
            <w:shd w:val="clear" w:color="auto" w:fill="FFFFFF"/>
            <w:vAlign w:val="center"/>
          </w:tcPr>
          <w:p>
            <w:pPr>
              <w:jc w:val="center"/>
              <w:rPr>
                <w:rFonts w:hint="default"/>
                <w:color w:val="auto"/>
                <w:lang w:val="en-US" w:eastAsia="zh-CN"/>
              </w:rPr>
            </w:pPr>
            <w:r>
              <w:rPr>
                <w:rFonts w:hint="default"/>
                <w:color w:val="auto"/>
                <w:lang w:val="en-US" w:eastAsia="zh-CN"/>
              </w:rPr>
              <w:t>每亩最多90株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5" w:hRule="atLeast"/>
          <w:tblCellSpacing w:w="15" w:type="dxa"/>
          <w:jc w:val="center"/>
        </w:trPr>
        <w:tc>
          <w:tcPr>
            <w:tcW w:w="2088" w:type="dxa"/>
            <w:vMerge w:val="continue"/>
            <w:shd w:val="clear" w:color="auto" w:fill="FFFFFF"/>
            <w:vAlign w:val="center"/>
          </w:tcPr>
          <w:p>
            <w:pPr>
              <w:jc w:val="center"/>
              <w:rPr>
                <w:rFonts w:hint="default"/>
                <w:color w:val="auto"/>
                <w:lang w:val="en-US" w:eastAsia="zh-CN"/>
              </w:rPr>
            </w:pP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幼苗</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树冠投影直径小于0.5米</w:t>
            </w:r>
          </w:p>
        </w:tc>
        <w:tc>
          <w:tcPr>
            <w:tcW w:w="1045" w:type="dxa"/>
            <w:shd w:val="clear" w:color="auto" w:fill="FFFFFF"/>
            <w:vAlign w:val="center"/>
          </w:tcPr>
          <w:p>
            <w:pPr>
              <w:jc w:val="center"/>
              <w:rPr>
                <w:rFonts w:hint="default"/>
                <w:color w:val="auto"/>
                <w:lang w:val="en-US" w:eastAsia="zh-CN"/>
              </w:rPr>
            </w:pPr>
            <w:r>
              <w:rPr>
                <w:rFonts w:hint="default"/>
                <w:color w:val="auto"/>
                <w:lang w:val="en-US" w:eastAsia="zh-CN"/>
              </w:rPr>
              <w:t>10－20</w:t>
            </w: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4000</w:t>
            </w:r>
          </w:p>
        </w:tc>
        <w:tc>
          <w:tcPr>
            <w:tcW w:w="2818" w:type="dxa"/>
            <w:shd w:val="clear" w:color="auto" w:fill="FFFFFF"/>
            <w:vAlign w:val="center"/>
          </w:tcPr>
          <w:p>
            <w:pPr>
              <w:jc w:val="center"/>
              <w:rPr>
                <w:rFonts w:hint="default"/>
                <w:color w:val="auto"/>
                <w:lang w:val="en-US" w:eastAsia="zh-CN"/>
              </w:rPr>
            </w:pPr>
            <w:r>
              <w:rPr>
                <w:rFonts w:hint="default"/>
                <w:color w:val="auto"/>
                <w:lang w:val="en-US" w:eastAsia="zh-CN"/>
              </w:rPr>
              <w:t>每亩最多200株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15" w:type="dxa"/>
          <w:jc w:val="center"/>
        </w:trPr>
        <w:tc>
          <w:tcPr>
            <w:tcW w:w="2088" w:type="dxa"/>
            <w:vMerge w:val="restart"/>
            <w:shd w:val="clear" w:color="auto" w:fill="FFFFFF"/>
            <w:vAlign w:val="center"/>
          </w:tcPr>
          <w:p>
            <w:pPr>
              <w:jc w:val="center"/>
              <w:rPr>
                <w:rFonts w:hint="default"/>
                <w:color w:val="auto"/>
                <w:lang w:val="en-US" w:eastAsia="zh-CN"/>
              </w:rPr>
            </w:pPr>
            <w:r>
              <w:rPr>
                <w:rFonts w:hint="default"/>
                <w:color w:val="auto"/>
                <w:lang w:val="en-US" w:eastAsia="zh-CN"/>
              </w:rPr>
              <w:t>景观木、绿化木如：黄花梨、紫檀木、油术、</w:t>
            </w:r>
            <w:r>
              <w:rPr>
                <w:rFonts w:hint="default"/>
                <w:color w:val="auto"/>
                <w:lang w:val="en-US" w:eastAsia="zh-CN"/>
              </w:rPr>
              <w:br w:type="textWrapping"/>
            </w:r>
            <w:r>
              <w:rPr>
                <w:rFonts w:hint="default"/>
                <w:color w:val="auto"/>
                <w:lang w:val="en-US" w:eastAsia="zh-CN"/>
              </w:rPr>
              <w:t>美国杜英、澳洲火木、</w:t>
            </w:r>
            <w:r>
              <w:rPr>
                <w:rFonts w:hint="default"/>
                <w:color w:val="auto"/>
                <w:lang w:val="en-US" w:eastAsia="zh-CN"/>
              </w:rPr>
              <w:br w:type="textWrapping"/>
            </w:r>
            <w:r>
              <w:rPr>
                <w:rFonts w:hint="default"/>
                <w:color w:val="auto"/>
                <w:lang w:val="en-US" w:eastAsia="zh-CN"/>
              </w:rPr>
              <w:t>枫油木、竹柏、树菠萝</w:t>
            </w:r>
            <w:r>
              <w:rPr>
                <w:rFonts w:hint="default"/>
                <w:color w:val="auto"/>
                <w:lang w:val="en-US" w:eastAsia="zh-CN"/>
              </w:rPr>
              <w:br w:type="textWrapping"/>
            </w:r>
            <w:r>
              <w:rPr>
                <w:rFonts w:hint="default"/>
                <w:color w:val="auto"/>
                <w:lang w:val="en-US" w:eastAsia="zh-CN"/>
              </w:rPr>
              <w:t>、金凤树、发财树、桂</w:t>
            </w:r>
            <w:r>
              <w:rPr>
                <w:rFonts w:hint="default"/>
                <w:color w:val="auto"/>
                <w:lang w:val="en-US" w:eastAsia="zh-CN"/>
              </w:rPr>
              <w:br w:type="textWrapping"/>
            </w:r>
            <w:r>
              <w:rPr>
                <w:rFonts w:hint="default"/>
                <w:color w:val="auto"/>
                <w:lang w:val="en-US" w:eastAsia="zh-CN"/>
              </w:rPr>
              <w:t>花树等</w:t>
            </w: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大</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树径20厘米以上</w:t>
            </w:r>
          </w:p>
        </w:tc>
        <w:tc>
          <w:tcPr>
            <w:tcW w:w="1045" w:type="dxa"/>
            <w:shd w:val="clear" w:color="auto" w:fill="FFFFFF"/>
            <w:vAlign w:val="center"/>
          </w:tcPr>
          <w:p>
            <w:pPr>
              <w:jc w:val="center"/>
              <w:rPr>
                <w:rFonts w:hint="default"/>
                <w:color w:val="auto"/>
                <w:lang w:val="en-US" w:eastAsia="zh-CN"/>
              </w:rPr>
            </w:pPr>
            <w:r>
              <w:rPr>
                <w:rFonts w:hint="default"/>
                <w:color w:val="auto"/>
                <w:lang w:val="en-US" w:eastAsia="zh-CN"/>
              </w:rPr>
              <w:t>350</w:t>
            </w: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11200</w:t>
            </w:r>
          </w:p>
        </w:tc>
        <w:tc>
          <w:tcPr>
            <w:tcW w:w="2818" w:type="dxa"/>
            <w:shd w:val="clear" w:color="auto" w:fill="FFFFFF"/>
            <w:vAlign w:val="center"/>
          </w:tcPr>
          <w:p>
            <w:pPr>
              <w:jc w:val="center"/>
              <w:rPr>
                <w:rFonts w:hint="default"/>
                <w:color w:val="auto"/>
                <w:lang w:val="en-US" w:eastAsia="zh-CN"/>
              </w:rPr>
            </w:pPr>
            <w:r>
              <w:rPr>
                <w:rFonts w:hint="default"/>
                <w:color w:val="auto"/>
                <w:lang w:val="en-US" w:eastAsia="zh-CN"/>
              </w:rPr>
              <w:t>每亩最多32株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15" w:type="dxa"/>
          <w:jc w:val="center"/>
        </w:trPr>
        <w:tc>
          <w:tcPr>
            <w:tcW w:w="2088" w:type="dxa"/>
            <w:vMerge w:val="continue"/>
            <w:shd w:val="clear" w:color="auto" w:fill="FFFFFF"/>
            <w:vAlign w:val="center"/>
          </w:tcPr>
          <w:p>
            <w:pPr>
              <w:jc w:val="center"/>
              <w:rPr>
                <w:rFonts w:hint="default"/>
                <w:color w:val="auto"/>
                <w:lang w:val="en-US" w:eastAsia="zh-CN"/>
              </w:rPr>
            </w:pP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中</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树径8.1－19厘米</w:t>
            </w:r>
          </w:p>
        </w:tc>
        <w:tc>
          <w:tcPr>
            <w:tcW w:w="1045" w:type="dxa"/>
            <w:shd w:val="clear" w:color="auto" w:fill="FFFFFF"/>
            <w:vAlign w:val="center"/>
          </w:tcPr>
          <w:p>
            <w:pPr>
              <w:jc w:val="center"/>
              <w:rPr>
                <w:rFonts w:hint="default"/>
                <w:color w:val="auto"/>
                <w:lang w:val="en-US" w:eastAsia="zh-CN"/>
              </w:rPr>
            </w:pPr>
            <w:r>
              <w:rPr>
                <w:rFonts w:hint="default"/>
                <w:color w:val="auto"/>
                <w:lang w:val="en-US" w:eastAsia="zh-CN"/>
              </w:rPr>
              <w:t>80－200</w:t>
            </w: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8000</w:t>
            </w:r>
          </w:p>
        </w:tc>
        <w:tc>
          <w:tcPr>
            <w:tcW w:w="2818" w:type="dxa"/>
            <w:shd w:val="clear" w:color="auto" w:fill="FFFFFF"/>
            <w:vAlign w:val="center"/>
          </w:tcPr>
          <w:p>
            <w:pPr>
              <w:jc w:val="center"/>
              <w:rPr>
                <w:rFonts w:hint="default"/>
                <w:color w:val="auto"/>
                <w:lang w:val="en-US" w:eastAsia="zh-CN"/>
              </w:rPr>
            </w:pPr>
            <w:r>
              <w:rPr>
                <w:rFonts w:hint="default"/>
                <w:color w:val="auto"/>
                <w:lang w:val="en-US" w:eastAsia="zh-CN"/>
              </w:rPr>
              <w:t>每亩最多40株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15" w:type="dxa"/>
          <w:jc w:val="center"/>
        </w:trPr>
        <w:tc>
          <w:tcPr>
            <w:tcW w:w="2088" w:type="dxa"/>
            <w:vMerge w:val="continue"/>
            <w:shd w:val="clear" w:color="auto" w:fill="FFFFFF"/>
            <w:vAlign w:val="center"/>
          </w:tcPr>
          <w:p>
            <w:pPr>
              <w:jc w:val="center"/>
              <w:rPr>
                <w:rFonts w:hint="default"/>
                <w:color w:val="auto"/>
                <w:lang w:val="en-US" w:eastAsia="zh-CN"/>
              </w:rPr>
            </w:pP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小</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树径2－8厘米</w:t>
            </w:r>
          </w:p>
        </w:tc>
        <w:tc>
          <w:tcPr>
            <w:tcW w:w="1045" w:type="dxa"/>
            <w:shd w:val="clear" w:color="auto" w:fill="FFFFFF"/>
            <w:vAlign w:val="center"/>
          </w:tcPr>
          <w:p>
            <w:pPr>
              <w:jc w:val="center"/>
              <w:rPr>
                <w:rFonts w:hint="default"/>
                <w:color w:val="auto"/>
                <w:lang w:val="en-US" w:eastAsia="zh-CN"/>
              </w:rPr>
            </w:pPr>
            <w:r>
              <w:rPr>
                <w:rFonts w:hint="default"/>
                <w:color w:val="auto"/>
                <w:lang w:val="en-US" w:eastAsia="zh-CN"/>
              </w:rPr>
              <w:t>20－60</w:t>
            </w: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6000</w:t>
            </w:r>
          </w:p>
        </w:tc>
        <w:tc>
          <w:tcPr>
            <w:tcW w:w="2818" w:type="dxa"/>
            <w:shd w:val="clear" w:color="auto" w:fill="FFFFFF"/>
            <w:vAlign w:val="center"/>
          </w:tcPr>
          <w:p>
            <w:pPr>
              <w:jc w:val="center"/>
              <w:rPr>
                <w:rFonts w:hint="default"/>
                <w:color w:val="auto"/>
                <w:lang w:val="en-US" w:eastAsia="zh-CN"/>
              </w:rPr>
            </w:pPr>
            <w:r>
              <w:rPr>
                <w:rFonts w:hint="default"/>
                <w:color w:val="auto"/>
                <w:lang w:val="en-US" w:eastAsia="zh-CN"/>
              </w:rPr>
              <w:t>每亩最多100株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15" w:type="dxa"/>
          <w:jc w:val="center"/>
        </w:trPr>
        <w:tc>
          <w:tcPr>
            <w:tcW w:w="2088" w:type="dxa"/>
            <w:vMerge w:val="continue"/>
            <w:shd w:val="clear" w:color="auto" w:fill="FFFFFF"/>
            <w:vAlign w:val="center"/>
          </w:tcPr>
          <w:p>
            <w:pPr>
              <w:jc w:val="center"/>
              <w:rPr>
                <w:rFonts w:hint="default"/>
                <w:color w:val="auto"/>
                <w:lang w:val="en-US" w:eastAsia="zh-CN"/>
              </w:rPr>
            </w:pP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幼苗</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树径小于2厘米以下</w:t>
            </w:r>
          </w:p>
        </w:tc>
        <w:tc>
          <w:tcPr>
            <w:tcW w:w="1045" w:type="dxa"/>
            <w:shd w:val="clear" w:color="auto" w:fill="FFFFFF"/>
            <w:vAlign w:val="center"/>
          </w:tcPr>
          <w:p>
            <w:pPr>
              <w:jc w:val="center"/>
              <w:rPr>
                <w:rFonts w:hint="default"/>
                <w:color w:val="auto"/>
                <w:lang w:val="en-US" w:eastAsia="zh-CN"/>
              </w:rPr>
            </w:pPr>
            <w:r>
              <w:rPr>
                <w:rFonts w:hint="default"/>
                <w:color w:val="auto"/>
                <w:lang w:val="en-US" w:eastAsia="zh-CN"/>
              </w:rPr>
              <w:t>10－20</w:t>
            </w: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4000</w:t>
            </w:r>
          </w:p>
        </w:tc>
        <w:tc>
          <w:tcPr>
            <w:tcW w:w="2818" w:type="dxa"/>
            <w:shd w:val="clear" w:color="auto" w:fill="FFFFFF"/>
            <w:vAlign w:val="center"/>
          </w:tcPr>
          <w:p>
            <w:pPr>
              <w:jc w:val="center"/>
              <w:rPr>
                <w:rFonts w:hint="default"/>
                <w:color w:val="auto"/>
                <w:lang w:val="en-US" w:eastAsia="zh-CN"/>
              </w:rPr>
            </w:pPr>
            <w:r>
              <w:rPr>
                <w:rFonts w:hint="default"/>
                <w:color w:val="auto"/>
                <w:lang w:val="en-US" w:eastAsia="zh-CN"/>
              </w:rPr>
              <w:t>每亩最多200株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blCellSpacing w:w="15" w:type="dxa"/>
          <w:jc w:val="center"/>
        </w:trPr>
        <w:tc>
          <w:tcPr>
            <w:tcW w:w="2088" w:type="dxa"/>
            <w:vMerge w:val="restart"/>
            <w:shd w:val="clear" w:color="auto" w:fill="FFFFFF"/>
            <w:vAlign w:val="center"/>
          </w:tcPr>
          <w:p>
            <w:pPr>
              <w:jc w:val="center"/>
              <w:rPr>
                <w:rFonts w:hint="default"/>
                <w:color w:val="auto"/>
                <w:lang w:val="en-US" w:eastAsia="zh-CN"/>
              </w:rPr>
            </w:pPr>
            <w:r>
              <w:rPr>
                <w:rFonts w:hint="default"/>
                <w:color w:val="auto"/>
                <w:lang w:val="en-US" w:eastAsia="zh-CN"/>
              </w:rPr>
              <w:t>木棉树、梨索</w:t>
            </w: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特大</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树径51厘米以上</w:t>
            </w:r>
          </w:p>
        </w:tc>
        <w:tc>
          <w:tcPr>
            <w:tcW w:w="1045" w:type="dxa"/>
            <w:shd w:val="clear" w:color="auto" w:fill="FFFFFF"/>
            <w:vAlign w:val="center"/>
          </w:tcPr>
          <w:p>
            <w:pPr>
              <w:jc w:val="center"/>
              <w:rPr>
                <w:rFonts w:hint="default"/>
                <w:color w:val="auto"/>
                <w:lang w:val="en-US" w:eastAsia="zh-CN"/>
              </w:rPr>
            </w:pPr>
            <w:r>
              <w:rPr>
                <w:rFonts w:hint="default"/>
                <w:color w:val="auto"/>
                <w:lang w:val="en-US" w:eastAsia="zh-CN"/>
              </w:rPr>
              <w:t>780</w:t>
            </w:r>
          </w:p>
        </w:tc>
        <w:tc>
          <w:tcPr>
            <w:tcW w:w="1330" w:type="dxa"/>
            <w:shd w:val="clear" w:color="auto" w:fill="FFFFFF"/>
            <w:vAlign w:val="center"/>
          </w:tcPr>
          <w:p>
            <w:pPr>
              <w:jc w:val="center"/>
              <w:rPr>
                <w:rFonts w:hint="default"/>
                <w:color w:val="auto"/>
                <w:lang w:val="en-US" w:eastAsia="zh-CN"/>
              </w:rPr>
            </w:pPr>
          </w:p>
        </w:tc>
        <w:tc>
          <w:tcPr>
            <w:tcW w:w="2818" w:type="dxa"/>
            <w:shd w:val="clear" w:color="auto" w:fill="FFFFFF"/>
            <w:vAlign w:val="center"/>
          </w:tcPr>
          <w:p>
            <w:pPr>
              <w:jc w:val="center"/>
              <w:rPr>
                <w:rFonts w:hint="default"/>
                <w:color w:val="auto"/>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blCellSpacing w:w="15" w:type="dxa"/>
          <w:jc w:val="center"/>
        </w:trPr>
        <w:tc>
          <w:tcPr>
            <w:tcW w:w="2088" w:type="dxa"/>
            <w:vMerge w:val="continue"/>
            <w:shd w:val="clear" w:color="auto" w:fill="FFFFFF"/>
            <w:vAlign w:val="center"/>
          </w:tcPr>
          <w:p>
            <w:pPr>
              <w:jc w:val="center"/>
              <w:rPr>
                <w:rFonts w:hint="default"/>
                <w:color w:val="auto"/>
                <w:lang w:val="en-US" w:eastAsia="zh-CN"/>
              </w:rPr>
            </w:pP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大</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树径31－50厘米</w:t>
            </w:r>
          </w:p>
        </w:tc>
        <w:tc>
          <w:tcPr>
            <w:tcW w:w="1045" w:type="dxa"/>
            <w:shd w:val="clear" w:color="auto" w:fill="FFFFFF"/>
            <w:vAlign w:val="center"/>
          </w:tcPr>
          <w:p>
            <w:pPr>
              <w:jc w:val="center"/>
              <w:rPr>
                <w:rFonts w:hint="default"/>
                <w:color w:val="auto"/>
                <w:lang w:val="en-US" w:eastAsia="zh-CN"/>
              </w:rPr>
            </w:pPr>
            <w:r>
              <w:rPr>
                <w:rFonts w:hint="default"/>
                <w:color w:val="auto"/>
                <w:lang w:val="en-US" w:eastAsia="zh-CN"/>
              </w:rPr>
              <w:t>520</w:t>
            </w:r>
          </w:p>
        </w:tc>
        <w:tc>
          <w:tcPr>
            <w:tcW w:w="1330" w:type="dxa"/>
            <w:shd w:val="clear" w:color="auto" w:fill="FFFFFF"/>
            <w:vAlign w:val="center"/>
          </w:tcPr>
          <w:p>
            <w:pPr>
              <w:jc w:val="center"/>
              <w:rPr>
                <w:rFonts w:hint="default"/>
                <w:color w:val="auto"/>
                <w:lang w:val="en-US" w:eastAsia="zh-CN"/>
              </w:rPr>
            </w:pPr>
          </w:p>
        </w:tc>
        <w:tc>
          <w:tcPr>
            <w:tcW w:w="2818" w:type="dxa"/>
            <w:shd w:val="clear" w:color="auto" w:fill="FFFFFF"/>
            <w:vAlign w:val="center"/>
          </w:tcPr>
          <w:p>
            <w:pPr>
              <w:jc w:val="center"/>
              <w:rPr>
                <w:rFonts w:hint="default"/>
                <w:color w:val="auto"/>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blCellSpacing w:w="15" w:type="dxa"/>
          <w:jc w:val="center"/>
        </w:trPr>
        <w:tc>
          <w:tcPr>
            <w:tcW w:w="2088" w:type="dxa"/>
            <w:vMerge w:val="continue"/>
            <w:shd w:val="clear" w:color="auto" w:fill="FFFFFF"/>
            <w:vAlign w:val="center"/>
          </w:tcPr>
          <w:p>
            <w:pPr>
              <w:jc w:val="center"/>
              <w:rPr>
                <w:rFonts w:hint="default"/>
                <w:color w:val="auto"/>
                <w:lang w:val="en-US" w:eastAsia="zh-CN"/>
              </w:rPr>
            </w:pP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中</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树径15－30.9厘米</w:t>
            </w:r>
          </w:p>
        </w:tc>
        <w:tc>
          <w:tcPr>
            <w:tcW w:w="1045" w:type="dxa"/>
            <w:shd w:val="clear" w:color="auto" w:fill="FFFFFF"/>
            <w:vAlign w:val="center"/>
          </w:tcPr>
          <w:p>
            <w:pPr>
              <w:jc w:val="center"/>
              <w:rPr>
                <w:rFonts w:hint="default"/>
                <w:color w:val="auto"/>
                <w:lang w:val="en-US" w:eastAsia="zh-CN"/>
              </w:rPr>
            </w:pPr>
            <w:r>
              <w:rPr>
                <w:rFonts w:hint="default"/>
                <w:color w:val="auto"/>
                <w:lang w:val="en-US" w:eastAsia="zh-CN"/>
              </w:rPr>
              <w:t>70－200</w:t>
            </w: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5400</w:t>
            </w:r>
          </w:p>
        </w:tc>
        <w:tc>
          <w:tcPr>
            <w:tcW w:w="2818" w:type="dxa"/>
            <w:shd w:val="clear" w:color="auto" w:fill="FFFFFF"/>
            <w:vAlign w:val="center"/>
          </w:tcPr>
          <w:p>
            <w:pPr>
              <w:jc w:val="center"/>
              <w:rPr>
                <w:rFonts w:hint="default"/>
                <w:color w:val="auto"/>
                <w:lang w:val="en-US" w:eastAsia="zh-CN"/>
              </w:rPr>
            </w:pPr>
            <w:r>
              <w:rPr>
                <w:rFonts w:hint="default"/>
                <w:color w:val="auto"/>
                <w:lang w:val="en-US" w:eastAsia="zh-CN"/>
              </w:rPr>
              <w:t>每亩最多27株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blCellSpacing w:w="15" w:type="dxa"/>
          <w:jc w:val="center"/>
        </w:trPr>
        <w:tc>
          <w:tcPr>
            <w:tcW w:w="2088" w:type="dxa"/>
            <w:vMerge w:val="continue"/>
            <w:shd w:val="clear" w:color="auto" w:fill="FFFFFF"/>
            <w:vAlign w:val="center"/>
          </w:tcPr>
          <w:p>
            <w:pPr>
              <w:jc w:val="center"/>
              <w:rPr>
                <w:rFonts w:hint="default"/>
                <w:color w:val="auto"/>
                <w:lang w:val="en-US" w:eastAsia="zh-CN"/>
              </w:rPr>
            </w:pP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小</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树径5－14.9厘米</w:t>
            </w:r>
          </w:p>
        </w:tc>
        <w:tc>
          <w:tcPr>
            <w:tcW w:w="1045" w:type="dxa"/>
            <w:shd w:val="clear" w:color="auto" w:fill="FFFFFF"/>
            <w:vAlign w:val="center"/>
          </w:tcPr>
          <w:p>
            <w:pPr>
              <w:jc w:val="center"/>
              <w:rPr>
                <w:rFonts w:hint="default"/>
                <w:color w:val="auto"/>
                <w:lang w:val="en-US" w:eastAsia="zh-CN"/>
              </w:rPr>
            </w:pPr>
            <w:r>
              <w:rPr>
                <w:rFonts w:hint="default"/>
                <w:color w:val="auto"/>
                <w:lang w:val="en-US" w:eastAsia="zh-CN"/>
              </w:rPr>
              <w:t>15－30</w:t>
            </w: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4500</w:t>
            </w:r>
          </w:p>
        </w:tc>
        <w:tc>
          <w:tcPr>
            <w:tcW w:w="2818" w:type="dxa"/>
            <w:shd w:val="clear" w:color="auto" w:fill="FFFFFF"/>
            <w:vAlign w:val="center"/>
          </w:tcPr>
          <w:p>
            <w:pPr>
              <w:jc w:val="center"/>
              <w:rPr>
                <w:rFonts w:hint="default"/>
                <w:color w:val="auto"/>
                <w:lang w:val="en-US" w:eastAsia="zh-CN"/>
              </w:rPr>
            </w:pPr>
            <w:r>
              <w:rPr>
                <w:rFonts w:hint="default"/>
                <w:color w:val="auto"/>
                <w:lang w:val="en-US" w:eastAsia="zh-CN"/>
              </w:rPr>
              <w:t>每亩最多150株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blCellSpacing w:w="15" w:type="dxa"/>
          <w:jc w:val="center"/>
        </w:trPr>
        <w:tc>
          <w:tcPr>
            <w:tcW w:w="2088" w:type="dxa"/>
            <w:vMerge w:val="continue"/>
            <w:shd w:val="clear" w:color="auto" w:fill="FFFFFF"/>
            <w:vAlign w:val="center"/>
          </w:tcPr>
          <w:p>
            <w:pPr>
              <w:jc w:val="center"/>
              <w:rPr>
                <w:rFonts w:hint="default"/>
                <w:color w:val="auto"/>
                <w:lang w:val="en-US" w:eastAsia="zh-CN"/>
              </w:rPr>
            </w:pP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幼苗</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树径4.9厘米以下</w:t>
            </w:r>
          </w:p>
        </w:tc>
        <w:tc>
          <w:tcPr>
            <w:tcW w:w="1045" w:type="dxa"/>
            <w:shd w:val="clear" w:color="auto" w:fill="FFFFFF"/>
            <w:vAlign w:val="center"/>
          </w:tcPr>
          <w:p>
            <w:pPr>
              <w:jc w:val="center"/>
              <w:rPr>
                <w:rFonts w:hint="default"/>
                <w:color w:val="auto"/>
                <w:lang w:val="en-US" w:eastAsia="zh-CN"/>
              </w:rPr>
            </w:pPr>
            <w:r>
              <w:rPr>
                <w:rFonts w:hint="default"/>
                <w:color w:val="auto"/>
                <w:lang w:val="en-US" w:eastAsia="zh-CN"/>
              </w:rPr>
              <w:t>10－20</w:t>
            </w: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4000</w:t>
            </w:r>
          </w:p>
        </w:tc>
        <w:tc>
          <w:tcPr>
            <w:tcW w:w="2818" w:type="dxa"/>
            <w:shd w:val="clear" w:color="auto" w:fill="FFFFFF"/>
            <w:vAlign w:val="center"/>
          </w:tcPr>
          <w:p>
            <w:pPr>
              <w:jc w:val="center"/>
              <w:rPr>
                <w:rFonts w:hint="default"/>
                <w:color w:val="auto"/>
                <w:lang w:val="en-US" w:eastAsia="zh-CN"/>
              </w:rPr>
            </w:pPr>
            <w:r>
              <w:rPr>
                <w:rFonts w:hint="default"/>
                <w:color w:val="auto"/>
                <w:lang w:val="en-US" w:eastAsia="zh-CN"/>
              </w:rPr>
              <w:t>每亩最多200株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blCellSpacing w:w="15" w:type="dxa"/>
          <w:jc w:val="center"/>
        </w:trPr>
        <w:tc>
          <w:tcPr>
            <w:tcW w:w="2088" w:type="dxa"/>
            <w:vMerge w:val="restart"/>
            <w:shd w:val="clear" w:color="auto" w:fill="FFFFFF"/>
            <w:vAlign w:val="center"/>
          </w:tcPr>
          <w:p>
            <w:pPr>
              <w:jc w:val="center"/>
              <w:rPr>
                <w:rFonts w:hint="default"/>
                <w:color w:val="auto"/>
                <w:lang w:val="en-US" w:eastAsia="zh-CN"/>
              </w:rPr>
            </w:pPr>
            <w:r>
              <w:rPr>
                <w:rFonts w:hint="default"/>
                <w:color w:val="auto"/>
                <w:lang w:val="en-US" w:eastAsia="zh-CN"/>
              </w:rPr>
              <w:t>榕树</w:t>
            </w: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大</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树径31厘米以上</w:t>
            </w:r>
          </w:p>
        </w:tc>
        <w:tc>
          <w:tcPr>
            <w:tcW w:w="1045" w:type="dxa"/>
            <w:shd w:val="clear" w:color="auto" w:fill="FFFFFF"/>
            <w:vAlign w:val="center"/>
          </w:tcPr>
          <w:p>
            <w:pPr>
              <w:jc w:val="center"/>
              <w:rPr>
                <w:rFonts w:hint="default"/>
                <w:color w:val="auto"/>
                <w:lang w:val="en-US" w:eastAsia="zh-CN"/>
              </w:rPr>
            </w:pPr>
            <w:r>
              <w:rPr>
                <w:rFonts w:hint="default"/>
                <w:color w:val="auto"/>
                <w:lang w:val="en-US" w:eastAsia="zh-CN"/>
              </w:rPr>
              <w:t>350</w:t>
            </w: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7000</w:t>
            </w:r>
          </w:p>
        </w:tc>
        <w:tc>
          <w:tcPr>
            <w:tcW w:w="2818" w:type="dxa"/>
            <w:shd w:val="clear" w:color="auto" w:fill="FFFFFF"/>
            <w:vAlign w:val="center"/>
          </w:tcPr>
          <w:p>
            <w:pPr>
              <w:jc w:val="center"/>
              <w:rPr>
                <w:rFonts w:hint="default"/>
                <w:color w:val="auto"/>
                <w:lang w:val="en-US" w:eastAsia="zh-CN"/>
              </w:rPr>
            </w:pPr>
            <w:r>
              <w:rPr>
                <w:rFonts w:hint="default"/>
                <w:color w:val="auto"/>
                <w:lang w:val="en-US" w:eastAsia="zh-CN"/>
              </w:rPr>
              <w:t>每亩最多20株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blCellSpacing w:w="15" w:type="dxa"/>
          <w:jc w:val="center"/>
        </w:trPr>
        <w:tc>
          <w:tcPr>
            <w:tcW w:w="2088" w:type="dxa"/>
            <w:vMerge w:val="continue"/>
            <w:shd w:val="clear" w:color="auto" w:fill="FFFFFF"/>
            <w:vAlign w:val="center"/>
          </w:tcPr>
          <w:p>
            <w:pPr>
              <w:jc w:val="center"/>
              <w:rPr>
                <w:rFonts w:hint="default"/>
                <w:color w:val="auto"/>
                <w:lang w:val="en-US" w:eastAsia="zh-CN"/>
              </w:rPr>
            </w:pP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中</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树径31－30厘米</w:t>
            </w:r>
          </w:p>
        </w:tc>
        <w:tc>
          <w:tcPr>
            <w:tcW w:w="1045" w:type="dxa"/>
            <w:shd w:val="clear" w:color="auto" w:fill="FFFFFF"/>
            <w:vAlign w:val="center"/>
          </w:tcPr>
          <w:p>
            <w:pPr>
              <w:jc w:val="center"/>
              <w:rPr>
                <w:rFonts w:hint="default"/>
                <w:color w:val="auto"/>
                <w:lang w:val="en-US" w:eastAsia="zh-CN"/>
              </w:rPr>
            </w:pPr>
            <w:r>
              <w:rPr>
                <w:rFonts w:hint="default"/>
                <w:color w:val="auto"/>
                <w:lang w:val="en-US" w:eastAsia="zh-CN"/>
              </w:rPr>
              <w:t>130</w:t>
            </w: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5200</w:t>
            </w:r>
          </w:p>
        </w:tc>
        <w:tc>
          <w:tcPr>
            <w:tcW w:w="2818" w:type="dxa"/>
            <w:shd w:val="clear" w:color="auto" w:fill="FFFFFF"/>
            <w:vAlign w:val="center"/>
          </w:tcPr>
          <w:p>
            <w:pPr>
              <w:jc w:val="center"/>
              <w:rPr>
                <w:rFonts w:hint="default"/>
                <w:color w:val="auto"/>
                <w:lang w:val="en-US" w:eastAsia="zh-CN"/>
              </w:rPr>
            </w:pPr>
            <w:r>
              <w:rPr>
                <w:rFonts w:hint="default"/>
                <w:color w:val="auto"/>
                <w:lang w:val="en-US" w:eastAsia="zh-CN"/>
              </w:rPr>
              <w:t>每亩最多40株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blCellSpacing w:w="15" w:type="dxa"/>
          <w:jc w:val="center"/>
        </w:trPr>
        <w:tc>
          <w:tcPr>
            <w:tcW w:w="2088" w:type="dxa"/>
            <w:vMerge w:val="continue"/>
            <w:shd w:val="clear" w:color="auto" w:fill="FFFFFF"/>
            <w:vAlign w:val="center"/>
          </w:tcPr>
          <w:p>
            <w:pPr>
              <w:jc w:val="center"/>
              <w:rPr>
                <w:rFonts w:hint="default"/>
                <w:color w:val="auto"/>
                <w:lang w:val="en-US" w:eastAsia="zh-CN"/>
              </w:rPr>
            </w:pP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小</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树径5－14厘米</w:t>
            </w:r>
          </w:p>
        </w:tc>
        <w:tc>
          <w:tcPr>
            <w:tcW w:w="1045" w:type="dxa"/>
            <w:shd w:val="clear" w:color="auto" w:fill="FFFFFF"/>
            <w:vAlign w:val="center"/>
          </w:tcPr>
          <w:p>
            <w:pPr>
              <w:jc w:val="center"/>
              <w:rPr>
                <w:rFonts w:hint="default"/>
                <w:color w:val="auto"/>
                <w:lang w:val="en-US" w:eastAsia="zh-CN"/>
              </w:rPr>
            </w:pPr>
            <w:r>
              <w:rPr>
                <w:rFonts w:hint="default"/>
                <w:color w:val="auto"/>
                <w:lang w:val="en-US" w:eastAsia="zh-CN"/>
              </w:rPr>
              <w:t>40</w:t>
            </w: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4000</w:t>
            </w:r>
          </w:p>
        </w:tc>
        <w:tc>
          <w:tcPr>
            <w:tcW w:w="2818" w:type="dxa"/>
            <w:shd w:val="clear" w:color="auto" w:fill="FFFFFF"/>
            <w:vAlign w:val="center"/>
          </w:tcPr>
          <w:p>
            <w:pPr>
              <w:jc w:val="center"/>
              <w:rPr>
                <w:rFonts w:hint="default"/>
                <w:color w:val="auto"/>
                <w:lang w:val="en-US" w:eastAsia="zh-CN"/>
              </w:rPr>
            </w:pPr>
            <w:r>
              <w:rPr>
                <w:rFonts w:hint="default"/>
                <w:color w:val="auto"/>
                <w:lang w:val="en-US" w:eastAsia="zh-CN"/>
              </w:rPr>
              <w:t>每亩最多100株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blCellSpacing w:w="15" w:type="dxa"/>
          <w:jc w:val="center"/>
        </w:trPr>
        <w:tc>
          <w:tcPr>
            <w:tcW w:w="2088" w:type="dxa"/>
            <w:vMerge w:val="continue"/>
            <w:shd w:val="clear" w:color="auto" w:fill="FFFFFF"/>
            <w:vAlign w:val="center"/>
          </w:tcPr>
          <w:p>
            <w:pPr>
              <w:jc w:val="center"/>
              <w:rPr>
                <w:rFonts w:hint="default"/>
                <w:color w:val="auto"/>
                <w:lang w:val="en-US" w:eastAsia="zh-CN"/>
              </w:rPr>
            </w:pP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幼苗</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树径4.9厘米以下</w:t>
            </w:r>
          </w:p>
        </w:tc>
        <w:tc>
          <w:tcPr>
            <w:tcW w:w="1045" w:type="dxa"/>
            <w:shd w:val="clear" w:color="auto" w:fill="FFFFFF"/>
            <w:vAlign w:val="center"/>
          </w:tcPr>
          <w:p>
            <w:pPr>
              <w:jc w:val="center"/>
              <w:rPr>
                <w:rFonts w:hint="default"/>
                <w:color w:val="auto"/>
                <w:lang w:val="en-US" w:eastAsia="zh-CN"/>
              </w:rPr>
            </w:pPr>
            <w:r>
              <w:rPr>
                <w:rFonts w:hint="default"/>
                <w:color w:val="auto"/>
                <w:lang w:val="en-US" w:eastAsia="zh-CN"/>
              </w:rPr>
              <w:t>10－20</w:t>
            </w: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4000</w:t>
            </w:r>
          </w:p>
        </w:tc>
        <w:tc>
          <w:tcPr>
            <w:tcW w:w="2818" w:type="dxa"/>
            <w:shd w:val="clear" w:color="auto" w:fill="FFFFFF"/>
            <w:vAlign w:val="center"/>
          </w:tcPr>
          <w:p>
            <w:pPr>
              <w:jc w:val="center"/>
              <w:rPr>
                <w:rFonts w:hint="default"/>
                <w:color w:val="auto"/>
                <w:lang w:val="en-US" w:eastAsia="zh-CN"/>
              </w:rPr>
            </w:pPr>
            <w:r>
              <w:rPr>
                <w:rFonts w:hint="default"/>
                <w:color w:val="auto"/>
                <w:lang w:val="en-US" w:eastAsia="zh-CN"/>
              </w:rPr>
              <w:t>每亩最多200株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blCellSpacing w:w="15" w:type="dxa"/>
          <w:jc w:val="center"/>
        </w:trPr>
        <w:tc>
          <w:tcPr>
            <w:tcW w:w="2088" w:type="dxa"/>
            <w:vMerge w:val="restart"/>
            <w:shd w:val="clear" w:color="auto" w:fill="FFFFFF"/>
            <w:vAlign w:val="center"/>
          </w:tcPr>
          <w:p>
            <w:pPr>
              <w:jc w:val="center"/>
              <w:rPr>
                <w:rFonts w:hint="default"/>
                <w:color w:val="auto"/>
                <w:lang w:val="en-US" w:eastAsia="zh-CN"/>
              </w:rPr>
            </w:pPr>
            <w:r>
              <w:rPr>
                <w:rFonts w:hint="default"/>
                <w:color w:val="auto"/>
                <w:lang w:val="en-US" w:eastAsia="zh-CN"/>
              </w:rPr>
              <w:t>沉香、罗汉松、</w:t>
            </w:r>
            <w:r>
              <w:rPr>
                <w:rFonts w:hint="default"/>
                <w:color w:val="auto"/>
                <w:lang w:val="en-US" w:eastAsia="zh-CN"/>
              </w:rPr>
              <w:br w:type="textWrapping"/>
            </w:r>
            <w:r>
              <w:rPr>
                <w:rFonts w:hint="default"/>
                <w:color w:val="auto"/>
                <w:lang w:val="en-US" w:eastAsia="zh-CN"/>
              </w:rPr>
              <w:t>红椎</w:t>
            </w: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大</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树径10.1厘米以上</w:t>
            </w:r>
          </w:p>
        </w:tc>
        <w:tc>
          <w:tcPr>
            <w:tcW w:w="1045" w:type="dxa"/>
            <w:shd w:val="clear" w:color="auto" w:fill="FFFFFF"/>
            <w:vAlign w:val="center"/>
          </w:tcPr>
          <w:p>
            <w:pPr>
              <w:jc w:val="center"/>
              <w:rPr>
                <w:rFonts w:hint="default"/>
                <w:color w:val="auto"/>
                <w:lang w:val="en-US" w:eastAsia="zh-CN"/>
              </w:rPr>
            </w:pPr>
            <w:r>
              <w:rPr>
                <w:rFonts w:hint="default"/>
                <w:color w:val="auto"/>
                <w:lang w:val="en-US" w:eastAsia="zh-CN"/>
              </w:rPr>
              <w:t>130</w:t>
            </w:r>
          </w:p>
        </w:tc>
        <w:tc>
          <w:tcPr>
            <w:tcW w:w="1330" w:type="dxa"/>
            <w:shd w:val="clear" w:color="auto" w:fill="FFFFFF"/>
            <w:vAlign w:val="center"/>
          </w:tcPr>
          <w:p>
            <w:pPr>
              <w:jc w:val="center"/>
              <w:rPr>
                <w:rFonts w:hint="default"/>
                <w:color w:val="auto"/>
                <w:lang w:val="en-US" w:eastAsia="zh-CN"/>
              </w:rPr>
            </w:pPr>
          </w:p>
        </w:tc>
        <w:tc>
          <w:tcPr>
            <w:tcW w:w="2818" w:type="dxa"/>
            <w:shd w:val="clear" w:color="auto" w:fill="FFFFFF"/>
            <w:vAlign w:val="center"/>
          </w:tcPr>
          <w:p>
            <w:pPr>
              <w:jc w:val="center"/>
              <w:rPr>
                <w:rFonts w:hint="default"/>
                <w:color w:val="auto"/>
                <w:lang w:val="en-US" w:eastAsia="zh-CN"/>
              </w:rPr>
            </w:pPr>
            <w:r>
              <w:rPr>
                <w:rFonts w:hint="default"/>
                <w:color w:val="auto"/>
                <w:lang w:val="en-US" w:eastAsia="zh-CN"/>
              </w:rPr>
              <w:t>每亩最多80株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blCellSpacing w:w="15" w:type="dxa"/>
          <w:jc w:val="center"/>
        </w:trPr>
        <w:tc>
          <w:tcPr>
            <w:tcW w:w="2088" w:type="dxa"/>
            <w:vMerge w:val="continue"/>
            <w:shd w:val="clear" w:color="auto" w:fill="FFFFFF"/>
            <w:vAlign w:val="center"/>
          </w:tcPr>
          <w:p>
            <w:pPr>
              <w:jc w:val="center"/>
              <w:rPr>
                <w:rFonts w:hint="default"/>
                <w:color w:val="auto"/>
                <w:lang w:val="en-US" w:eastAsia="zh-CN"/>
              </w:rPr>
            </w:pP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中</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树径5.1－10厘米</w:t>
            </w:r>
          </w:p>
        </w:tc>
        <w:tc>
          <w:tcPr>
            <w:tcW w:w="1045" w:type="dxa"/>
            <w:shd w:val="clear" w:color="auto" w:fill="FFFFFF"/>
            <w:vAlign w:val="center"/>
          </w:tcPr>
          <w:p>
            <w:pPr>
              <w:jc w:val="center"/>
              <w:rPr>
                <w:rFonts w:hint="default"/>
                <w:color w:val="auto"/>
                <w:lang w:val="en-US" w:eastAsia="zh-CN"/>
              </w:rPr>
            </w:pPr>
            <w:r>
              <w:rPr>
                <w:rFonts w:hint="default"/>
                <w:color w:val="auto"/>
                <w:lang w:val="en-US" w:eastAsia="zh-CN"/>
              </w:rPr>
              <w:t>40</w:t>
            </w:r>
          </w:p>
        </w:tc>
        <w:tc>
          <w:tcPr>
            <w:tcW w:w="1330" w:type="dxa"/>
            <w:shd w:val="clear" w:color="auto" w:fill="FFFFFF"/>
            <w:vAlign w:val="center"/>
          </w:tcPr>
          <w:p>
            <w:pPr>
              <w:jc w:val="center"/>
              <w:rPr>
                <w:rFonts w:hint="default"/>
                <w:color w:val="auto"/>
                <w:lang w:val="en-US" w:eastAsia="zh-CN"/>
              </w:rPr>
            </w:pPr>
          </w:p>
        </w:tc>
        <w:tc>
          <w:tcPr>
            <w:tcW w:w="2818" w:type="dxa"/>
            <w:shd w:val="clear" w:color="auto" w:fill="FFFFFF"/>
            <w:vAlign w:val="center"/>
          </w:tcPr>
          <w:p>
            <w:pPr>
              <w:jc w:val="center"/>
              <w:rPr>
                <w:rFonts w:hint="default"/>
                <w:color w:val="auto"/>
                <w:lang w:val="en-US" w:eastAsia="zh-CN"/>
              </w:rPr>
            </w:pPr>
            <w:r>
              <w:rPr>
                <w:rFonts w:hint="default"/>
                <w:color w:val="auto"/>
                <w:lang w:val="en-US" w:eastAsia="zh-CN"/>
              </w:rPr>
              <w:t>每亩最多150株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5" w:hRule="atLeast"/>
          <w:tblCellSpacing w:w="15" w:type="dxa"/>
          <w:jc w:val="center"/>
        </w:trPr>
        <w:tc>
          <w:tcPr>
            <w:tcW w:w="2088" w:type="dxa"/>
            <w:vMerge w:val="continue"/>
            <w:shd w:val="clear" w:color="auto" w:fill="FFFFFF"/>
            <w:vAlign w:val="center"/>
          </w:tcPr>
          <w:p>
            <w:pPr>
              <w:jc w:val="center"/>
              <w:rPr>
                <w:rFonts w:hint="default"/>
                <w:color w:val="auto"/>
                <w:lang w:val="en-US" w:eastAsia="zh-CN"/>
              </w:rPr>
            </w:pP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小</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树径2－5厘米</w:t>
            </w:r>
          </w:p>
        </w:tc>
        <w:tc>
          <w:tcPr>
            <w:tcW w:w="1045" w:type="dxa"/>
            <w:shd w:val="clear" w:color="auto" w:fill="FFFFFF"/>
            <w:vAlign w:val="center"/>
          </w:tcPr>
          <w:p>
            <w:pPr>
              <w:jc w:val="center"/>
              <w:rPr>
                <w:rFonts w:hint="default"/>
                <w:color w:val="auto"/>
                <w:lang w:val="en-US" w:eastAsia="zh-CN"/>
              </w:rPr>
            </w:pPr>
            <w:r>
              <w:rPr>
                <w:rFonts w:hint="default"/>
                <w:color w:val="auto"/>
                <w:lang w:val="en-US" w:eastAsia="zh-CN"/>
              </w:rPr>
              <w:t>30</w:t>
            </w:r>
          </w:p>
        </w:tc>
        <w:tc>
          <w:tcPr>
            <w:tcW w:w="1330" w:type="dxa"/>
            <w:shd w:val="clear" w:color="auto" w:fill="FFFFFF"/>
            <w:vAlign w:val="center"/>
          </w:tcPr>
          <w:p>
            <w:pPr>
              <w:jc w:val="center"/>
              <w:rPr>
                <w:rFonts w:hint="default"/>
                <w:color w:val="auto"/>
                <w:lang w:val="en-US" w:eastAsia="zh-CN"/>
              </w:rPr>
            </w:pPr>
          </w:p>
        </w:tc>
        <w:tc>
          <w:tcPr>
            <w:tcW w:w="2818" w:type="dxa"/>
            <w:shd w:val="clear" w:color="auto" w:fill="FFFFFF"/>
            <w:vAlign w:val="center"/>
          </w:tcPr>
          <w:p>
            <w:pPr>
              <w:jc w:val="center"/>
              <w:rPr>
                <w:rFonts w:hint="default"/>
                <w:color w:val="auto"/>
                <w:lang w:val="en-US" w:eastAsia="zh-CN"/>
              </w:rPr>
            </w:pPr>
            <w:r>
              <w:rPr>
                <w:rFonts w:hint="default"/>
                <w:color w:val="auto"/>
                <w:lang w:val="en-US" w:eastAsia="zh-CN"/>
              </w:rPr>
              <w:t>每亩最多150株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5" w:hRule="atLeast"/>
          <w:tblCellSpacing w:w="15" w:type="dxa"/>
          <w:jc w:val="center"/>
        </w:trPr>
        <w:tc>
          <w:tcPr>
            <w:tcW w:w="2088" w:type="dxa"/>
            <w:vMerge w:val="continue"/>
            <w:shd w:val="clear" w:color="auto" w:fill="FFFFFF"/>
            <w:vAlign w:val="center"/>
          </w:tcPr>
          <w:p>
            <w:pPr>
              <w:jc w:val="center"/>
              <w:rPr>
                <w:rFonts w:hint="default"/>
                <w:color w:val="auto"/>
                <w:lang w:val="en-US" w:eastAsia="zh-CN"/>
              </w:rPr>
            </w:pP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幼苗</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树径2厘米以下</w:t>
            </w:r>
          </w:p>
        </w:tc>
        <w:tc>
          <w:tcPr>
            <w:tcW w:w="1045" w:type="dxa"/>
            <w:shd w:val="clear" w:color="auto" w:fill="FFFFFF"/>
            <w:vAlign w:val="center"/>
          </w:tcPr>
          <w:p>
            <w:pPr>
              <w:jc w:val="center"/>
              <w:rPr>
                <w:rFonts w:hint="default"/>
                <w:color w:val="auto"/>
                <w:lang w:val="en-US" w:eastAsia="zh-CN"/>
              </w:rPr>
            </w:pPr>
            <w:r>
              <w:rPr>
                <w:rFonts w:hint="default"/>
                <w:color w:val="auto"/>
                <w:lang w:val="en-US" w:eastAsia="zh-CN"/>
              </w:rPr>
              <w:t>10－20</w:t>
            </w:r>
          </w:p>
        </w:tc>
        <w:tc>
          <w:tcPr>
            <w:tcW w:w="1330" w:type="dxa"/>
            <w:shd w:val="clear" w:color="auto" w:fill="FFFFFF"/>
            <w:vAlign w:val="center"/>
          </w:tcPr>
          <w:p>
            <w:pPr>
              <w:jc w:val="center"/>
              <w:rPr>
                <w:rFonts w:hint="default"/>
                <w:color w:val="auto"/>
                <w:lang w:val="en-US" w:eastAsia="zh-CN"/>
              </w:rPr>
            </w:pPr>
          </w:p>
        </w:tc>
        <w:tc>
          <w:tcPr>
            <w:tcW w:w="2818" w:type="dxa"/>
            <w:shd w:val="clear" w:color="auto" w:fill="FFFFFF"/>
            <w:vAlign w:val="center"/>
          </w:tcPr>
          <w:p>
            <w:pPr>
              <w:jc w:val="center"/>
              <w:rPr>
                <w:rFonts w:hint="default"/>
                <w:color w:val="auto"/>
                <w:lang w:val="en-US" w:eastAsia="zh-CN"/>
              </w:rPr>
            </w:pPr>
            <w:r>
              <w:rPr>
                <w:rFonts w:hint="default"/>
                <w:color w:val="auto"/>
                <w:lang w:val="en-US" w:eastAsia="zh-CN"/>
              </w:rPr>
              <w:t>每亩最多200株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5" w:hRule="atLeast"/>
          <w:tblCellSpacing w:w="15" w:type="dxa"/>
          <w:jc w:val="center"/>
        </w:trPr>
        <w:tc>
          <w:tcPr>
            <w:tcW w:w="2088" w:type="dxa"/>
            <w:vMerge w:val="restart"/>
            <w:shd w:val="clear" w:color="auto" w:fill="FFFFFF"/>
            <w:vAlign w:val="center"/>
          </w:tcPr>
          <w:p>
            <w:pPr>
              <w:jc w:val="center"/>
              <w:rPr>
                <w:rFonts w:hint="default"/>
                <w:color w:val="auto"/>
                <w:lang w:val="en-US" w:eastAsia="zh-CN"/>
              </w:rPr>
            </w:pPr>
            <w:r>
              <w:rPr>
                <w:rFonts w:hint="default"/>
                <w:color w:val="auto"/>
                <w:lang w:val="en-US" w:eastAsia="zh-CN"/>
              </w:rPr>
              <w:t>菠萝、葡萄、</w:t>
            </w:r>
            <w:r>
              <w:rPr>
                <w:rFonts w:hint="default"/>
                <w:color w:val="auto"/>
                <w:lang w:val="en-US" w:eastAsia="zh-CN"/>
              </w:rPr>
              <w:br w:type="textWrapping"/>
            </w:r>
            <w:r>
              <w:rPr>
                <w:rFonts w:hint="default"/>
                <w:color w:val="auto"/>
                <w:lang w:val="en-US" w:eastAsia="zh-CN"/>
              </w:rPr>
              <w:t>火龙果</w:t>
            </w: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幼苗</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未挂果</w:t>
            </w:r>
          </w:p>
        </w:tc>
        <w:tc>
          <w:tcPr>
            <w:tcW w:w="1045" w:type="dxa"/>
            <w:shd w:val="clear" w:color="auto" w:fill="FFFFFF"/>
            <w:vAlign w:val="center"/>
          </w:tcPr>
          <w:p>
            <w:pPr>
              <w:jc w:val="center"/>
              <w:rPr>
                <w:rFonts w:hint="default"/>
                <w:color w:val="auto"/>
                <w:lang w:val="en-US" w:eastAsia="zh-CN"/>
              </w:rPr>
            </w:pP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1950</w:t>
            </w:r>
          </w:p>
        </w:tc>
        <w:tc>
          <w:tcPr>
            <w:tcW w:w="2818" w:type="dxa"/>
            <w:shd w:val="clear" w:color="auto" w:fill="FFFFFF"/>
            <w:vAlign w:val="center"/>
          </w:tcPr>
          <w:p>
            <w:pPr>
              <w:jc w:val="center"/>
              <w:rPr>
                <w:rFonts w:hint="default"/>
                <w:color w:val="auto"/>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blCellSpacing w:w="15" w:type="dxa"/>
          <w:jc w:val="center"/>
        </w:trPr>
        <w:tc>
          <w:tcPr>
            <w:tcW w:w="2088" w:type="dxa"/>
            <w:vMerge w:val="continue"/>
            <w:shd w:val="clear" w:color="auto" w:fill="FFFFFF"/>
            <w:vAlign w:val="center"/>
          </w:tcPr>
          <w:p>
            <w:pPr>
              <w:jc w:val="center"/>
              <w:rPr>
                <w:rFonts w:hint="default"/>
                <w:color w:val="auto"/>
                <w:lang w:val="en-US" w:eastAsia="zh-CN"/>
              </w:rPr>
            </w:pP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成苗</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已挂果</w:t>
            </w:r>
          </w:p>
        </w:tc>
        <w:tc>
          <w:tcPr>
            <w:tcW w:w="1045" w:type="dxa"/>
            <w:shd w:val="clear" w:color="auto" w:fill="FFFFFF"/>
            <w:vAlign w:val="center"/>
          </w:tcPr>
          <w:p>
            <w:pPr>
              <w:jc w:val="center"/>
              <w:rPr>
                <w:rFonts w:hint="default"/>
                <w:color w:val="auto"/>
                <w:lang w:val="en-US" w:eastAsia="zh-CN"/>
              </w:rPr>
            </w:pP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3900</w:t>
            </w:r>
          </w:p>
        </w:tc>
        <w:tc>
          <w:tcPr>
            <w:tcW w:w="2818" w:type="dxa"/>
            <w:shd w:val="clear" w:color="auto" w:fill="FFFFFF"/>
            <w:vAlign w:val="center"/>
          </w:tcPr>
          <w:p>
            <w:pPr>
              <w:jc w:val="center"/>
              <w:rPr>
                <w:rFonts w:hint="default"/>
                <w:color w:val="auto"/>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blCellSpacing w:w="15" w:type="dxa"/>
          <w:jc w:val="center"/>
        </w:trPr>
        <w:tc>
          <w:tcPr>
            <w:tcW w:w="2088" w:type="dxa"/>
            <w:vMerge w:val="restart"/>
            <w:shd w:val="clear" w:color="auto" w:fill="FFFFFF"/>
            <w:vAlign w:val="center"/>
          </w:tcPr>
          <w:p>
            <w:pPr>
              <w:jc w:val="center"/>
              <w:rPr>
                <w:rFonts w:hint="default"/>
                <w:color w:val="auto"/>
                <w:lang w:val="en-US" w:eastAsia="zh-CN"/>
              </w:rPr>
            </w:pPr>
            <w:r>
              <w:rPr>
                <w:rFonts w:hint="default"/>
                <w:color w:val="auto"/>
                <w:lang w:val="en-US" w:eastAsia="zh-CN"/>
              </w:rPr>
              <w:br w:type="textWrapping"/>
            </w:r>
            <w:r>
              <w:rPr>
                <w:rFonts w:hint="default"/>
                <w:color w:val="auto"/>
                <w:lang w:val="en-US" w:eastAsia="zh-CN"/>
              </w:rPr>
              <w:br w:type="textWrapping"/>
            </w:r>
            <w:r>
              <w:rPr>
                <w:rFonts w:hint="default"/>
                <w:color w:val="auto"/>
                <w:lang w:val="en-US" w:eastAsia="zh-CN"/>
              </w:rPr>
              <w:br w:type="textWrapping"/>
            </w:r>
            <w:r>
              <w:rPr>
                <w:rFonts w:hint="default"/>
                <w:color w:val="auto"/>
                <w:lang w:val="en-US" w:eastAsia="zh-CN"/>
              </w:rPr>
              <w:br w:type="textWrapping"/>
            </w:r>
            <w:r>
              <w:rPr>
                <w:rFonts w:hint="default"/>
                <w:color w:val="auto"/>
                <w:lang w:val="en-US" w:eastAsia="zh-CN"/>
              </w:rPr>
              <w:br w:type="textWrapping"/>
            </w:r>
            <w:r>
              <w:rPr>
                <w:rFonts w:hint="default"/>
                <w:color w:val="auto"/>
                <w:lang w:val="en-US" w:eastAsia="zh-CN"/>
              </w:rPr>
              <w:br w:type="textWrapping"/>
            </w:r>
            <w:r>
              <w:rPr>
                <w:rFonts w:hint="default"/>
                <w:color w:val="auto"/>
                <w:lang w:val="en-US" w:eastAsia="zh-CN"/>
              </w:rPr>
              <w:t>乌榄、青榄</w:t>
            </w: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特大</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树冠直径5米以上</w:t>
            </w:r>
          </w:p>
        </w:tc>
        <w:tc>
          <w:tcPr>
            <w:tcW w:w="1045" w:type="dxa"/>
            <w:shd w:val="clear" w:color="auto" w:fill="FFFFFF"/>
            <w:vAlign w:val="center"/>
          </w:tcPr>
          <w:p>
            <w:pPr>
              <w:jc w:val="center"/>
              <w:rPr>
                <w:rFonts w:hint="default"/>
                <w:color w:val="auto"/>
                <w:lang w:val="en-US" w:eastAsia="zh-CN"/>
              </w:rPr>
            </w:pPr>
            <w:r>
              <w:rPr>
                <w:rFonts w:hint="default"/>
                <w:color w:val="auto"/>
                <w:lang w:val="en-US" w:eastAsia="zh-CN"/>
              </w:rPr>
              <w:t>400</w:t>
            </w: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16000</w:t>
            </w:r>
          </w:p>
        </w:tc>
        <w:tc>
          <w:tcPr>
            <w:tcW w:w="2818" w:type="dxa"/>
            <w:vMerge w:val="restart"/>
            <w:shd w:val="clear" w:color="auto" w:fill="FFFFFF"/>
            <w:vAlign w:val="center"/>
          </w:tcPr>
          <w:p>
            <w:pPr>
              <w:jc w:val="center"/>
              <w:rPr>
                <w:rFonts w:hint="default"/>
                <w:color w:val="auto"/>
                <w:lang w:val="en-US" w:eastAsia="zh-CN"/>
              </w:rPr>
            </w:pPr>
            <w:r>
              <w:rPr>
                <w:rFonts w:hint="default"/>
                <w:color w:val="auto"/>
                <w:lang w:val="en-US" w:eastAsia="zh-CN"/>
              </w:rPr>
              <w:t>每亩最多40株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blCellSpacing w:w="15" w:type="dxa"/>
          <w:jc w:val="center"/>
        </w:trPr>
        <w:tc>
          <w:tcPr>
            <w:tcW w:w="2088" w:type="dxa"/>
            <w:vMerge w:val="continue"/>
            <w:shd w:val="clear" w:color="auto" w:fill="FFFFFF"/>
            <w:vAlign w:val="center"/>
          </w:tcPr>
          <w:p>
            <w:pPr>
              <w:jc w:val="center"/>
              <w:rPr>
                <w:rFonts w:hint="default"/>
                <w:color w:val="auto"/>
                <w:lang w:val="en-US" w:eastAsia="zh-CN"/>
              </w:rPr>
            </w:pP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大</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树冠直径4－5米以内</w:t>
            </w:r>
          </w:p>
        </w:tc>
        <w:tc>
          <w:tcPr>
            <w:tcW w:w="1045" w:type="dxa"/>
            <w:shd w:val="clear" w:color="auto" w:fill="FFFFFF"/>
            <w:vAlign w:val="center"/>
          </w:tcPr>
          <w:p>
            <w:pPr>
              <w:jc w:val="center"/>
              <w:rPr>
                <w:rFonts w:hint="default"/>
                <w:color w:val="auto"/>
                <w:lang w:val="en-US" w:eastAsia="zh-CN"/>
              </w:rPr>
            </w:pPr>
            <w:r>
              <w:rPr>
                <w:rFonts w:hint="default"/>
                <w:color w:val="auto"/>
                <w:lang w:val="en-US" w:eastAsia="zh-CN"/>
              </w:rPr>
              <w:t>300</w:t>
            </w: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12000</w:t>
            </w:r>
          </w:p>
        </w:tc>
        <w:tc>
          <w:tcPr>
            <w:tcW w:w="2818" w:type="dxa"/>
            <w:vMerge w:val="continue"/>
            <w:shd w:val="clear" w:color="auto" w:fill="FFFFFF"/>
            <w:vAlign w:val="center"/>
          </w:tcPr>
          <w:p>
            <w:pPr>
              <w:jc w:val="center"/>
              <w:rPr>
                <w:rFonts w:hint="default"/>
                <w:color w:val="auto"/>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5" w:hRule="atLeast"/>
          <w:tblCellSpacing w:w="15" w:type="dxa"/>
          <w:jc w:val="center"/>
        </w:trPr>
        <w:tc>
          <w:tcPr>
            <w:tcW w:w="2088" w:type="dxa"/>
            <w:vMerge w:val="continue"/>
            <w:shd w:val="clear" w:color="auto" w:fill="FFFFFF"/>
            <w:vAlign w:val="center"/>
          </w:tcPr>
          <w:p>
            <w:pPr>
              <w:jc w:val="center"/>
              <w:rPr>
                <w:rFonts w:hint="default"/>
                <w:color w:val="auto"/>
                <w:lang w:val="en-US" w:eastAsia="zh-CN"/>
              </w:rPr>
            </w:pP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中</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树冠直径3－4米以内</w:t>
            </w:r>
          </w:p>
        </w:tc>
        <w:tc>
          <w:tcPr>
            <w:tcW w:w="1045" w:type="dxa"/>
            <w:shd w:val="clear" w:color="auto" w:fill="FFFFFF"/>
            <w:vAlign w:val="center"/>
          </w:tcPr>
          <w:p>
            <w:pPr>
              <w:jc w:val="center"/>
              <w:rPr>
                <w:rFonts w:hint="default"/>
                <w:color w:val="auto"/>
                <w:lang w:val="en-US" w:eastAsia="zh-CN"/>
              </w:rPr>
            </w:pPr>
            <w:r>
              <w:rPr>
                <w:rFonts w:hint="default"/>
                <w:color w:val="auto"/>
                <w:lang w:val="en-US" w:eastAsia="zh-CN"/>
              </w:rPr>
              <w:t>200</w:t>
            </w: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8000</w:t>
            </w:r>
          </w:p>
        </w:tc>
        <w:tc>
          <w:tcPr>
            <w:tcW w:w="2818" w:type="dxa"/>
            <w:vMerge w:val="continue"/>
            <w:shd w:val="clear" w:color="auto" w:fill="FFFFFF"/>
            <w:vAlign w:val="center"/>
          </w:tcPr>
          <w:p>
            <w:pPr>
              <w:jc w:val="center"/>
              <w:rPr>
                <w:rFonts w:hint="default"/>
                <w:color w:val="auto"/>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5" w:hRule="atLeast"/>
          <w:tblCellSpacing w:w="15" w:type="dxa"/>
          <w:jc w:val="center"/>
        </w:trPr>
        <w:tc>
          <w:tcPr>
            <w:tcW w:w="2088" w:type="dxa"/>
            <w:vMerge w:val="continue"/>
            <w:shd w:val="clear" w:color="auto" w:fill="FFFFFF"/>
            <w:vAlign w:val="center"/>
          </w:tcPr>
          <w:p>
            <w:pPr>
              <w:jc w:val="center"/>
              <w:rPr>
                <w:rFonts w:hint="default"/>
                <w:color w:val="auto"/>
                <w:lang w:val="en-US" w:eastAsia="zh-CN"/>
              </w:rPr>
            </w:pP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小</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树冠直径2－3米以内</w:t>
            </w:r>
          </w:p>
        </w:tc>
        <w:tc>
          <w:tcPr>
            <w:tcW w:w="1045" w:type="dxa"/>
            <w:shd w:val="clear" w:color="auto" w:fill="FFFFFF"/>
            <w:vAlign w:val="center"/>
          </w:tcPr>
          <w:p>
            <w:pPr>
              <w:jc w:val="center"/>
              <w:rPr>
                <w:rFonts w:hint="default"/>
                <w:color w:val="auto"/>
                <w:lang w:val="en-US" w:eastAsia="zh-CN"/>
              </w:rPr>
            </w:pPr>
            <w:r>
              <w:rPr>
                <w:rFonts w:hint="default"/>
                <w:color w:val="auto"/>
                <w:lang w:val="en-US" w:eastAsia="zh-CN"/>
              </w:rPr>
              <w:t>150</w:t>
            </w: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6000</w:t>
            </w:r>
          </w:p>
        </w:tc>
        <w:tc>
          <w:tcPr>
            <w:tcW w:w="2818" w:type="dxa"/>
            <w:vMerge w:val="continue"/>
            <w:shd w:val="clear" w:color="auto" w:fill="FFFFFF"/>
            <w:vAlign w:val="center"/>
          </w:tcPr>
          <w:p>
            <w:pPr>
              <w:jc w:val="center"/>
              <w:rPr>
                <w:rFonts w:hint="default"/>
                <w:color w:val="auto"/>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blCellSpacing w:w="15" w:type="dxa"/>
          <w:jc w:val="center"/>
        </w:trPr>
        <w:tc>
          <w:tcPr>
            <w:tcW w:w="2088" w:type="dxa"/>
            <w:vMerge w:val="continue"/>
            <w:shd w:val="clear" w:color="auto" w:fill="FFFFFF"/>
            <w:vAlign w:val="center"/>
          </w:tcPr>
          <w:p>
            <w:pPr>
              <w:jc w:val="center"/>
              <w:rPr>
                <w:rFonts w:hint="default"/>
                <w:color w:val="auto"/>
                <w:lang w:val="en-US" w:eastAsia="zh-CN"/>
              </w:rPr>
            </w:pP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小</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树冠直径1－2米以内</w:t>
            </w:r>
          </w:p>
        </w:tc>
        <w:tc>
          <w:tcPr>
            <w:tcW w:w="1045" w:type="dxa"/>
            <w:shd w:val="clear" w:color="auto" w:fill="FFFFFF"/>
            <w:vAlign w:val="center"/>
          </w:tcPr>
          <w:p>
            <w:pPr>
              <w:jc w:val="center"/>
              <w:rPr>
                <w:rFonts w:hint="default"/>
                <w:color w:val="auto"/>
                <w:lang w:val="en-US" w:eastAsia="zh-CN"/>
              </w:rPr>
            </w:pPr>
            <w:r>
              <w:rPr>
                <w:rFonts w:hint="default"/>
                <w:color w:val="auto"/>
                <w:lang w:val="en-US" w:eastAsia="zh-CN"/>
              </w:rPr>
              <w:t>100</w:t>
            </w: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4000</w:t>
            </w:r>
          </w:p>
        </w:tc>
        <w:tc>
          <w:tcPr>
            <w:tcW w:w="2818" w:type="dxa"/>
            <w:vMerge w:val="continue"/>
            <w:shd w:val="clear" w:color="auto" w:fill="FFFFFF"/>
            <w:vAlign w:val="center"/>
          </w:tcPr>
          <w:p>
            <w:pPr>
              <w:jc w:val="center"/>
              <w:rPr>
                <w:rFonts w:hint="default"/>
                <w:color w:val="auto"/>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5" w:hRule="atLeast"/>
          <w:tblCellSpacing w:w="15" w:type="dxa"/>
          <w:jc w:val="center"/>
        </w:trPr>
        <w:tc>
          <w:tcPr>
            <w:tcW w:w="2088" w:type="dxa"/>
            <w:vMerge w:val="continue"/>
            <w:shd w:val="clear" w:color="auto" w:fill="FFFFFF"/>
            <w:vAlign w:val="center"/>
          </w:tcPr>
          <w:p>
            <w:pPr>
              <w:jc w:val="center"/>
              <w:rPr>
                <w:rFonts w:hint="default"/>
                <w:color w:val="auto"/>
                <w:lang w:val="en-US" w:eastAsia="zh-CN"/>
              </w:rPr>
            </w:pP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幼苗</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树冠直径0.6－1米以内，已挂果</w:t>
            </w:r>
          </w:p>
        </w:tc>
        <w:tc>
          <w:tcPr>
            <w:tcW w:w="1045" w:type="dxa"/>
            <w:shd w:val="clear" w:color="auto" w:fill="FFFFFF"/>
            <w:vAlign w:val="center"/>
          </w:tcPr>
          <w:p>
            <w:pPr>
              <w:jc w:val="center"/>
              <w:rPr>
                <w:rFonts w:hint="default"/>
                <w:color w:val="auto"/>
                <w:lang w:val="en-US" w:eastAsia="zh-CN"/>
              </w:rPr>
            </w:pPr>
            <w:r>
              <w:rPr>
                <w:rFonts w:hint="default"/>
                <w:color w:val="auto"/>
                <w:lang w:val="en-US" w:eastAsia="zh-CN"/>
              </w:rPr>
              <w:t>50</w:t>
            </w: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2000</w:t>
            </w:r>
          </w:p>
        </w:tc>
        <w:tc>
          <w:tcPr>
            <w:tcW w:w="2818" w:type="dxa"/>
            <w:vMerge w:val="continue"/>
            <w:shd w:val="clear" w:color="auto" w:fill="FFFFFF"/>
            <w:vAlign w:val="center"/>
          </w:tcPr>
          <w:p>
            <w:pPr>
              <w:jc w:val="center"/>
              <w:rPr>
                <w:rFonts w:hint="default"/>
                <w:color w:val="auto"/>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blCellSpacing w:w="15" w:type="dxa"/>
          <w:jc w:val="center"/>
        </w:trPr>
        <w:tc>
          <w:tcPr>
            <w:tcW w:w="2088" w:type="dxa"/>
            <w:vMerge w:val="continue"/>
            <w:shd w:val="clear" w:color="auto" w:fill="FFFFFF"/>
            <w:vAlign w:val="center"/>
          </w:tcPr>
          <w:p>
            <w:pPr>
              <w:jc w:val="center"/>
              <w:rPr>
                <w:rFonts w:hint="default"/>
                <w:color w:val="auto"/>
                <w:lang w:val="en-US" w:eastAsia="zh-CN"/>
              </w:rPr>
            </w:pPr>
          </w:p>
        </w:tc>
        <w:tc>
          <w:tcPr>
            <w:tcW w:w="732" w:type="dxa"/>
            <w:shd w:val="clear" w:color="auto" w:fill="FFFFFF"/>
            <w:vAlign w:val="center"/>
          </w:tcPr>
          <w:p>
            <w:pPr>
              <w:jc w:val="center"/>
              <w:rPr>
                <w:rFonts w:hint="default"/>
                <w:color w:val="auto"/>
                <w:lang w:val="en-US" w:eastAsia="zh-CN"/>
              </w:rPr>
            </w:pPr>
            <w:r>
              <w:rPr>
                <w:rFonts w:hint="default"/>
                <w:color w:val="auto"/>
                <w:lang w:val="en-US" w:eastAsia="zh-CN"/>
              </w:rPr>
              <w:t>幼苗</w:t>
            </w:r>
          </w:p>
        </w:tc>
        <w:tc>
          <w:tcPr>
            <w:tcW w:w="3027" w:type="dxa"/>
            <w:shd w:val="clear" w:color="auto" w:fill="FFFFFF"/>
            <w:vAlign w:val="center"/>
          </w:tcPr>
          <w:p>
            <w:pPr>
              <w:jc w:val="center"/>
              <w:rPr>
                <w:rFonts w:hint="default"/>
                <w:color w:val="auto"/>
                <w:lang w:val="en-US" w:eastAsia="zh-CN"/>
              </w:rPr>
            </w:pPr>
            <w:r>
              <w:rPr>
                <w:rFonts w:hint="default"/>
                <w:color w:val="auto"/>
                <w:lang w:val="en-US" w:eastAsia="zh-CN"/>
              </w:rPr>
              <w:t>树冠直径0.6米以下，未挂果</w:t>
            </w:r>
          </w:p>
        </w:tc>
        <w:tc>
          <w:tcPr>
            <w:tcW w:w="1045" w:type="dxa"/>
            <w:shd w:val="clear" w:color="auto" w:fill="FFFFFF"/>
            <w:vAlign w:val="center"/>
          </w:tcPr>
          <w:p>
            <w:pPr>
              <w:jc w:val="center"/>
              <w:rPr>
                <w:rFonts w:hint="default"/>
                <w:color w:val="auto"/>
                <w:lang w:val="en-US" w:eastAsia="zh-CN"/>
              </w:rPr>
            </w:pPr>
            <w:r>
              <w:rPr>
                <w:rFonts w:hint="default"/>
                <w:color w:val="auto"/>
                <w:lang w:val="en-US" w:eastAsia="zh-CN"/>
              </w:rPr>
              <w:t>20</w:t>
            </w:r>
          </w:p>
        </w:tc>
        <w:tc>
          <w:tcPr>
            <w:tcW w:w="1330" w:type="dxa"/>
            <w:shd w:val="clear" w:color="auto" w:fill="FFFFFF"/>
            <w:vAlign w:val="center"/>
          </w:tcPr>
          <w:p>
            <w:pPr>
              <w:jc w:val="center"/>
              <w:rPr>
                <w:rFonts w:hint="default"/>
                <w:color w:val="auto"/>
                <w:lang w:val="en-US" w:eastAsia="zh-CN"/>
              </w:rPr>
            </w:pPr>
            <w:r>
              <w:rPr>
                <w:rFonts w:hint="default"/>
                <w:color w:val="auto"/>
                <w:lang w:val="en-US" w:eastAsia="zh-CN"/>
              </w:rPr>
              <w:t>800</w:t>
            </w:r>
          </w:p>
        </w:tc>
        <w:tc>
          <w:tcPr>
            <w:tcW w:w="2818" w:type="dxa"/>
            <w:vMerge w:val="continue"/>
            <w:shd w:val="clear" w:color="auto" w:fill="FFFFFF"/>
            <w:vAlign w:val="center"/>
          </w:tcPr>
          <w:p>
            <w:pPr>
              <w:jc w:val="center"/>
              <w:rPr>
                <w:rFonts w:hint="default"/>
                <w:color w:val="auto"/>
                <w:lang w:val="en-US" w:eastAsia="zh-CN"/>
              </w:rPr>
            </w:pPr>
          </w:p>
        </w:tc>
      </w:tr>
    </w:tbl>
    <w:p>
      <w:pPr>
        <w:rPr>
          <w:rFonts w:hint="default"/>
          <w:color w:val="auto"/>
          <w:lang w:val="en-US" w:eastAsia="zh-CN"/>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NmI1MDgwZjgzYmY4YzlmZWNkYTg4MzlkYzBlMGEifQ=="/>
  </w:docVars>
  <w:rsids>
    <w:rsidRoot w:val="47033782"/>
    <w:rsid w:val="00F80769"/>
    <w:rsid w:val="018F6AEE"/>
    <w:rsid w:val="052D2ECD"/>
    <w:rsid w:val="05581CFE"/>
    <w:rsid w:val="06434DE0"/>
    <w:rsid w:val="0B1C6B8D"/>
    <w:rsid w:val="0CE73054"/>
    <w:rsid w:val="0D70470D"/>
    <w:rsid w:val="12064C4D"/>
    <w:rsid w:val="12592940"/>
    <w:rsid w:val="13D708CA"/>
    <w:rsid w:val="166D5BA5"/>
    <w:rsid w:val="192C28D1"/>
    <w:rsid w:val="19D07039"/>
    <w:rsid w:val="1DC017DB"/>
    <w:rsid w:val="1FE01D86"/>
    <w:rsid w:val="212830CE"/>
    <w:rsid w:val="221816DB"/>
    <w:rsid w:val="226D64B1"/>
    <w:rsid w:val="265D3C6D"/>
    <w:rsid w:val="268F09BE"/>
    <w:rsid w:val="2887550D"/>
    <w:rsid w:val="293B1F70"/>
    <w:rsid w:val="31E5222F"/>
    <w:rsid w:val="35B302F8"/>
    <w:rsid w:val="3A681C8A"/>
    <w:rsid w:val="47033782"/>
    <w:rsid w:val="520B7CE1"/>
    <w:rsid w:val="59732133"/>
    <w:rsid w:val="597563E6"/>
    <w:rsid w:val="5D4B3FE9"/>
    <w:rsid w:val="5EBD50CD"/>
    <w:rsid w:val="64B76B18"/>
    <w:rsid w:val="65A03FAA"/>
    <w:rsid w:val="65F40760"/>
    <w:rsid w:val="6D843514"/>
    <w:rsid w:val="73D8022B"/>
    <w:rsid w:val="73EF098E"/>
    <w:rsid w:val="783D52C4"/>
    <w:rsid w:val="7A9B2CEC"/>
    <w:rsid w:val="7BAA2DBC"/>
    <w:rsid w:val="7F222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Lines="100" w:afterLines="100"/>
      <w:outlineLvl w:val="0"/>
    </w:pPr>
    <w:rPr>
      <w:rFonts w:eastAsia="黑体"/>
      <w:kern w:val="44"/>
      <w:sz w:val="36"/>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paragraph" w:customStyle="1" w:styleId="6">
    <w:name w:val="正式格式"/>
    <w:basedOn w:val="1"/>
    <w:qFormat/>
    <w:uiPriority w:val="0"/>
    <w:pPr>
      <w:spacing w:line="560" w:lineRule="exact"/>
    </w:pPr>
    <w:rPr>
      <w:rFonts w:ascii="Calibri" w:hAnsi="Calibri"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6697</Words>
  <Characters>7390</Characters>
  <Lines>0</Lines>
  <Paragraphs>0</Paragraphs>
  <TotalTime>40</TotalTime>
  <ScaleCrop>false</ScaleCrop>
  <LinksUpToDate>false</LinksUpToDate>
  <CharactersWithSpaces>7399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2022-02-24T11:50:00Z</dcterms:created>
  <dc:creator>Administrator</dc:creator>
  <cp:lastModifiedBy></cp:lastModifiedBy>
  <cp:lastPrinted>2022-03-07T02:27:00Z</cp:lastPrinted>
  <dcterms:modified xsi:type="dcterms:W3CDTF">2023-08-23T03:23:33Z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9DA588AAE7694B699062323533999332</vt:lpwstr>
  </property>
</Properties>
</file>