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snapToGrid w:val="0"/>
        <w:rPr>
          <w:sz w:val="24"/>
          <w:szCs w:val="20"/>
        </w:rPr>
      </w:pPr>
      <w:r>
        <w:rPr>
          <w:rFonts w:hint="eastAsia"/>
        </w:rPr>
        <w:drawing>
          <wp:inline distT="0" distB="0" distL="0" distR="0">
            <wp:extent cx="1981200" cy="723900"/>
            <wp:effectExtent l="0" t="0" r="0" b="0"/>
            <wp:docPr id="1" name="图片 10" descr="1.横式首选组合-墨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1.横式首选组合-墨稿"/>
                    <pic:cNvPicPr>
                      <a:picLocks noChangeAspect="1" noChangeArrowheads="1"/>
                    </pic:cNvPicPr>
                  </pic:nvPicPr>
                  <pic:blipFill>
                    <a:blip r:embed="rId46" cstate="print">
                      <a:extLst>
                        <a:ext uri="{28A0092B-C50C-407E-A947-70E740481C1C}">
                          <a14:useLocalDpi xmlns:a14="http://schemas.microsoft.com/office/drawing/2010/main" val="0"/>
                        </a:ext>
                      </a:extLst>
                    </a:blip>
                    <a:srcRect l="5354" t="7933" r="5930" b="6158"/>
                    <a:stretch>
                      <a:fillRect/>
                    </a:stretch>
                  </pic:blipFill>
                  <pic:spPr>
                    <a:xfrm>
                      <a:off x="0" y="0"/>
                      <a:ext cx="1981200" cy="723900"/>
                    </a:xfrm>
                    <a:prstGeom prst="rect">
                      <a:avLst/>
                    </a:prstGeom>
                    <a:noFill/>
                    <a:ln>
                      <a:noFill/>
                    </a:ln>
                  </pic:spPr>
                </pic:pic>
              </a:graphicData>
            </a:graphic>
          </wp:inline>
        </w:drawing>
      </w:r>
    </w:p>
    <w:p>
      <w:pPr>
        <w:rPr>
          <w:rFonts w:ascii="Tahoma" w:hAnsi="Tahoma" w:cs="Tahoma"/>
          <w:sz w:val="24"/>
        </w:rPr>
      </w:pPr>
    </w:p>
    <w:p>
      <w:pPr>
        <w:rPr>
          <w:rFonts w:ascii="Tahoma" w:hAnsi="Tahoma" w:cs="Tahoma"/>
          <w:sz w:val="24"/>
        </w:rPr>
      </w:pPr>
    </w:p>
    <w:p>
      <w:pPr>
        <w:rPr>
          <w:rFonts w:ascii="Tahoma" w:hAnsi="Tahoma" w:cs="Tahoma"/>
          <w:sz w:val="24"/>
        </w:rPr>
      </w:pPr>
    </w:p>
    <w:p>
      <w:pPr>
        <w:jc w:val="center"/>
        <w:rPr>
          <w:rFonts w:ascii="隶书" w:hAnsi="Tahoma" w:eastAsia="隶书" w:cs="Tahoma"/>
          <w:sz w:val="48"/>
          <w:szCs w:val="48"/>
        </w:rPr>
      </w:pPr>
      <w:r>
        <w:rPr>
          <w:rFonts w:hint="eastAsia" w:ascii="隶书" w:hAnsi="Tahoma" w:eastAsia="隶书" w:cs="Tahoma"/>
          <w:sz w:val="48"/>
          <w:szCs w:val="48"/>
        </w:rPr>
        <w:t>广东陆河</w:t>
      </w:r>
      <w:r>
        <w:rPr>
          <w:rFonts w:ascii="隶书" w:hAnsi="Tahoma" w:eastAsia="隶书" w:cs="Tahoma"/>
          <w:sz w:val="48"/>
          <w:szCs w:val="48"/>
        </w:rPr>
        <w:t>抽水蓄能电站</w:t>
      </w:r>
    </w:p>
    <w:p>
      <w:pPr>
        <w:snapToGrid w:val="0"/>
        <w:spacing w:before="240" w:beforeLines="100"/>
        <w:jc w:val="center"/>
        <w:rPr>
          <w:rFonts w:eastAsia="微软雅黑"/>
          <w:b/>
          <w:sz w:val="52"/>
          <w:szCs w:val="52"/>
        </w:rPr>
      </w:pPr>
      <w:r>
        <w:rPr>
          <w:rFonts w:eastAsia="微软雅黑"/>
          <w:b/>
          <w:sz w:val="52"/>
          <w:szCs w:val="52"/>
        </w:rPr>
        <w:t>建设征地移民安置规划大纲</w:t>
      </w:r>
    </w:p>
    <w:p>
      <w:pPr>
        <w:snapToGrid w:val="0"/>
        <w:rPr>
          <w:sz w:val="20"/>
          <w:szCs w:val="20"/>
        </w:rPr>
      </w:pPr>
    </w:p>
    <w:p>
      <w:pPr>
        <w:snapToGrid w:val="0"/>
        <w:rPr>
          <w:sz w:val="20"/>
          <w:szCs w:val="20"/>
        </w:rPr>
      </w:pPr>
    </w:p>
    <w:p>
      <w:pPr>
        <w:snapToGrid w:val="0"/>
        <w:rPr>
          <w:sz w:val="20"/>
          <w:szCs w:val="20"/>
        </w:rPr>
      </w:pPr>
    </w:p>
    <w:p>
      <w:pPr>
        <w:snapToGrid w:val="0"/>
        <w:jc w:val="center"/>
        <w:rPr>
          <w:rFonts w:eastAsia="Times New Roman"/>
          <w:b/>
          <w:bCs/>
          <w:sz w:val="44"/>
          <w:szCs w:val="44"/>
        </w:rPr>
      </w:pPr>
      <w:r>
        <w:rPr>
          <w:rFonts w:eastAsia="Times New Roman"/>
          <w:b/>
          <w:bCs/>
          <w:position w:val="4"/>
          <w:sz w:val="44"/>
          <w:szCs w:val="44"/>
        </w:rPr>
        <w:t>(</w:t>
      </w:r>
      <w:r>
        <w:rPr>
          <w:rFonts w:hint="eastAsia" w:eastAsia="楷体_GB2312"/>
          <w:b/>
          <w:bCs/>
          <w:sz w:val="44"/>
          <w:szCs w:val="44"/>
          <w:lang w:val="en-US" w:eastAsia="zh-CN"/>
        </w:rPr>
        <w:t>征求意见稿</w:t>
      </w:r>
      <w:r>
        <w:rPr>
          <w:rFonts w:eastAsia="Times New Roman"/>
          <w:b/>
          <w:bCs/>
          <w:position w:val="4"/>
          <w:sz w:val="44"/>
          <w:szCs w:val="44"/>
        </w:rPr>
        <w:t>)</w:t>
      </w: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snapToGrid w:val="0"/>
        <w:jc w:val="center"/>
        <w:rPr>
          <w:rFonts w:eastAsia="微软雅黑"/>
          <w:sz w:val="14"/>
          <w:szCs w:val="14"/>
        </w:rPr>
      </w:pPr>
      <w:r>
        <w:rPr>
          <w:rFonts w:hint="eastAsia" w:ascii="微软雅黑" w:hAnsi="微软雅黑" w:eastAsia="微软雅黑" w:cs="微软雅黑"/>
          <w:sz w:val="32"/>
          <w:szCs w:val="32"/>
        </w:rPr>
        <w:drawing>
          <wp:inline distT="0" distB="0" distL="0" distR="0">
            <wp:extent cx="4029075" cy="342900"/>
            <wp:effectExtent l="0" t="0" r="0" b="0"/>
            <wp:docPr id="2" name="图片 25" descr="中南院商号-横版（标准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中南院商号-横版（标准色）"/>
                    <pic:cNvPicPr>
                      <a:picLocks noChangeAspect="1" noChangeArrowheads="1"/>
                    </pic:cNvPicPr>
                  </pic:nvPicPr>
                  <pic:blipFill>
                    <a:blip r:embed="rId47" cstate="print">
                      <a:biLevel thresh="50000"/>
                      <a:grayscl/>
                      <a:extLst>
                        <a:ext uri="{28A0092B-C50C-407E-A947-70E740481C1C}">
                          <a14:useLocalDpi xmlns:a14="http://schemas.microsoft.com/office/drawing/2010/main" val="0"/>
                        </a:ext>
                      </a:extLst>
                    </a:blip>
                    <a:srcRect/>
                    <a:stretch>
                      <a:fillRect/>
                    </a:stretch>
                  </pic:blipFill>
                  <pic:spPr>
                    <a:xfrm>
                      <a:off x="0" y="0"/>
                      <a:ext cx="4029075" cy="342900"/>
                    </a:xfrm>
                    <a:prstGeom prst="rect">
                      <a:avLst/>
                    </a:prstGeom>
                    <a:noFill/>
                    <a:ln>
                      <a:noFill/>
                    </a:ln>
                    <a:effectLst/>
                  </pic:spPr>
                </pic:pic>
              </a:graphicData>
            </a:graphic>
          </wp:inline>
        </w:drawing>
      </w:r>
    </w:p>
    <w:p>
      <w:pPr>
        <w:snapToGrid w:val="0"/>
        <w:spacing w:before="187" w:line="520" w:lineRule="exact"/>
        <w:jc w:val="center"/>
        <w:rPr>
          <w:rFonts w:eastAsia="微软雅黑"/>
          <w:sz w:val="32"/>
          <w:szCs w:val="32"/>
        </w:rPr>
      </w:pPr>
      <w:r>
        <w:rPr>
          <w:rFonts w:eastAsia="微软雅黑"/>
          <w:sz w:val="32"/>
          <w:szCs w:val="32"/>
        </w:rPr>
        <w:t xml:space="preserve">2 0 2 2 </w:t>
      </w:r>
      <w:r>
        <w:rPr>
          <w:rFonts w:hAnsi="微软雅黑" w:eastAsia="微软雅黑"/>
          <w:sz w:val="32"/>
          <w:szCs w:val="32"/>
        </w:rPr>
        <w:t>年</w:t>
      </w:r>
      <w:r>
        <w:rPr>
          <w:rFonts w:eastAsia="微软雅黑"/>
          <w:sz w:val="32"/>
          <w:szCs w:val="32"/>
        </w:rPr>
        <w:t xml:space="preserve"> </w:t>
      </w:r>
      <w:r>
        <w:rPr>
          <w:rFonts w:hint="eastAsia" w:eastAsia="微软雅黑"/>
          <w:sz w:val="32"/>
          <w:szCs w:val="32"/>
        </w:rPr>
        <w:t>2</w:t>
      </w:r>
      <w:r>
        <w:rPr>
          <w:rFonts w:eastAsia="微软雅黑"/>
          <w:sz w:val="32"/>
          <w:szCs w:val="32"/>
        </w:rPr>
        <w:t xml:space="preserve"> </w:t>
      </w:r>
      <w:r>
        <w:rPr>
          <w:rFonts w:hAnsi="微软雅黑" w:eastAsia="微软雅黑"/>
          <w:sz w:val="32"/>
          <w:szCs w:val="32"/>
        </w:rPr>
        <w:t>月</w:t>
      </w:r>
    </w:p>
    <w:p>
      <w:r>
        <w:rPr>
          <w:sz w:val="24"/>
        </w:rPr>
        <w:br w:type="page"/>
      </w:r>
    </w:p>
    <w:p/>
    <w:p/>
    <w:p/>
    <w:p/>
    <w:p/>
    <w:p/>
    <w:p/>
    <w:p/>
    <w:p>
      <w:pPr>
        <w:snapToGrid w:val="0"/>
        <w:rPr>
          <w:sz w:val="20"/>
          <w:szCs w:val="20"/>
        </w:rPr>
      </w:pPr>
    </w:p>
    <w:p>
      <w:pPr>
        <w:snapToGrid w:val="0"/>
        <w:spacing w:line="432" w:lineRule="auto"/>
        <w:ind w:left="2520" w:leftChars="1200"/>
        <w:rPr>
          <w:rFonts w:hAnsi="黑体" w:eastAsia="黑体"/>
          <w:sz w:val="32"/>
          <w:szCs w:val="32"/>
        </w:rPr>
      </w:pPr>
      <w:r>
        <w:rPr>
          <w:rFonts w:hAnsi="黑体" w:eastAsia="黑体"/>
          <w:spacing w:val="140"/>
          <w:kern w:val="0"/>
          <w:sz w:val="32"/>
          <w:szCs w:val="32"/>
        </w:rPr>
        <w:t>总经</w:t>
      </w:r>
      <w:r>
        <w:rPr>
          <w:rFonts w:hAnsi="黑体" w:eastAsia="黑体"/>
          <w:kern w:val="0"/>
          <w:sz w:val="32"/>
          <w:szCs w:val="32"/>
        </w:rPr>
        <w:t>理</w:t>
      </w:r>
      <w:r>
        <w:rPr>
          <w:rFonts w:hAnsi="黑体" w:eastAsia="黑体"/>
          <w:sz w:val="32"/>
          <w:szCs w:val="32"/>
        </w:rPr>
        <w:t>：周</w:t>
      </w:r>
      <w:r>
        <w:rPr>
          <w:rFonts w:eastAsia="黑体"/>
          <w:sz w:val="32"/>
          <w:szCs w:val="32"/>
        </w:rPr>
        <w:t xml:space="preserve">  </w:t>
      </w:r>
      <w:r>
        <w:rPr>
          <w:rFonts w:hAnsi="黑体" w:eastAsia="黑体"/>
          <w:sz w:val="32"/>
          <w:szCs w:val="32"/>
        </w:rPr>
        <w:t>峰</w:t>
      </w:r>
    </w:p>
    <w:p>
      <w:pPr>
        <w:rPr>
          <w:rFonts w:ascii="Tahoma" w:hAnsi="Tahoma" w:cs="Tahoma"/>
          <w:sz w:val="24"/>
        </w:rPr>
      </w:pPr>
    </w:p>
    <w:p>
      <w:pPr>
        <w:snapToGrid w:val="0"/>
        <w:spacing w:line="432" w:lineRule="auto"/>
        <w:ind w:left="2520" w:leftChars="1200"/>
        <w:rPr>
          <w:rFonts w:hAnsi="黑体" w:eastAsia="黑体"/>
          <w:sz w:val="32"/>
          <w:szCs w:val="32"/>
        </w:rPr>
      </w:pPr>
      <w:r>
        <w:rPr>
          <w:rFonts w:hAnsi="黑体" w:eastAsia="黑体"/>
          <w:spacing w:val="46"/>
          <w:kern w:val="0"/>
          <w:sz w:val="32"/>
          <w:szCs w:val="32"/>
        </w:rPr>
        <w:t>副总经</w:t>
      </w:r>
      <w:r>
        <w:rPr>
          <w:rFonts w:hAnsi="黑体" w:eastAsia="黑体"/>
          <w:spacing w:val="2"/>
          <w:kern w:val="0"/>
          <w:sz w:val="32"/>
          <w:szCs w:val="32"/>
        </w:rPr>
        <w:t>理</w:t>
      </w:r>
      <w:r>
        <w:rPr>
          <w:rFonts w:hAnsi="黑体" w:eastAsia="黑体"/>
          <w:sz w:val="32"/>
          <w:szCs w:val="32"/>
        </w:rPr>
        <w:t>：罗俊军</w:t>
      </w:r>
    </w:p>
    <w:p>
      <w:pPr>
        <w:rPr>
          <w:rFonts w:ascii="Tahoma" w:hAnsi="Tahoma" w:cs="Tahoma"/>
          <w:sz w:val="24"/>
        </w:rPr>
      </w:pPr>
    </w:p>
    <w:p>
      <w:pPr>
        <w:snapToGrid w:val="0"/>
        <w:spacing w:line="432" w:lineRule="auto"/>
        <w:ind w:left="2520" w:leftChars="1200"/>
        <w:rPr>
          <w:rFonts w:hAnsi="黑体" w:eastAsia="黑体"/>
          <w:sz w:val="32"/>
          <w:szCs w:val="32"/>
        </w:rPr>
      </w:pPr>
      <w:r>
        <w:rPr>
          <w:rFonts w:hAnsi="黑体" w:eastAsia="黑体"/>
          <w:spacing w:val="46"/>
          <w:kern w:val="0"/>
          <w:sz w:val="32"/>
          <w:szCs w:val="32"/>
        </w:rPr>
        <w:t>总工程</w:t>
      </w:r>
      <w:r>
        <w:rPr>
          <w:rFonts w:hAnsi="黑体" w:eastAsia="黑体"/>
          <w:spacing w:val="2"/>
          <w:kern w:val="0"/>
          <w:sz w:val="32"/>
          <w:szCs w:val="32"/>
        </w:rPr>
        <w:t>师</w:t>
      </w:r>
      <w:r>
        <w:rPr>
          <w:rFonts w:hAnsi="黑体" w:eastAsia="黑体"/>
          <w:sz w:val="32"/>
          <w:szCs w:val="32"/>
        </w:rPr>
        <w:t>：潘江洋</w:t>
      </w:r>
    </w:p>
    <w:p>
      <w:pPr>
        <w:rPr>
          <w:rFonts w:ascii="Tahoma" w:hAnsi="Tahoma" w:cs="Tahoma"/>
          <w:sz w:val="24"/>
        </w:rPr>
      </w:pPr>
    </w:p>
    <w:p>
      <w:pPr>
        <w:snapToGrid w:val="0"/>
        <w:spacing w:line="432" w:lineRule="auto"/>
        <w:ind w:left="2520" w:leftChars="1200"/>
        <w:rPr>
          <w:rFonts w:hAnsi="黑体" w:eastAsia="黑体"/>
          <w:sz w:val="32"/>
          <w:szCs w:val="32"/>
        </w:rPr>
      </w:pPr>
      <w:r>
        <w:rPr>
          <w:rFonts w:hAnsi="黑体" w:eastAsia="黑体"/>
          <w:spacing w:val="46"/>
          <w:kern w:val="0"/>
          <w:sz w:val="32"/>
          <w:szCs w:val="32"/>
        </w:rPr>
        <w:t>项目经</w:t>
      </w:r>
      <w:r>
        <w:rPr>
          <w:rFonts w:hAnsi="黑体" w:eastAsia="黑体"/>
          <w:spacing w:val="2"/>
          <w:kern w:val="0"/>
          <w:sz w:val="32"/>
          <w:szCs w:val="32"/>
        </w:rPr>
        <w:t>理</w:t>
      </w:r>
      <w:r>
        <w:rPr>
          <w:rFonts w:hAnsi="黑体" w:eastAsia="黑体"/>
          <w:sz w:val="32"/>
          <w:szCs w:val="32"/>
        </w:rPr>
        <w:t>：</w:t>
      </w:r>
      <w:r>
        <w:rPr>
          <w:rFonts w:hint="eastAsia" w:hAnsi="黑体" w:eastAsia="黑体"/>
          <w:sz w:val="32"/>
          <w:szCs w:val="32"/>
        </w:rPr>
        <w:t>赵  路</w:t>
      </w:r>
    </w:p>
    <w:p>
      <w:pPr>
        <w:rPr>
          <w:rFonts w:ascii="Tahoma" w:hAnsi="Tahoma" w:cs="Tahoma"/>
          <w:sz w:val="24"/>
        </w:rPr>
      </w:pPr>
    </w:p>
    <w:p>
      <w:pPr>
        <w:snapToGrid w:val="0"/>
        <w:spacing w:line="432" w:lineRule="auto"/>
        <w:ind w:left="2520" w:leftChars="1200"/>
        <w:rPr>
          <w:rFonts w:hAnsi="黑体" w:eastAsia="黑体"/>
          <w:sz w:val="32"/>
          <w:szCs w:val="32"/>
        </w:rPr>
      </w:pPr>
      <w:r>
        <w:rPr>
          <w:rFonts w:hAnsi="黑体" w:eastAsia="黑体"/>
          <w:kern w:val="0"/>
          <w:sz w:val="32"/>
          <w:szCs w:val="32"/>
        </w:rPr>
        <w:t>副总工程师</w:t>
      </w:r>
      <w:r>
        <w:rPr>
          <w:rFonts w:hAnsi="黑体" w:eastAsia="黑体"/>
          <w:sz w:val="32"/>
          <w:szCs w:val="32"/>
        </w:rPr>
        <w:t>：刘</w:t>
      </w:r>
      <w:r>
        <w:rPr>
          <w:rFonts w:eastAsia="黑体"/>
          <w:sz w:val="32"/>
          <w:szCs w:val="32"/>
        </w:rPr>
        <w:t xml:space="preserve">  </w:t>
      </w:r>
      <w:r>
        <w:rPr>
          <w:rFonts w:hAnsi="黑体" w:eastAsia="黑体"/>
          <w:sz w:val="32"/>
          <w:szCs w:val="32"/>
        </w:rPr>
        <w:t>昊</w:t>
      </w:r>
    </w:p>
    <w:p>
      <w:pPr>
        <w:rPr>
          <w:rFonts w:ascii="Tahoma" w:hAnsi="Tahoma" w:cs="Tahoma"/>
          <w:sz w:val="24"/>
        </w:rPr>
      </w:pPr>
    </w:p>
    <w:p>
      <w:pPr>
        <w:snapToGrid w:val="0"/>
        <w:spacing w:line="432" w:lineRule="auto"/>
        <w:ind w:left="2520" w:leftChars="1200"/>
        <w:rPr>
          <w:rFonts w:eastAsia="黑体"/>
          <w:sz w:val="32"/>
          <w:szCs w:val="32"/>
        </w:rPr>
      </w:pPr>
      <w:r>
        <w:rPr>
          <w:rFonts w:hAnsi="黑体" w:eastAsia="黑体"/>
          <w:spacing w:val="46"/>
          <w:kern w:val="0"/>
          <w:sz w:val="32"/>
          <w:szCs w:val="32"/>
        </w:rPr>
        <w:t>项目设</w:t>
      </w:r>
      <w:r>
        <w:rPr>
          <w:rFonts w:hAnsi="黑体" w:eastAsia="黑体"/>
          <w:spacing w:val="2"/>
          <w:kern w:val="0"/>
          <w:sz w:val="32"/>
          <w:szCs w:val="32"/>
        </w:rPr>
        <w:t>总</w:t>
      </w:r>
      <w:r>
        <w:rPr>
          <w:rFonts w:hAnsi="黑体" w:eastAsia="黑体"/>
          <w:sz w:val="32"/>
          <w:szCs w:val="32"/>
        </w:rPr>
        <w:t>：</w:t>
      </w:r>
      <w:r>
        <w:rPr>
          <w:rFonts w:hint="eastAsia" w:hAnsi="黑体" w:eastAsia="黑体"/>
          <w:sz w:val="32"/>
          <w:szCs w:val="32"/>
        </w:rPr>
        <w:t>李勇刚</w:t>
      </w:r>
    </w:p>
    <w:p>
      <w:pPr>
        <w:snapToGrid w:val="0"/>
        <w:spacing w:line="360" w:lineRule="auto"/>
        <w:ind w:left="482"/>
        <w:rPr>
          <w:sz w:val="20"/>
          <w:szCs w:val="20"/>
        </w:rPr>
      </w:pPr>
    </w:p>
    <w:p>
      <w:pPr>
        <w:snapToGrid w:val="0"/>
        <w:spacing w:line="360" w:lineRule="auto"/>
        <w:ind w:left="482"/>
        <w:rPr>
          <w:sz w:val="20"/>
          <w:szCs w:val="20"/>
        </w:rPr>
      </w:pPr>
    </w:p>
    <w:p>
      <w:pPr>
        <w:rPr>
          <w:rFonts w:ascii="Tahoma" w:hAnsi="Tahoma" w:cs="Tahoma"/>
          <w:sz w:val="24"/>
        </w:rPr>
      </w:pPr>
      <w:r>
        <w:br w:type="page"/>
      </w: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p>
      <w:pPr>
        <w:rPr>
          <w:rFonts w:ascii="Tahoma" w:hAnsi="Tahoma" w:cs="Tahoma"/>
          <w:sz w:val="24"/>
        </w:rPr>
      </w:pPr>
    </w:p>
    <w:tbl>
      <w:tblPr>
        <w:tblStyle w:val="79"/>
        <w:tblW w:w="6354" w:type="dxa"/>
        <w:jc w:val="center"/>
        <w:tblLayout w:type="fixed"/>
        <w:tblCellMar>
          <w:top w:w="0" w:type="dxa"/>
          <w:left w:w="108" w:type="dxa"/>
          <w:bottom w:w="0" w:type="dxa"/>
          <w:right w:w="108" w:type="dxa"/>
        </w:tblCellMar>
      </w:tblPr>
      <w:tblGrid>
        <w:gridCol w:w="1984"/>
        <w:gridCol w:w="1456"/>
        <w:gridCol w:w="1457"/>
        <w:gridCol w:w="1457"/>
      </w:tblGrid>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r>
              <w:rPr>
                <w:rFonts w:hAnsi="黑体" w:eastAsia="黑体"/>
                <w:sz w:val="28"/>
                <w:szCs w:val="28"/>
              </w:rPr>
              <w:t>批</w:t>
            </w:r>
            <w:r>
              <w:rPr>
                <w:rFonts w:eastAsia="黑体"/>
                <w:sz w:val="28"/>
                <w:szCs w:val="28"/>
              </w:rPr>
              <w:t xml:space="preserve">        </w:t>
            </w:r>
            <w:r>
              <w:rPr>
                <w:rFonts w:hAnsi="黑体" w:eastAsia="黑体"/>
                <w:sz w:val="28"/>
                <w:szCs w:val="28"/>
              </w:rPr>
              <w:t>准：</w:t>
            </w:r>
          </w:p>
        </w:tc>
        <w:tc>
          <w:tcPr>
            <w:tcW w:w="1456" w:type="dxa"/>
          </w:tcPr>
          <w:p>
            <w:pPr>
              <w:snapToGrid w:val="0"/>
              <w:rPr>
                <w:rFonts w:eastAsia="黑体"/>
                <w:sz w:val="28"/>
                <w:szCs w:val="28"/>
              </w:rPr>
            </w:pPr>
            <w:r>
              <w:rPr>
                <w:rFonts w:hAnsi="黑体" w:eastAsia="黑体"/>
                <w:sz w:val="28"/>
                <w:szCs w:val="28"/>
              </w:rPr>
              <w:t>罗俊军</w:t>
            </w:r>
          </w:p>
        </w:tc>
        <w:tc>
          <w:tcPr>
            <w:tcW w:w="1457" w:type="dxa"/>
          </w:tcPr>
          <w:p>
            <w:pPr>
              <w:snapToGrid w:val="0"/>
              <w:rPr>
                <w:rFonts w:eastAsia="黑体"/>
                <w:sz w:val="28"/>
                <w:szCs w:val="28"/>
              </w:rPr>
            </w:pP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284" w:hRule="atLeast"/>
          <w:jc w:val="center"/>
        </w:trPr>
        <w:tc>
          <w:tcPr>
            <w:tcW w:w="1984" w:type="dxa"/>
          </w:tcPr>
          <w:p>
            <w:pPr>
              <w:snapToGrid w:val="0"/>
              <w:ind w:right="-304" w:rightChars="-145"/>
              <w:jc w:val="left"/>
              <w:rPr>
                <w:rFonts w:hAnsi="黑体" w:eastAsia="黑体"/>
                <w:sz w:val="28"/>
                <w:szCs w:val="28"/>
              </w:rPr>
            </w:pPr>
          </w:p>
        </w:tc>
        <w:tc>
          <w:tcPr>
            <w:tcW w:w="1456" w:type="dxa"/>
          </w:tcPr>
          <w:p>
            <w:pPr>
              <w:snapToGrid w:val="0"/>
              <w:rPr>
                <w:rFonts w:hAnsi="黑体" w:eastAsia="黑体"/>
                <w:sz w:val="28"/>
                <w:szCs w:val="28"/>
              </w:rPr>
            </w:pPr>
          </w:p>
        </w:tc>
        <w:tc>
          <w:tcPr>
            <w:tcW w:w="1457" w:type="dxa"/>
          </w:tcPr>
          <w:p>
            <w:pPr>
              <w:snapToGrid w:val="0"/>
              <w:rPr>
                <w:rFonts w:eastAsia="黑体"/>
                <w:sz w:val="28"/>
                <w:szCs w:val="28"/>
              </w:rPr>
            </w:pP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r>
              <w:rPr>
                <w:rFonts w:hAnsi="黑体" w:eastAsia="黑体"/>
                <w:sz w:val="28"/>
                <w:szCs w:val="28"/>
              </w:rPr>
              <w:t>核</w:t>
            </w:r>
            <w:r>
              <w:rPr>
                <w:rFonts w:eastAsia="黑体"/>
                <w:sz w:val="28"/>
                <w:szCs w:val="28"/>
              </w:rPr>
              <w:t xml:space="preserve">        </w:t>
            </w:r>
            <w:r>
              <w:rPr>
                <w:rFonts w:hAnsi="黑体" w:eastAsia="黑体"/>
                <w:sz w:val="28"/>
                <w:szCs w:val="28"/>
              </w:rPr>
              <w:t>定：</w:t>
            </w:r>
          </w:p>
        </w:tc>
        <w:tc>
          <w:tcPr>
            <w:tcW w:w="1456" w:type="dxa"/>
          </w:tcPr>
          <w:p>
            <w:pPr>
              <w:snapToGrid w:val="0"/>
              <w:rPr>
                <w:rFonts w:eastAsia="黑体"/>
                <w:sz w:val="28"/>
                <w:szCs w:val="28"/>
              </w:rPr>
            </w:pPr>
            <w:r>
              <w:rPr>
                <w:rFonts w:hAnsi="黑体" w:eastAsia="黑体"/>
                <w:sz w:val="28"/>
                <w:szCs w:val="28"/>
              </w:rPr>
              <w:t>刘</w:t>
            </w:r>
            <w:r>
              <w:rPr>
                <w:rFonts w:eastAsia="黑体"/>
                <w:sz w:val="28"/>
                <w:szCs w:val="28"/>
              </w:rPr>
              <w:t xml:space="preserve">  </w:t>
            </w:r>
            <w:r>
              <w:rPr>
                <w:rFonts w:hAnsi="黑体" w:eastAsia="黑体"/>
                <w:sz w:val="28"/>
                <w:szCs w:val="28"/>
              </w:rPr>
              <w:t>昊</w:t>
            </w:r>
          </w:p>
        </w:tc>
        <w:tc>
          <w:tcPr>
            <w:tcW w:w="1457" w:type="dxa"/>
          </w:tcPr>
          <w:p>
            <w:pPr>
              <w:snapToGrid w:val="0"/>
              <w:rPr>
                <w:rFonts w:eastAsia="黑体"/>
                <w:sz w:val="28"/>
                <w:szCs w:val="28"/>
              </w:rPr>
            </w:pP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284" w:hRule="atLeast"/>
          <w:jc w:val="center"/>
        </w:trPr>
        <w:tc>
          <w:tcPr>
            <w:tcW w:w="1984" w:type="dxa"/>
          </w:tcPr>
          <w:p>
            <w:pPr>
              <w:snapToGrid w:val="0"/>
              <w:ind w:right="-304" w:rightChars="-145"/>
              <w:jc w:val="left"/>
              <w:rPr>
                <w:rFonts w:hAnsi="黑体" w:eastAsia="黑体"/>
                <w:sz w:val="28"/>
                <w:szCs w:val="28"/>
              </w:rPr>
            </w:pPr>
          </w:p>
        </w:tc>
        <w:tc>
          <w:tcPr>
            <w:tcW w:w="1456" w:type="dxa"/>
          </w:tcPr>
          <w:p>
            <w:pPr>
              <w:snapToGrid w:val="0"/>
              <w:rPr>
                <w:rFonts w:hAnsi="黑体" w:eastAsia="黑体"/>
                <w:sz w:val="28"/>
                <w:szCs w:val="28"/>
              </w:rPr>
            </w:pPr>
          </w:p>
        </w:tc>
        <w:tc>
          <w:tcPr>
            <w:tcW w:w="1457" w:type="dxa"/>
          </w:tcPr>
          <w:p>
            <w:pPr>
              <w:snapToGrid w:val="0"/>
              <w:rPr>
                <w:rFonts w:eastAsia="黑体"/>
                <w:sz w:val="28"/>
                <w:szCs w:val="28"/>
              </w:rPr>
            </w:pP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r>
              <w:rPr>
                <w:rFonts w:hAnsi="黑体" w:eastAsia="黑体"/>
                <w:sz w:val="28"/>
                <w:szCs w:val="28"/>
              </w:rPr>
              <w:t>审</w:t>
            </w:r>
            <w:r>
              <w:rPr>
                <w:rFonts w:eastAsia="黑体"/>
                <w:sz w:val="28"/>
                <w:szCs w:val="28"/>
              </w:rPr>
              <w:t xml:space="preserve">        </w:t>
            </w:r>
            <w:r>
              <w:rPr>
                <w:rFonts w:hAnsi="黑体" w:eastAsia="黑体"/>
                <w:sz w:val="28"/>
                <w:szCs w:val="28"/>
              </w:rPr>
              <w:t>查：</w:t>
            </w:r>
          </w:p>
        </w:tc>
        <w:tc>
          <w:tcPr>
            <w:tcW w:w="1456" w:type="dxa"/>
          </w:tcPr>
          <w:p>
            <w:pPr>
              <w:snapToGrid w:val="0"/>
              <w:rPr>
                <w:rFonts w:eastAsia="黑体"/>
                <w:sz w:val="28"/>
                <w:szCs w:val="28"/>
              </w:rPr>
            </w:pPr>
            <w:r>
              <w:rPr>
                <w:rFonts w:hint="eastAsia" w:hAnsi="黑体" w:eastAsia="黑体"/>
                <w:sz w:val="28"/>
                <w:szCs w:val="28"/>
              </w:rPr>
              <w:t>段小芳</w:t>
            </w:r>
          </w:p>
        </w:tc>
        <w:tc>
          <w:tcPr>
            <w:tcW w:w="1457" w:type="dxa"/>
          </w:tcPr>
          <w:p>
            <w:pPr>
              <w:snapToGrid w:val="0"/>
              <w:rPr>
                <w:rFonts w:eastAsia="黑体"/>
                <w:sz w:val="28"/>
                <w:szCs w:val="28"/>
              </w:rPr>
            </w:pPr>
            <w:r>
              <w:rPr>
                <w:rFonts w:hint="eastAsia" w:hAnsi="黑体" w:eastAsia="黑体"/>
                <w:sz w:val="28"/>
                <w:szCs w:val="28"/>
              </w:rPr>
              <w:t>王  頔</w:t>
            </w:r>
          </w:p>
        </w:tc>
        <w:tc>
          <w:tcPr>
            <w:tcW w:w="1457" w:type="dxa"/>
          </w:tcPr>
          <w:p>
            <w:pPr>
              <w:snapToGrid w:val="0"/>
              <w:rPr>
                <w:rFonts w:eastAsia="黑体"/>
                <w:sz w:val="28"/>
                <w:szCs w:val="28"/>
              </w:rPr>
            </w:pPr>
            <w:r>
              <w:rPr>
                <w:rFonts w:hint="eastAsia" w:eastAsia="黑体"/>
                <w:sz w:val="28"/>
                <w:szCs w:val="28"/>
              </w:rPr>
              <w:t>向孟春</w:t>
            </w: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r>
              <w:rPr>
                <w:rFonts w:hint="eastAsia" w:eastAsia="黑体"/>
                <w:sz w:val="28"/>
                <w:szCs w:val="28"/>
              </w:rPr>
              <w:t>覃道平</w:t>
            </w:r>
          </w:p>
        </w:tc>
        <w:tc>
          <w:tcPr>
            <w:tcW w:w="1457" w:type="dxa"/>
          </w:tcPr>
          <w:p>
            <w:pPr>
              <w:snapToGrid w:val="0"/>
              <w:rPr>
                <w:rFonts w:eastAsia="黑体"/>
                <w:sz w:val="28"/>
                <w:szCs w:val="28"/>
              </w:rPr>
            </w:pPr>
            <w:r>
              <w:rPr>
                <w:rFonts w:hint="eastAsia" w:eastAsia="黑体"/>
                <w:sz w:val="28"/>
                <w:szCs w:val="28"/>
              </w:rPr>
              <w:t>聂金育</w:t>
            </w:r>
          </w:p>
        </w:tc>
        <w:tc>
          <w:tcPr>
            <w:tcW w:w="1457" w:type="dxa"/>
          </w:tcPr>
          <w:p>
            <w:pPr>
              <w:snapToGrid w:val="0"/>
              <w:rPr>
                <w:rFonts w:eastAsia="黑体"/>
                <w:sz w:val="28"/>
                <w:szCs w:val="28"/>
              </w:rPr>
            </w:pPr>
            <w:r>
              <w:rPr>
                <w:rFonts w:hint="eastAsia" w:eastAsia="黑体"/>
                <w:sz w:val="28"/>
                <w:szCs w:val="28"/>
              </w:rPr>
              <w:t>李勇刚</w:t>
            </w: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r>
              <w:rPr>
                <w:rFonts w:hint="eastAsia" w:eastAsia="黑体"/>
                <w:sz w:val="28"/>
                <w:szCs w:val="28"/>
              </w:rPr>
              <w:t>李  翔</w:t>
            </w:r>
          </w:p>
        </w:tc>
        <w:tc>
          <w:tcPr>
            <w:tcW w:w="1457" w:type="dxa"/>
          </w:tcPr>
          <w:p>
            <w:pPr>
              <w:snapToGrid w:val="0"/>
              <w:rPr>
                <w:rFonts w:eastAsia="黑体"/>
                <w:sz w:val="28"/>
                <w:szCs w:val="28"/>
              </w:rPr>
            </w:pPr>
            <w:r>
              <w:rPr>
                <w:rFonts w:hint="eastAsia" w:eastAsia="黑体"/>
                <w:sz w:val="28"/>
                <w:szCs w:val="28"/>
              </w:rPr>
              <w:t>郝连安</w:t>
            </w: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284"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p>
        </w:tc>
        <w:tc>
          <w:tcPr>
            <w:tcW w:w="1457" w:type="dxa"/>
          </w:tcPr>
          <w:p>
            <w:pPr>
              <w:snapToGrid w:val="0"/>
              <w:rPr>
                <w:rFonts w:eastAsia="黑体"/>
                <w:sz w:val="28"/>
                <w:szCs w:val="28"/>
              </w:rPr>
            </w:pP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r>
              <w:rPr>
                <w:rFonts w:hAnsi="黑体" w:eastAsia="黑体"/>
                <w:sz w:val="28"/>
                <w:szCs w:val="28"/>
              </w:rPr>
              <w:t>校</w:t>
            </w:r>
            <w:r>
              <w:rPr>
                <w:rFonts w:eastAsia="黑体"/>
                <w:sz w:val="28"/>
                <w:szCs w:val="28"/>
              </w:rPr>
              <w:t xml:space="preserve">        </w:t>
            </w:r>
            <w:r>
              <w:rPr>
                <w:rFonts w:hAnsi="黑体" w:eastAsia="黑体"/>
                <w:sz w:val="28"/>
                <w:szCs w:val="28"/>
              </w:rPr>
              <w:t>核：</w:t>
            </w:r>
          </w:p>
        </w:tc>
        <w:tc>
          <w:tcPr>
            <w:tcW w:w="1456" w:type="dxa"/>
          </w:tcPr>
          <w:p>
            <w:pPr>
              <w:snapToGrid w:val="0"/>
              <w:rPr>
                <w:rFonts w:eastAsia="黑体"/>
                <w:sz w:val="28"/>
                <w:szCs w:val="28"/>
              </w:rPr>
            </w:pPr>
            <w:r>
              <w:rPr>
                <w:rFonts w:hint="eastAsia" w:eastAsia="黑体"/>
                <w:sz w:val="28"/>
                <w:szCs w:val="28"/>
              </w:rPr>
              <w:t>韩  浩</w:t>
            </w:r>
          </w:p>
        </w:tc>
        <w:tc>
          <w:tcPr>
            <w:tcW w:w="1457" w:type="dxa"/>
          </w:tcPr>
          <w:p>
            <w:pPr>
              <w:snapToGrid w:val="0"/>
              <w:rPr>
                <w:rFonts w:eastAsia="黑体"/>
                <w:sz w:val="28"/>
                <w:szCs w:val="28"/>
              </w:rPr>
            </w:pPr>
            <w:r>
              <w:rPr>
                <w:rFonts w:hint="eastAsia" w:eastAsia="黑体"/>
                <w:sz w:val="28"/>
                <w:szCs w:val="28"/>
              </w:rPr>
              <w:t>沈月锋</w:t>
            </w:r>
          </w:p>
        </w:tc>
        <w:tc>
          <w:tcPr>
            <w:tcW w:w="1457" w:type="dxa"/>
          </w:tcPr>
          <w:p>
            <w:pPr>
              <w:snapToGrid w:val="0"/>
              <w:rPr>
                <w:rFonts w:eastAsia="黑体"/>
                <w:sz w:val="28"/>
                <w:szCs w:val="28"/>
              </w:rPr>
            </w:pPr>
            <w:r>
              <w:rPr>
                <w:rFonts w:hint="eastAsia" w:eastAsia="黑体"/>
                <w:sz w:val="28"/>
                <w:szCs w:val="28"/>
              </w:rPr>
              <w:t>李庆国</w:t>
            </w: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r>
              <w:rPr>
                <w:rFonts w:hint="eastAsia" w:eastAsia="黑体"/>
                <w:sz w:val="28"/>
                <w:szCs w:val="28"/>
              </w:rPr>
              <w:t>郭秀勇</w:t>
            </w:r>
          </w:p>
        </w:tc>
        <w:tc>
          <w:tcPr>
            <w:tcW w:w="1457" w:type="dxa"/>
          </w:tcPr>
          <w:p>
            <w:pPr>
              <w:snapToGrid w:val="0"/>
              <w:rPr>
                <w:rFonts w:eastAsia="黑体"/>
                <w:sz w:val="28"/>
                <w:szCs w:val="28"/>
              </w:rPr>
            </w:pPr>
            <w:r>
              <w:rPr>
                <w:rFonts w:hint="eastAsia" w:eastAsia="黑体"/>
                <w:sz w:val="28"/>
                <w:szCs w:val="28"/>
              </w:rPr>
              <w:t>何安生</w:t>
            </w:r>
          </w:p>
        </w:tc>
        <w:tc>
          <w:tcPr>
            <w:tcW w:w="1457" w:type="dxa"/>
          </w:tcPr>
          <w:p>
            <w:pPr>
              <w:snapToGrid w:val="0"/>
              <w:rPr>
                <w:rFonts w:eastAsia="黑体"/>
                <w:sz w:val="28"/>
                <w:szCs w:val="28"/>
              </w:rPr>
            </w:pPr>
            <w:r>
              <w:rPr>
                <w:rFonts w:hint="eastAsia" w:eastAsia="黑体"/>
                <w:sz w:val="28"/>
                <w:szCs w:val="28"/>
              </w:rPr>
              <w:t>符小虎</w:t>
            </w: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r>
              <w:rPr>
                <w:rFonts w:hint="eastAsia" w:eastAsia="黑体"/>
                <w:sz w:val="28"/>
                <w:szCs w:val="28"/>
              </w:rPr>
              <w:t>杨文正</w:t>
            </w:r>
          </w:p>
        </w:tc>
        <w:tc>
          <w:tcPr>
            <w:tcW w:w="1457" w:type="dxa"/>
          </w:tcPr>
          <w:p>
            <w:pPr>
              <w:snapToGrid w:val="0"/>
              <w:rPr>
                <w:rFonts w:eastAsia="黑体"/>
                <w:sz w:val="28"/>
                <w:szCs w:val="28"/>
              </w:rPr>
            </w:pPr>
            <w:r>
              <w:rPr>
                <w:rFonts w:hint="eastAsia" w:eastAsia="黑体"/>
                <w:sz w:val="28"/>
                <w:szCs w:val="28"/>
              </w:rPr>
              <w:t>冯  磊</w:t>
            </w: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284"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p>
        </w:tc>
        <w:tc>
          <w:tcPr>
            <w:tcW w:w="1457" w:type="dxa"/>
          </w:tcPr>
          <w:p>
            <w:pPr>
              <w:snapToGrid w:val="0"/>
              <w:rPr>
                <w:rFonts w:eastAsia="黑体"/>
                <w:sz w:val="28"/>
                <w:szCs w:val="28"/>
              </w:rPr>
            </w:pP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r>
              <w:rPr>
                <w:rFonts w:hAnsi="黑体" w:eastAsia="黑体"/>
                <w:sz w:val="28"/>
                <w:szCs w:val="28"/>
              </w:rPr>
              <w:t>编</w:t>
            </w:r>
            <w:r>
              <w:rPr>
                <w:rFonts w:eastAsia="黑体"/>
                <w:sz w:val="28"/>
                <w:szCs w:val="28"/>
              </w:rPr>
              <w:t xml:space="preserve">        </w:t>
            </w:r>
            <w:r>
              <w:rPr>
                <w:rFonts w:hAnsi="黑体" w:eastAsia="黑体"/>
                <w:sz w:val="28"/>
                <w:szCs w:val="28"/>
              </w:rPr>
              <w:t>写：</w:t>
            </w:r>
          </w:p>
        </w:tc>
        <w:tc>
          <w:tcPr>
            <w:tcW w:w="1456" w:type="dxa"/>
          </w:tcPr>
          <w:p>
            <w:pPr>
              <w:snapToGrid w:val="0"/>
              <w:rPr>
                <w:rFonts w:eastAsia="黑体"/>
                <w:sz w:val="28"/>
                <w:szCs w:val="28"/>
              </w:rPr>
            </w:pPr>
            <w:r>
              <w:rPr>
                <w:rFonts w:hint="eastAsia" w:eastAsia="黑体"/>
                <w:sz w:val="28"/>
                <w:szCs w:val="28"/>
              </w:rPr>
              <w:t>陶国通</w:t>
            </w:r>
          </w:p>
        </w:tc>
        <w:tc>
          <w:tcPr>
            <w:tcW w:w="1457" w:type="dxa"/>
          </w:tcPr>
          <w:p>
            <w:pPr>
              <w:snapToGrid w:val="0"/>
              <w:rPr>
                <w:rFonts w:eastAsia="黑体"/>
                <w:sz w:val="28"/>
                <w:szCs w:val="28"/>
              </w:rPr>
            </w:pPr>
            <w:r>
              <w:rPr>
                <w:rFonts w:hint="eastAsia" w:eastAsia="黑体"/>
                <w:sz w:val="28"/>
                <w:szCs w:val="28"/>
              </w:rPr>
              <w:t>罗成波</w:t>
            </w:r>
          </w:p>
        </w:tc>
        <w:tc>
          <w:tcPr>
            <w:tcW w:w="1457" w:type="dxa"/>
          </w:tcPr>
          <w:p>
            <w:pPr>
              <w:snapToGrid w:val="0"/>
              <w:rPr>
                <w:rFonts w:eastAsia="黑体"/>
                <w:sz w:val="28"/>
                <w:szCs w:val="28"/>
              </w:rPr>
            </w:pPr>
            <w:r>
              <w:rPr>
                <w:rFonts w:hint="eastAsia" w:eastAsia="黑体"/>
                <w:sz w:val="28"/>
                <w:szCs w:val="28"/>
              </w:rPr>
              <w:t>李爽一</w:t>
            </w: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r>
              <w:rPr>
                <w:rFonts w:hint="eastAsia" w:eastAsia="黑体"/>
                <w:sz w:val="28"/>
                <w:szCs w:val="28"/>
              </w:rPr>
              <w:t>佘  鑫</w:t>
            </w:r>
          </w:p>
        </w:tc>
        <w:tc>
          <w:tcPr>
            <w:tcW w:w="1457" w:type="dxa"/>
          </w:tcPr>
          <w:p>
            <w:pPr>
              <w:snapToGrid w:val="0"/>
              <w:rPr>
                <w:rFonts w:eastAsia="黑体"/>
                <w:sz w:val="28"/>
                <w:szCs w:val="28"/>
              </w:rPr>
            </w:pPr>
            <w:r>
              <w:rPr>
                <w:rFonts w:hint="eastAsia" w:eastAsia="黑体"/>
                <w:sz w:val="28"/>
                <w:szCs w:val="28"/>
              </w:rPr>
              <w:t>朱君杰</w:t>
            </w:r>
          </w:p>
        </w:tc>
        <w:tc>
          <w:tcPr>
            <w:tcW w:w="1457" w:type="dxa"/>
          </w:tcPr>
          <w:p>
            <w:pPr>
              <w:snapToGrid w:val="0"/>
              <w:rPr>
                <w:rFonts w:eastAsia="黑体"/>
                <w:sz w:val="28"/>
                <w:szCs w:val="28"/>
              </w:rPr>
            </w:pPr>
            <w:r>
              <w:rPr>
                <w:rFonts w:hint="eastAsia" w:eastAsia="黑体"/>
                <w:sz w:val="28"/>
                <w:szCs w:val="28"/>
              </w:rPr>
              <w:t>钟  伟</w:t>
            </w: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r>
              <w:rPr>
                <w:rFonts w:hint="eastAsia" w:eastAsia="黑体"/>
                <w:sz w:val="28"/>
                <w:szCs w:val="28"/>
              </w:rPr>
              <w:t>罗逸君</w:t>
            </w:r>
          </w:p>
        </w:tc>
        <w:tc>
          <w:tcPr>
            <w:tcW w:w="1457" w:type="dxa"/>
          </w:tcPr>
          <w:p>
            <w:pPr>
              <w:snapToGrid w:val="0"/>
              <w:rPr>
                <w:rFonts w:eastAsia="黑体"/>
                <w:sz w:val="28"/>
                <w:szCs w:val="28"/>
              </w:rPr>
            </w:pPr>
            <w:r>
              <w:rPr>
                <w:rFonts w:hint="eastAsia" w:eastAsia="黑体"/>
                <w:sz w:val="28"/>
                <w:szCs w:val="28"/>
              </w:rPr>
              <w:t>王伟萍</w:t>
            </w:r>
          </w:p>
        </w:tc>
        <w:tc>
          <w:tcPr>
            <w:tcW w:w="1457" w:type="dxa"/>
          </w:tcPr>
          <w:p>
            <w:pPr>
              <w:snapToGrid w:val="0"/>
              <w:rPr>
                <w:rFonts w:eastAsia="黑体"/>
                <w:sz w:val="28"/>
                <w:szCs w:val="28"/>
              </w:rPr>
            </w:pPr>
            <w:r>
              <w:rPr>
                <w:rFonts w:hint="eastAsia" w:eastAsia="黑体"/>
                <w:sz w:val="28"/>
                <w:szCs w:val="28"/>
              </w:rPr>
              <w:t>黎军平</w:t>
            </w: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r>
              <w:rPr>
                <w:rFonts w:hint="eastAsia" w:eastAsia="黑体"/>
                <w:sz w:val="28"/>
                <w:szCs w:val="28"/>
              </w:rPr>
              <w:t>吴  磊</w:t>
            </w:r>
          </w:p>
        </w:tc>
        <w:tc>
          <w:tcPr>
            <w:tcW w:w="1457" w:type="dxa"/>
          </w:tcPr>
          <w:p>
            <w:pPr>
              <w:snapToGrid w:val="0"/>
              <w:rPr>
                <w:rFonts w:eastAsia="黑体"/>
                <w:sz w:val="28"/>
                <w:szCs w:val="28"/>
              </w:rPr>
            </w:pPr>
            <w:r>
              <w:rPr>
                <w:rFonts w:hint="eastAsia" w:eastAsia="黑体"/>
                <w:sz w:val="28"/>
                <w:szCs w:val="28"/>
              </w:rPr>
              <w:t xml:space="preserve">张 </w:t>
            </w:r>
            <w:r>
              <w:rPr>
                <w:rFonts w:eastAsia="黑体"/>
                <w:sz w:val="28"/>
                <w:szCs w:val="28"/>
              </w:rPr>
              <w:t xml:space="preserve"> </w:t>
            </w:r>
            <w:r>
              <w:rPr>
                <w:rFonts w:hint="eastAsia" w:eastAsia="黑体"/>
                <w:sz w:val="28"/>
                <w:szCs w:val="28"/>
              </w:rPr>
              <w:t>翔</w:t>
            </w: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284"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p>
        </w:tc>
        <w:tc>
          <w:tcPr>
            <w:tcW w:w="1457" w:type="dxa"/>
          </w:tcPr>
          <w:p>
            <w:pPr>
              <w:snapToGrid w:val="0"/>
              <w:rPr>
                <w:rFonts w:eastAsia="黑体"/>
                <w:sz w:val="28"/>
                <w:szCs w:val="28"/>
              </w:rPr>
            </w:pPr>
          </w:p>
        </w:tc>
        <w:tc>
          <w:tcPr>
            <w:tcW w:w="1457" w:type="dxa"/>
          </w:tcPr>
          <w:p>
            <w:pPr>
              <w:snapToGrid w:val="0"/>
              <w:rPr>
                <w:rFonts w:eastAsia="黑体"/>
                <w:sz w:val="28"/>
                <w:szCs w:val="28"/>
              </w:rPr>
            </w:pP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r>
              <w:rPr>
                <w:rFonts w:hAnsi="黑体" w:eastAsia="黑体"/>
                <w:sz w:val="28"/>
                <w:szCs w:val="28"/>
              </w:rPr>
              <w:t>参加工作人员：</w:t>
            </w:r>
          </w:p>
        </w:tc>
        <w:tc>
          <w:tcPr>
            <w:tcW w:w="1456" w:type="dxa"/>
          </w:tcPr>
          <w:p>
            <w:pPr>
              <w:snapToGrid w:val="0"/>
              <w:rPr>
                <w:rFonts w:eastAsia="黑体"/>
                <w:sz w:val="28"/>
                <w:szCs w:val="28"/>
              </w:rPr>
            </w:pPr>
            <w:r>
              <w:rPr>
                <w:rFonts w:hint="eastAsia" w:eastAsia="黑体"/>
                <w:sz w:val="28"/>
                <w:szCs w:val="28"/>
              </w:rPr>
              <w:t>刘  轶</w:t>
            </w:r>
          </w:p>
        </w:tc>
        <w:tc>
          <w:tcPr>
            <w:tcW w:w="1457" w:type="dxa"/>
          </w:tcPr>
          <w:p>
            <w:pPr>
              <w:snapToGrid w:val="0"/>
              <w:rPr>
                <w:rFonts w:eastAsia="黑体"/>
                <w:sz w:val="28"/>
                <w:szCs w:val="28"/>
              </w:rPr>
            </w:pPr>
            <w:r>
              <w:rPr>
                <w:rFonts w:hint="eastAsia" w:eastAsia="黑体"/>
                <w:sz w:val="28"/>
                <w:szCs w:val="28"/>
              </w:rPr>
              <w:t>覃正华</w:t>
            </w:r>
          </w:p>
        </w:tc>
        <w:tc>
          <w:tcPr>
            <w:tcW w:w="1457" w:type="dxa"/>
          </w:tcPr>
          <w:p>
            <w:pPr>
              <w:snapToGrid w:val="0"/>
              <w:rPr>
                <w:rFonts w:eastAsia="黑体"/>
                <w:sz w:val="28"/>
                <w:szCs w:val="28"/>
              </w:rPr>
            </w:pPr>
            <w:r>
              <w:rPr>
                <w:rFonts w:hint="eastAsia" w:eastAsia="黑体"/>
                <w:sz w:val="28"/>
                <w:szCs w:val="28"/>
              </w:rPr>
              <w:t>刘  逵</w:t>
            </w:r>
          </w:p>
        </w:tc>
      </w:tr>
      <w:tr>
        <w:tblPrEx>
          <w:tblCellMar>
            <w:top w:w="0" w:type="dxa"/>
            <w:left w:w="108" w:type="dxa"/>
            <w:bottom w:w="0" w:type="dxa"/>
            <w:right w:w="108" w:type="dxa"/>
          </w:tblCellMar>
        </w:tblPrEx>
        <w:trPr>
          <w:trHeight w:val="567" w:hRule="atLeast"/>
          <w:jc w:val="center"/>
        </w:trPr>
        <w:tc>
          <w:tcPr>
            <w:tcW w:w="1984" w:type="dxa"/>
          </w:tcPr>
          <w:p>
            <w:pPr>
              <w:snapToGrid w:val="0"/>
              <w:ind w:right="-304" w:rightChars="-145"/>
              <w:jc w:val="left"/>
              <w:rPr>
                <w:rFonts w:eastAsia="黑体"/>
                <w:sz w:val="28"/>
                <w:szCs w:val="28"/>
              </w:rPr>
            </w:pPr>
          </w:p>
        </w:tc>
        <w:tc>
          <w:tcPr>
            <w:tcW w:w="1456" w:type="dxa"/>
          </w:tcPr>
          <w:p>
            <w:pPr>
              <w:snapToGrid w:val="0"/>
              <w:rPr>
                <w:rFonts w:eastAsia="黑体"/>
                <w:sz w:val="28"/>
                <w:szCs w:val="28"/>
              </w:rPr>
            </w:pPr>
            <w:r>
              <w:rPr>
                <w:rFonts w:hint="eastAsia" w:eastAsia="黑体"/>
                <w:sz w:val="28"/>
                <w:szCs w:val="28"/>
              </w:rPr>
              <w:t>谭志锋</w:t>
            </w:r>
          </w:p>
        </w:tc>
        <w:tc>
          <w:tcPr>
            <w:tcW w:w="1457" w:type="dxa"/>
          </w:tcPr>
          <w:p>
            <w:pPr>
              <w:snapToGrid w:val="0"/>
              <w:rPr>
                <w:rFonts w:eastAsia="黑体"/>
                <w:sz w:val="28"/>
                <w:szCs w:val="28"/>
              </w:rPr>
            </w:pPr>
            <w:r>
              <w:rPr>
                <w:rFonts w:hint="eastAsia" w:eastAsia="黑体"/>
                <w:sz w:val="28"/>
                <w:szCs w:val="28"/>
              </w:rPr>
              <w:t>侯智坚</w:t>
            </w:r>
          </w:p>
        </w:tc>
        <w:tc>
          <w:tcPr>
            <w:tcW w:w="1457" w:type="dxa"/>
          </w:tcPr>
          <w:p>
            <w:pPr>
              <w:snapToGrid w:val="0"/>
              <w:rPr>
                <w:rFonts w:eastAsia="黑体"/>
                <w:sz w:val="28"/>
                <w:szCs w:val="28"/>
              </w:rPr>
            </w:pPr>
          </w:p>
        </w:tc>
      </w:tr>
    </w:tbl>
    <w:p>
      <w:pPr>
        <w:snapToGrid w:val="0"/>
        <w:jc w:val="left"/>
        <w:rPr>
          <w:rFonts w:eastAsia="黑体"/>
          <w:sz w:val="20"/>
          <w:szCs w:val="20"/>
        </w:rPr>
      </w:pPr>
    </w:p>
    <w:p>
      <w:pPr>
        <w:snapToGrid w:val="0"/>
        <w:spacing w:before="120" w:beforeLines="50" w:after="120" w:afterLines="50"/>
        <w:jc w:val="center"/>
        <w:rPr>
          <w:sz w:val="24"/>
          <w:szCs w:val="28"/>
        </w:rPr>
      </w:pPr>
    </w:p>
    <w:p>
      <w:pPr>
        <w:snapToGrid w:val="0"/>
        <w:spacing w:before="120" w:beforeLines="50" w:after="120" w:afterLines="50"/>
        <w:jc w:val="center"/>
        <w:rPr>
          <w:sz w:val="24"/>
          <w:szCs w:val="28"/>
        </w:rPr>
        <w:sectPr>
          <w:footerReference r:id="rId3" w:type="even"/>
          <w:pgSz w:w="11906" w:h="16838"/>
          <w:pgMar w:top="1588" w:right="1565" w:bottom="1531" w:left="1565" w:header="1134" w:footer="1247" w:gutter="0"/>
          <w:cols w:space="720" w:num="1"/>
          <w:docGrid w:linePitch="312" w:charSpace="0"/>
        </w:sectPr>
      </w:pPr>
    </w:p>
    <w:p>
      <w:pPr>
        <w:snapToGrid w:val="0"/>
        <w:spacing w:before="120" w:beforeLines="50" w:after="120" w:afterLines="50"/>
        <w:jc w:val="center"/>
        <w:rPr>
          <w:rFonts w:ascii="黑体" w:hAnsi="黑体" w:eastAsia="黑体" w:cs="Tahoma"/>
          <w:sz w:val="28"/>
          <w:szCs w:val="28"/>
        </w:rPr>
      </w:pPr>
      <w:bookmarkStart w:id="0" w:name="_Hlk85660190"/>
      <w:r>
        <w:rPr>
          <w:rFonts w:ascii="黑体" w:hAnsi="黑体" w:eastAsia="黑体" w:cs="Tahoma"/>
          <w:sz w:val="28"/>
          <w:szCs w:val="28"/>
        </w:rPr>
        <w:t>目</w:t>
      </w:r>
      <w:r>
        <w:rPr>
          <w:rFonts w:hint="eastAsia" w:ascii="黑体" w:hAnsi="黑体" w:eastAsia="黑体" w:cs="Tahoma"/>
          <w:sz w:val="28"/>
          <w:szCs w:val="28"/>
        </w:rPr>
        <w:t xml:space="preserve">    </w:t>
      </w:r>
      <w:r>
        <w:rPr>
          <w:rFonts w:ascii="黑体" w:hAnsi="黑体" w:eastAsia="黑体" w:cs="Tahoma"/>
          <w:sz w:val="28"/>
          <w:szCs w:val="28"/>
        </w:rPr>
        <w:t>录</w:t>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Style w:val="93"/>
          <w:rFonts w:ascii="Times New Roman" w:hAnsi="Times New Roman" w:cs="Times New Roman"/>
          <w:b w:val="0"/>
          <w:color w:val="auto"/>
        </w:rPr>
        <w:fldChar w:fldCharType="begin"/>
      </w:r>
      <w:r>
        <w:rPr>
          <w:rStyle w:val="93"/>
          <w:rFonts w:ascii="Times New Roman" w:hAnsi="Times New Roman" w:cs="Times New Roman"/>
          <w:b w:val="0"/>
          <w:color w:val="auto"/>
        </w:rPr>
        <w:instrText xml:space="preserve"> TOC \o "1-2" \h \z \u </w:instrText>
      </w:r>
      <w:r>
        <w:rPr>
          <w:rStyle w:val="93"/>
          <w:rFonts w:ascii="Times New Roman" w:hAnsi="Times New Roman" w:cs="Times New Roman"/>
          <w:b w:val="0"/>
          <w:color w:val="auto"/>
        </w:rPr>
        <w:fldChar w:fldCharType="separate"/>
      </w:r>
      <w:r>
        <w:rPr>
          <w:rFonts w:cs="Times New Roman"/>
          <w:sz w:val="24"/>
          <w:szCs w:val="24"/>
        </w:rPr>
        <w:fldChar w:fldCharType="begin"/>
      </w:r>
      <w:r>
        <w:rPr>
          <w:rFonts w:cs="Times New Roman"/>
          <w:sz w:val="24"/>
          <w:szCs w:val="24"/>
        </w:rPr>
        <w:instrText xml:space="preserve"> HYPERLINK \l "_Toc90934855" </w:instrText>
      </w:r>
      <w:r>
        <w:rPr>
          <w:rFonts w:cs="Times New Roman"/>
          <w:sz w:val="24"/>
          <w:szCs w:val="24"/>
        </w:rPr>
        <w:fldChar w:fldCharType="separate"/>
      </w:r>
      <w:r>
        <w:rPr>
          <w:rStyle w:val="93"/>
          <w:rFonts w:ascii="Times New Roman" w:hAnsi="Times New Roman" w:eastAsia="宋体" w:cs="Times New Roman"/>
          <w:b w:val="0"/>
        </w:rPr>
        <w:t>1  前言</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_Toc90934855 \h </w:instrText>
      </w:r>
      <w:r>
        <w:rPr>
          <w:rFonts w:eastAsia="宋体" w:cs="Times New Roman"/>
          <w:b w:val="0"/>
          <w:sz w:val="24"/>
          <w:szCs w:val="24"/>
        </w:rPr>
        <w:fldChar w:fldCharType="separate"/>
      </w:r>
      <w:r>
        <w:rPr>
          <w:rFonts w:eastAsia="宋体" w:cs="Times New Roman"/>
          <w:b w:val="0"/>
          <w:sz w:val="24"/>
          <w:szCs w:val="24"/>
        </w:rPr>
        <w:t>1</w:t>
      </w:r>
      <w:r>
        <w:rPr>
          <w:rFonts w:eastAsia="宋体" w:cs="Times New Roman"/>
          <w:b w:val="0"/>
          <w:sz w:val="24"/>
          <w:szCs w:val="24"/>
        </w:rPr>
        <w:fldChar w:fldCharType="end"/>
      </w:r>
      <w:r>
        <w:rPr>
          <w:rFonts w:eastAsia="宋体" w:cs="Times New Roman"/>
          <w:b w:val="0"/>
          <w:sz w:val="24"/>
          <w:szCs w:val="24"/>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"_Toc90934856" </w:instrText>
      </w:r>
      <w:r>
        <w:rPr>
          <w:rFonts w:cs="Times New Roman"/>
          <w:sz w:val="24"/>
          <w:szCs w:val="24"/>
        </w:rPr>
        <w:fldChar w:fldCharType="separate"/>
      </w:r>
      <w:r>
        <w:rPr>
          <w:rStyle w:val="93"/>
          <w:rFonts w:ascii="Times New Roman" w:hAnsi="Times New Roman" w:eastAsia="宋体" w:cs="Times New Roman"/>
          <w:b w:val="0"/>
        </w:rPr>
        <w:t>2  概述</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_Toc90934856 \h </w:instrText>
      </w:r>
      <w:r>
        <w:rPr>
          <w:rFonts w:eastAsia="宋体" w:cs="Times New Roman"/>
          <w:b w:val="0"/>
          <w:sz w:val="24"/>
          <w:szCs w:val="24"/>
        </w:rPr>
        <w:fldChar w:fldCharType="separate"/>
      </w:r>
      <w:r>
        <w:rPr>
          <w:rFonts w:eastAsia="宋体" w:cs="Times New Roman"/>
          <w:b w:val="0"/>
          <w:sz w:val="24"/>
          <w:szCs w:val="24"/>
        </w:rPr>
        <w:t>3</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Style w:val="93"/>
          <w:rFonts w:ascii="Times New Roman" w:hAnsi="Times New Roman" w:cs="Times New Roman"/>
        </w:rPr>
        <w:fldChar w:fldCharType="begin"/>
      </w:r>
      <w:r>
        <w:rPr>
          <w:rStyle w:val="93"/>
          <w:rFonts w:ascii="Times New Roman" w:hAnsi="Times New Roman" w:cs="Times New Roman"/>
        </w:rPr>
        <w:instrText xml:space="preserve"> </w:instrText>
      </w:r>
      <w:r>
        <w:rPr>
          <w:rFonts w:cs="Times New Roman"/>
          <w:sz w:val="24"/>
          <w:szCs w:val="24"/>
        </w:rPr>
        <w:instrText xml:space="preserve">HYPERLINK \l "_Toc90934857"</w:instrText>
      </w:r>
      <w:r>
        <w:rPr>
          <w:rStyle w:val="93"/>
          <w:rFonts w:ascii="Times New Roman" w:hAnsi="Times New Roman" w:cs="Times New Roman"/>
        </w:rPr>
        <w:instrText xml:space="preserve"> </w:instrText>
      </w:r>
      <w:r>
        <w:rPr>
          <w:rStyle w:val="93"/>
          <w:rFonts w:ascii="Times New Roman" w:hAnsi="Times New Roman" w:cs="Times New Roman"/>
        </w:rPr>
        <w:fldChar w:fldCharType="separate"/>
      </w:r>
      <w:r>
        <w:rPr>
          <w:rStyle w:val="93"/>
          <w:rFonts w:ascii="Times New Roman" w:hAnsi="Times New Roman" w:cs="Times New Roman"/>
        </w:rPr>
        <w:t>2.1  工程概况</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_Toc90934857 \h </w:instrText>
      </w:r>
      <w:r>
        <w:rPr>
          <w:rFonts w:cs="Times New Roman"/>
          <w:sz w:val="24"/>
          <w:szCs w:val="24"/>
        </w:rPr>
        <w:fldChar w:fldCharType="separate"/>
      </w:r>
      <w:r>
        <w:rPr>
          <w:rFonts w:cs="Times New Roman"/>
          <w:sz w:val="24"/>
          <w:szCs w:val="24"/>
        </w:rPr>
        <w:t>3</w:t>
      </w:r>
      <w:r>
        <w:rPr>
          <w:rFonts w:cs="Times New Roman"/>
          <w:sz w:val="24"/>
          <w:szCs w:val="24"/>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Style w:val="93"/>
          <w:rFonts w:ascii="Times New Roman" w:hAnsi="Times New Roman" w:cs="Times New Roman"/>
        </w:rPr>
        <w:fldChar w:fldCharType="begin"/>
      </w:r>
      <w:r>
        <w:rPr>
          <w:rStyle w:val="93"/>
          <w:rFonts w:ascii="Times New Roman" w:hAnsi="Times New Roman" w:cs="Times New Roman"/>
        </w:rPr>
        <w:instrText xml:space="preserve"> </w:instrText>
      </w:r>
      <w:r>
        <w:rPr>
          <w:rFonts w:cs="Times New Roman"/>
          <w:sz w:val="24"/>
          <w:szCs w:val="24"/>
        </w:rPr>
        <w:instrText xml:space="preserve">HYPERLINK \l "_Toc90934858"</w:instrText>
      </w:r>
      <w:r>
        <w:rPr>
          <w:rStyle w:val="93"/>
          <w:rFonts w:ascii="Times New Roman" w:hAnsi="Times New Roman" w:cs="Times New Roman"/>
        </w:rPr>
        <w:instrText xml:space="preserve"> </w:instrText>
      </w:r>
      <w:r>
        <w:rPr>
          <w:rStyle w:val="93"/>
          <w:rFonts w:ascii="Times New Roman" w:hAnsi="Times New Roman" w:cs="Times New Roman"/>
        </w:rPr>
        <w:fldChar w:fldCharType="separate"/>
      </w:r>
      <w:r>
        <w:rPr>
          <w:rStyle w:val="93"/>
          <w:rFonts w:ascii="Times New Roman" w:hAnsi="Times New Roman" w:cs="Times New Roman"/>
        </w:rPr>
        <w:t>2.2  建设征地区自然及经济社会概况</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_Toc90934858 \h </w:instrText>
      </w:r>
      <w:r>
        <w:rPr>
          <w:rFonts w:cs="Times New Roman"/>
          <w:sz w:val="24"/>
          <w:szCs w:val="24"/>
        </w:rPr>
        <w:fldChar w:fldCharType="separate"/>
      </w:r>
      <w:r>
        <w:rPr>
          <w:rFonts w:cs="Times New Roman"/>
          <w:sz w:val="24"/>
          <w:szCs w:val="24"/>
        </w:rPr>
        <w:t>3</w:t>
      </w:r>
      <w:r>
        <w:rPr>
          <w:rFonts w:cs="Times New Roman"/>
          <w:sz w:val="24"/>
          <w:szCs w:val="24"/>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Style w:val="93"/>
          <w:rFonts w:ascii="Times New Roman" w:hAnsi="Times New Roman" w:cs="Times New Roman"/>
        </w:rPr>
        <w:fldChar w:fldCharType="begin"/>
      </w:r>
      <w:r>
        <w:rPr>
          <w:rStyle w:val="93"/>
          <w:rFonts w:ascii="Times New Roman" w:hAnsi="Times New Roman" w:cs="Times New Roman"/>
        </w:rPr>
        <w:instrText xml:space="preserve"> </w:instrText>
      </w:r>
      <w:r>
        <w:rPr>
          <w:rFonts w:cs="Times New Roman"/>
          <w:sz w:val="24"/>
          <w:szCs w:val="24"/>
        </w:rPr>
        <w:instrText xml:space="preserve">HYPERLINK \l "_Toc90934859"</w:instrText>
      </w:r>
      <w:r>
        <w:rPr>
          <w:rStyle w:val="93"/>
          <w:rFonts w:ascii="Times New Roman" w:hAnsi="Times New Roman" w:cs="Times New Roman"/>
        </w:rPr>
        <w:instrText xml:space="preserve"> </w:instrText>
      </w:r>
      <w:r>
        <w:rPr>
          <w:rStyle w:val="93"/>
          <w:rFonts w:ascii="Times New Roman" w:hAnsi="Times New Roman" w:cs="Times New Roman"/>
        </w:rPr>
        <w:fldChar w:fldCharType="separate"/>
      </w:r>
      <w:r>
        <w:rPr>
          <w:rStyle w:val="93"/>
          <w:rFonts w:ascii="Times New Roman" w:hAnsi="Times New Roman" w:cs="Times New Roman"/>
        </w:rPr>
        <w:t>2.3  移民安置规划设计主要成果</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_Toc90934859 \h </w:instrText>
      </w:r>
      <w:r>
        <w:rPr>
          <w:rFonts w:cs="Times New Roman"/>
          <w:sz w:val="24"/>
          <w:szCs w:val="24"/>
        </w:rPr>
        <w:fldChar w:fldCharType="separate"/>
      </w:r>
      <w:r>
        <w:rPr>
          <w:rFonts w:cs="Times New Roman"/>
          <w:sz w:val="24"/>
          <w:szCs w:val="24"/>
        </w:rPr>
        <w:t>4</w:t>
      </w:r>
      <w:r>
        <w:rPr>
          <w:rFonts w:cs="Times New Roman"/>
          <w:sz w:val="24"/>
          <w:szCs w:val="24"/>
        </w:rPr>
        <w:fldChar w:fldCharType="end"/>
      </w:r>
      <w:r>
        <w:rPr>
          <w:rStyle w:val="93"/>
          <w:rFonts w:ascii="Times New Roman" w:hAnsi="Times New Roman" w:cs="Times New Roman"/>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"_Toc90934860" </w:instrText>
      </w:r>
      <w:r>
        <w:rPr>
          <w:rFonts w:cs="Times New Roman"/>
          <w:sz w:val="24"/>
          <w:szCs w:val="24"/>
        </w:rPr>
        <w:fldChar w:fldCharType="separate"/>
      </w:r>
      <w:r>
        <w:rPr>
          <w:rStyle w:val="93"/>
          <w:rFonts w:ascii="Times New Roman" w:hAnsi="Times New Roman" w:eastAsia="宋体" w:cs="Times New Roman"/>
          <w:b w:val="0"/>
        </w:rPr>
        <w:t>3  建设征地处理范围及实物指标</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_Toc90934860 \h </w:instrText>
      </w:r>
      <w:r>
        <w:rPr>
          <w:rFonts w:eastAsia="宋体" w:cs="Times New Roman"/>
          <w:b w:val="0"/>
          <w:sz w:val="24"/>
          <w:szCs w:val="24"/>
        </w:rPr>
        <w:fldChar w:fldCharType="separate"/>
      </w:r>
      <w:r>
        <w:rPr>
          <w:rFonts w:eastAsia="宋体" w:cs="Times New Roman"/>
          <w:b w:val="0"/>
          <w:sz w:val="24"/>
          <w:szCs w:val="24"/>
        </w:rPr>
        <w:t>7</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"_Toc90934861" </w:instrText>
      </w:r>
      <w:r>
        <w:fldChar w:fldCharType="separate"/>
      </w:r>
      <w:r>
        <w:rPr>
          <w:rStyle w:val="93"/>
          <w:rFonts w:ascii="Times New Roman" w:hAnsi="Times New Roman" w:cs="Times New Roman"/>
        </w:rPr>
        <w:t>3.1  建设征地处理范围</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_Toc90934861 \h </w:instrText>
      </w:r>
      <w:r>
        <w:rPr>
          <w:rStyle w:val="93"/>
          <w:rFonts w:ascii="Times New Roman" w:hAnsi="Times New Roman" w:cs="Times New Roman"/>
        </w:rPr>
        <w:fldChar w:fldCharType="separate"/>
      </w:r>
      <w:r>
        <w:rPr>
          <w:rStyle w:val="93"/>
          <w:rFonts w:ascii="Times New Roman" w:hAnsi="Times New Roman" w:cs="Times New Roman"/>
        </w:rPr>
        <w:t>7</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"_Toc90934862" </w:instrText>
      </w:r>
      <w:r>
        <w:fldChar w:fldCharType="separate"/>
      </w:r>
      <w:r>
        <w:rPr>
          <w:rStyle w:val="93"/>
          <w:rFonts w:ascii="Times New Roman" w:hAnsi="Times New Roman" w:cs="Times New Roman"/>
        </w:rPr>
        <w:t>3.2  实物指标</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_Toc90934862 \h </w:instrText>
      </w:r>
      <w:r>
        <w:rPr>
          <w:rStyle w:val="93"/>
          <w:rFonts w:ascii="Times New Roman" w:hAnsi="Times New Roman" w:cs="Times New Roman"/>
        </w:rPr>
        <w:fldChar w:fldCharType="separate"/>
      </w:r>
      <w:r>
        <w:rPr>
          <w:rStyle w:val="93"/>
          <w:rFonts w:ascii="Times New Roman" w:hAnsi="Times New Roman" w:cs="Times New Roman"/>
        </w:rPr>
        <w:t>15</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"_Toc90934863" </w:instrText>
      </w:r>
      <w:r>
        <w:rPr>
          <w:rFonts w:cs="Times New Roman"/>
          <w:sz w:val="24"/>
          <w:szCs w:val="24"/>
        </w:rPr>
        <w:fldChar w:fldCharType="separate"/>
      </w:r>
      <w:r>
        <w:rPr>
          <w:rStyle w:val="93"/>
          <w:rFonts w:ascii="Times New Roman" w:hAnsi="Times New Roman" w:eastAsia="宋体" w:cs="Times New Roman"/>
          <w:b w:val="0"/>
        </w:rPr>
        <w:t>4  规划设计依据和原则</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_Toc90934863 \h </w:instrText>
      </w:r>
      <w:r>
        <w:rPr>
          <w:rFonts w:eastAsia="宋体" w:cs="Times New Roman"/>
          <w:b w:val="0"/>
          <w:sz w:val="24"/>
          <w:szCs w:val="24"/>
        </w:rPr>
        <w:fldChar w:fldCharType="separate"/>
      </w:r>
      <w:r>
        <w:rPr>
          <w:rFonts w:eastAsia="宋体" w:cs="Times New Roman"/>
          <w:b w:val="0"/>
          <w:sz w:val="24"/>
          <w:szCs w:val="24"/>
        </w:rPr>
        <w:t>44</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"_Toc90934864" </w:instrText>
      </w:r>
      <w:r>
        <w:fldChar w:fldCharType="separate"/>
      </w:r>
      <w:r>
        <w:rPr>
          <w:rStyle w:val="93"/>
          <w:rFonts w:ascii="Times New Roman" w:hAnsi="Times New Roman" w:cs="Times New Roman"/>
        </w:rPr>
        <w:t>4.1  规划设计依据</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_Toc90934864 \h </w:instrText>
      </w:r>
      <w:r>
        <w:rPr>
          <w:rStyle w:val="93"/>
          <w:rFonts w:ascii="Times New Roman" w:hAnsi="Times New Roman" w:cs="Times New Roman"/>
        </w:rPr>
        <w:fldChar w:fldCharType="separate"/>
      </w:r>
      <w:r>
        <w:rPr>
          <w:rStyle w:val="93"/>
          <w:rFonts w:ascii="Times New Roman" w:hAnsi="Times New Roman" w:cs="Times New Roman"/>
        </w:rPr>
        <w:t>44</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"_Toc90934865" </w:instrText>
      </w:r>
      <w:r>
        <w:fldChar w:fldCharType="separate"/>
      </w:r>
      <w:r>
        <w:rPr>
          <w:rStyle w:val="93"/>
          <w:rFonts w:ascii="Times New Roman" w:hAnsi="Times New Roman" w:cs="Times New Roman"/>
        </w:rPr>
        <w:t>4.2  规划原则</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_Toc90934865 \h </w:instrText>
      </w:r>
      <w:r>
        <w:rPr>
          <w:rStyle w:val="93"/>
          <w:rFonts w:ascii="Times New Roman" w:hAnsi="Times New Roman" w:cs="Times New Roman"/>
        </w:rPr>
        <w:fldChar w:fldCharType="separate"/>
      </w:r>
      <w:r>
        <w:rPr>
          <w:rStyle w:val="93"/>
          <w:rFonts w:ascii="Times New Roman" w:hAnsi="Times New Roman" w:cs="Times New Roman"/>
        </w:rPr>
        <w:t>46</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"_Toc90934866" </w:instrText>
      </w:r>
      <w:r>
        <w:rPr>
          <w:rFonts w:cs="Times New Roman"/>
          <w:sz w:val="24"/>
          <w:szCs w:val="24"/>
        </w:rPr>
        <w:fldChar w:fldCharType="separate"/>
      </w:r>
      <w:r>
        <w:rPr>
          <w:rStyle w:val="93"/>
          <w:rFonts w:ascii="Times New Roman" w:hAnsi="Times New Roman" w:eastAsia="宋体" w:cs="Times New Roman"/>
          <w:b w:val="0"/>
        </w:rPr>
        <w:t>5  安置任务、规划目标和安置标准</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_Toc90934866 \h </w:instrText>
      </w:r>
      <w:r>
        <w:rPr>
          <w:rFonts w:eastAsia="宋体" w:cs="Times New Roman"/>
          <w:b w:val="0"/>
          <w:sz w:val="24"/>
          <w:szCs w:val="24"/>
        </w:rPr>
        <w:fldChar w:fldCharType="separate"/>
      </w:r>
      <w:r>
        <w:rPr>
          <w:rFonts w:eastAsia="宋体" w:cs="Times New Roman"/>
          <w:b w:val="0"/>
          <w:sz w:val="24"/>
          <w:szCs w:val="24"/>
        </w:rPr>
        <w:t>48</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"_Toc90934867" </w:instrText>
      </w:r>
      <w:r>
        <w:fldChar w:fldCharType="separate"/>
      </w:r>
      <w:r>
        <w:rPr>
          <w:rStyle w:val="93"/>
          <w:rFonts w:ascii="Times New Roman" w:hAnsi="Times New Roman" w:cs="Times New Roman"/>
        </w:rPr>
        <w:t>5.1  移民安置任务</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_Toc90934867 \h </w:instrText>
      </w:r>
      <w:r>
        <w:rPr>
          <w:rStyle w:val="93"/>
          <w:rFonts w:ascii="Times New Roman" w:hAnsi="Times New Roman" w:cs="Times New Roman"/>
        </w:rPr>
        <w:fldChar w:fldCharType="separate"/>
      </w:r>
      <w:r>
        <w:rPr>
          <w:rStyle w:val="93"/>
          <w:rFonts w:ascii="Times New Roman" w:hAnsi="Times New Roman" w:cs="Times New Roman"/>
        </w:rPr>
        <w:t>48</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"_Toc90934870" </w:instrText>
      </w:r>
      <w:r>
        <w:fldChar w:fldCharType="separate"/>
      </w:r>
      <w:r>
        <w:rPr>
          <w:rStyle w:val="93"/>
          <w:rFonts w:ascii="Times New Roman" w:hAnsi="Times New Roman" w:cs="Times New Roman"/>
        </w:rPr>
        <w:t>5.2  规划目标和安置标准</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_Toc90934870 \h </w:instrText>
      </w:r>
      <w:r>
        <w:rPr>
          <w:rStyle w:val="93"/>
          <w:rFonts w:ascii="Times New Roman" w:hAnsi="Times New Roman" w:cs="Times New Roman"/>
        </w:rPr>
        <w:fldChar w:fldCharType="separate"/>
      </w:r>
      <w:r>
        <w:rPr>
          <w:rStyle w:val="93"/>
          <w:rFonts w:ascii="Times New Roman" w:hAnsi="Times New Roman" w:cs="Times New Roman"/>
        </w:rPr>
        <w:t>57</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"_Toc90934874" </w:instrText>
      </w:r>
      <w:r>
        <w:rPr>
          <w:rFonts w:cs="Times New Roman"/>
          <w:sz w:val="24"/>
          <w:szCs w:val="24"/>
        </w:rPr>
        <w:fldChar w:fldCharType="separate"/>
      </w:r>
      <w:r>
        <w:rPr>
          <w:rStyle w:val="93"/>
          <w:rFonts w:ascii="Times New Roman" w:hAnsi="Times New Roman" w:eastAsia="宋体" w:cs="Times New Roman"/>
          <w:b w:val="0"/>
        </w:rPr>
        <w:t>6  农村移民安置规划方案</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_Toc90934874 \h </w:instrText>
      </w:r>
      <w:r>
        <w:rPr>
          <w:rFonts w:eastAsia="宋体" w:cs="Times New Roman"/>
          <w:b w:val="0"/>
          <w:sz w:val="24"/>
          <w:szCs w:val="24"/>
        </w:rPr>
        <w:fldChar w:fldCharType="separate"/>
      </w:r>
      <w:r>
        <w:rPr>
          <w:rFonts w:eastAsia="宋体" w:cs="Times New Roman"/>
          <w:b w:val="0"/>
          <w:sz w:val="24"/>
          <w:szCs w:val="24"/>
        </w:rPr>
        <w:t>64</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"_Toc90934875" </w:instrText>
      </w:r>
      <w:r>
        <w:fldChar w:fldCharType="separate"/>
      </w:r>
      <w:r>
        <w:rPr>
          <w:rStyle w:val="93"/>
          <w:rFonts w:ascii="Times New Roman" w:hAnsi="Times New Roman" w:cs="Times New Roman"/>
        </w:rPr>
        <w:t>6.1  环境容量分析和规划方案</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_Toc90934875 \h </w:instrText>
      </w:r>
      <w:r>
        <w:rPr>
          <w:rStyle w:val="93"/>
          <w:rFonts w:ascii="Times New Roman" w:hAnsi="Times New Roman" w:cs="Times New Roman"/>
        </w:rPr>
        <w:fldChar w:fldCharType="separate"/>
      </w:r>
      <w:r>
        <w:rPr>
          <w:rStyle w:val="93"/>
          <w:rFonts w:ascii="Times New Roman" w:hAnsi="Times New Roman" w:cs="Times New Roman"/>
        </w:rPr>
        <w:t>64</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"_Toc90934876" </w:instrText>
      </w:r>
      <w:r>
        <w:fldChar w:fldCharType="separate"/>
      </w:r>
      <w:r>
        <w:rPr>
          <w:rStyle w:val="93"/>
          <w:rFonts w:ascii="Times New Roman" w:hAnsi="Times New Roman" w:cs="Times New Roman"/>
        </w:rPr>
        <w:t>6.2  生产安置规划</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_Toc90934876 \h </w:instrText>
      </w:r>
      <w:r>
        <w:rPr>
          <w:rStyle w:val="93"/>
          <w:rFonts w:ascii="Times New Roman" w:hAnsi="Times New Roman" w:cs="Times New Roman"/>
        </w:rPr>
        <w:fldChar w:fldCharType="separate"/>
      </w:r>
      <w:r>
        <w:rPr>
          <w:rStyle w:val="93"/>
          <w:rFonts w:ascii="Times New Roman" w:hAnsi="Times New Roman" w:cs="Times New Roman"/>
        </w:rPr>
        <w:t>65</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"_Toc90934877" </w:instrText>
      </w:r>
      <w:r>
        <w:fldChar w:fldCharType="separate"/>
      </w:r>
      <w:r>
        <w:rPr>
          <w:rStyle w:val="93"/>
          <w:rFonts w:ascii="Times New Roman" w:hAnsi="Times New Roman" w:cs="Times New Roman"/>
        </w:rPr>
        <w:t>6.3  农村小型专项规划</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_Toc90934877 \h </w:instrText>
      </w:r>
      <w:r>
        <w:rPr>
          <w:rStyle w:val="93"/>
          <w:rFonts w:ascii="Times New Roman" w:hAnsi="Times New Roman" w:cs="Times New Roman"/>
        </w:rPr>
        <w:fldChar w:fldCharType="separate"/>
      </w:r>
      <w:r>
        <w:rPr>
          <w:rStyle w:val="93"/>
          <w:rFonts w:ascii="Times New Roman" w:hAnsi="Times New Roman" w:cs="Times New Roman"/>
        </w:rPr>
        <w:t>66</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"_Toc90934878" </w:instrText>
      </w:r>
      <w:r>
        <w:fldChar w:fldCharType="separate"/>
      </w:r>
      <w:r>
        <w:rPr>
          <w:rStyle w:val="93"/>
          <w:rFonts w:ascii="Times New Roman" w:hAnsi="Times New Roman" w:cs="Times New Roman"/>
        </w:rPr>
        <w:t>6.4  个体工商户规划</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_Toc90934878 \h </w:instrText>
      </w:r>
      <w:r>
        <w:rPr>
          <w:rStyle w:val="93"/>
          <w:rFonts w:ascii="Times New Roman" w:hAnsi="Times New Roman" w:cs="Times New Roman"/>
        </w:rPr>
        <w:fldChar w:fldCharType="separate"/>
      </w:r>
      <w:r>
        <w:rPr>
          <w:rStyle w:val="93"/>
          <w:rFonts w:ascii="Times New Roman" w:hAnsi="Times New Roman" w:cs="Times New Roman"/>
        </w:rPr>
        <w:t>66</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"_Toc90934879" </w:instrText>
      </w:r>
      <w:r>
        <w:fldChar w:fldCharType="separate"/>
      </w:r>
      <w:r>
        <w:rPr>
          <w:rStyle w:val="93"/>
          <w:rFonts w:ascii="Times New Roman" w:hAnsi="Times New Roman" w:cs="Times New Roman"/>
        </w:rPr>
        <w:t>6.5  临时用地复垦规划</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_Toc90934879 \h </w:instrText>
      </w:r>
      <w:r>
        <w:rPr>
          <w:rStyle w:val="93"/>
          <w:rFonts w:ascii="Times New Roman" w:hAnsi="Times New Roman" w:cs="Times New Roman"/>
        </w:rPr>
        <w:fldChar w:fldCharType="separate"/>
      </w:r>
      <w:r>
        <w:rPr>
          <w:rStyle w:val="93"/>
          <w:rFonts w:ascii="Times New Roman" w:hAnsi="Times New Roman" w:cs="Times New Roman"/>
        </w:rPr>
        <w:t>66</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"_Toc90934881" </w:instrText>
      </w:r>
      <w:r>
        <w:rPr>
          <w:rFonts w:cs="Times New Roman"/>
          <w:sz w:val="24"/>
          <w:szCs w:val="24"/>
        </w:rPr>
        <w:fldChar w:fldCharType="separate"/>
      </w:r>
      <w:r>
        <w:rPr>
          <w:rStyle w:val="93"/>
          <w:rFonts w:ascii="Times New Roman" w:hAnsi="Times New Roman" w:eastAsia="宋体" w:cs="Times New Roman"/>
          <w:b w:val="0"/>
        </w:rPr>
        <w:t>7  专业项目处理</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_Toc90934881 \h </w:instrText>
      </w:r>
      <w:r>
        <w:rPr>
          <w:rFonts w:eastAsia="宋体" w:cs="Times New Roman"/>
          <w:b w:val="0"/>
          <w:sz w:val="24"/>
          <w:szCs w:val="24"/>
        </w:rPr>
        <w:fldChar w:fldCharType="separate"/>
      </w:r>
      <w:r>
        <w:rPr>
          <w:rFonts w:eastAsia="宋体" w:cs="Times New Roman"/>
          <w:b w:val="0"/>
          <w:sz w:val="24"/>
          <w:szCs w:val="24"/>
        </w:rPr>
        <w:t>75</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"_Toc90934882" </w:instrText>
      </w:r>
      <w:r>
        <w:fldChar w:fldCharType="separate"/>
      </w:r>
      <w:r>
        <w:rPr>
          <w:rStyle w:val="93"/>
          <w:rFonts w:ascii="Times New Roman" w:hAnsi="Times New Roman" w:cs="Times New Roman"/>
        </w:rPr>
        <w:t>7.1  交通运输工程</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_Toc90934882 \h </w:instrText>
      </w:r>
      <w:r>
        <w:rPr>
          <w:rStyle w:val="93"/>
          <w:rFonts w:ascii="Times New Roman" w:hAnsi="Times New Roman" w:cs="Times New Roman"/>
        </w:rPr>
        <w:fldChar w:fldCharType="separate"/>
      </w:r>
      <w:r>
        <w:rPr>
          <w:rStyle w:val="93"/>
          <w:rFonts w:ascii="Times New Roman" w:hAnsi="Times New Roman" w:cs="Times New Roman"/>
        </w:rPr>
        <w:t>75</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"_Toc90934883" </w:instrText>
      </w:r>
      <w:r>
        <w:fldChar w:fldCharType="separate"/>
      </w:r>
      <w:r>
        <w:rPr>
          <w:rStyle w:val="93"/>
          <w:rFonts w:ascii="Times New Roman" w:hAnsi="Times New Roman" w:cs="Times New Roman"/>
        </w:rPr>
        <w:t>7.2  水利水电工程</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_Toc90934883 \h </w:instrText>
      </w:r>
      <w:r>
        <w:rPr>
          <w:rStyle w:val="93"/>
          <w:rFonts w:ascii="Times New Roman" w:hAnsi="Times New Roman" w:cs="Times New Roman"/>
        </w:rPr>
        <w:fldChar w:fldCharType="separate"/>
      </w:r>
      <w:r>
        <w:rPr>
          <w:rStyle w:val="93"/>
          <w:rFonts w:ascii="Times New Roman" w:hAnsi="Times New Roman" w:cs="Times New Roman"/>
        </w:rPr>
        <w:t>76</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"_Toc90934884" </w:instrText>
      </w:r>
      <w:r>
        <w:fldChar w:fldCharType="separate"/>
      </w:r>
      <w:r>
        <w:rPr>
          <w:rStyle w:val="93"/>
          <w:rFonts w:ascii="Times New Roman" w:hAnsi="Times New Roman" w:cs="Times New Roman"/>
        </w:rPr>
        <w:t>7.3  电力工程</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_Toc90934884 \h </w:instrText>
      </w:r>
      <w:r>
        <w:rPr>
          <w:rStyle w:val="93"/>
          <w:rFonts w:ascii="Times New Roman" w:hAnsi="Times New Roman" w:cs="Times New Roman"/>
        </w:rPr>
        <w:fldChar w:fldCharType="separate"/>
      </w:r>
      <w:r>
        <w:rPr>
          <w:rStyle w:val="93"/>
          <w:rFonts w:ascii="Times New Roman" w:hAnsi="Times New Roman" w:cs="Times New Roman"/>
        </w:rPr>
        <w:t>77</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"_Toc90934885" </w:instrText>
      </w:r>
      <w:r>
        <w:fldChar w:fldCharType="separate"/>
      </w:r>
      <w:r>
        <w:rPr>
          <w:rStyle w:val="93"/>
          <w:rFonts w:ascii="Times New Roman" w:hAnsi="Times New Roman" w:cs="Times New Roman"/>
        </w:rPr>
        <w:t>7.4  通信工程</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_Toc90934885 \h </w:instrText>
      </w:r>
      <w:r>
        <w:rPr>
          <w:rStyle w:val="93"/>
          <w:rFonts w:ascii="Times New Roman" w:hAnsi="Times New Roman" w:cs="Times New Roman"/>
        </w:rPr>
        <w:fldChar w:fldCharType="separate"/>
      </w:r>
      <w:r>
        <w:rPr>
          <w:rStyle w:val="93"/>
          <w:rFonts w:ascii="Times New Roman" w:hAnsi="Times New Roman" w:cs="Times New Roman"/>
        </w:rPr>
        <w:t>80</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"_Toc90934886" </w:instrText>
      </w:r>
      <w:r>
        <w:fldChar w:fldCharType="separate"/>
      </w:r>
      <w:r>
        <w:rPr>
          <w:rStyle w:val="93"/>
          <w:rFonts w:ascii="Times New Roman" w:hAnsi="Times New Roman" w:cs="Times New Roman"/>
        </w:rPr>
        <w:t>7.5  其他专项设施</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_Toc90934886 \h </w:instrText>
      </w:r>
      <w:r>
        <w:rPr>
          <w:rStyle w:val="93"/>
          <w:rFonts w:ascii="Times New Roman" w:hAnsi="Times New Roman" w:cs="Times New Roman"/>
        </w:rPr>
        <w:fldChar w:fldCharType="separate"/>
      </w:r>
      <w:r>
        <w:rPr>
          <w:rStyle w:val="93"/>
          <w:rFonts w:ascii="Times New Roman" w:hAnsi="Times New Roman" w:cs="Times New Roman"/>
        </w:rPr>
        <w:t>82</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"_Toc90934887" </w:instrText>
      </w:r>
      <w:r>
        <w:rPr>
          <w:rFonts w:cs="Times New Roman"/>
          <w:sz w:val="24"/>
          <w:szCs w:val="24"/>
        </w:rPr>
        <w:fldChar w:fldCharType="separate"/>
      </w:r>
      <w:r>
        <w:rPr>
          <w:rStyle w:val="93"/>
          <w:rFonts w:ascii="Times New Roman" w:hAnsi="Times New Roman" w:eastAsia="宋体" w:cs="Times New Roman"/>
          <w:b w:val="0"/>
        </w:rPr>
        <w:t>8  环境保护与水土保持</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_Toc90934887 \h </w:instrText>
      </w:r>
      <w:r>
        <w:rPr>
          <w:rFonts w:eastAsia="宋体" w:cs="Times New Roman"/>
          <w:b w:val="0"/>
          <w:sz w:val="24"/>
          <w:szCs w:val="24"/>
        </w:rPr>
        <w:fldChar w:fldCharType="separate"/>
      </w:r>
      <w:r>
        <w:rPr>
          <w:rFonts w:eastAsia="宋体" w:cs="Times New Roman"/>
          <w:b w:val="0"/>
          <w:sz w:val="24"/>
          <w:szCs w:val="24"/>
        </w:rPr>
        <w:t>84</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"_Toc90934888" </w:instrText>
      </w:r>
      <w:r>
        <w:fldChar w:fldCharType="separate"/>
      </w:r>
      <w:r>
        <w:rPr>
          <w:rStyle w:val="93"/>
          <w:rFonts w:ascii="Times New Roman" w:hAnsi="Times New Roman" w:cs="Times New Roman"/>
        </w:rPr>
        <w:t>8.1  环境保护</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_Toc90934888 \h </w:instrText>
      </w:r>
      <w:r>
        <w:rPr>
          <w:rStyle w:val="93"/>
          <w:rFonts w:ascii="Times New Roman" w:hAnsi="Times New Roman" w:cs="Times New Roman"/>
        </w:rPr>
        <w:fldChar w:fldCharType="separate"/>
      </w:r>
      <w:r>
        <w:rPr>
          <w:rStyle w:val="93"/>
          <w:rFonts w:ascii="Times New Roman" w:hAnsi="Times New Roman" w:cs="Times New Roman"/>
        </w:rPr>
        <w:t>84</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"_Toc90934889" </w:instrText>
      </w:r>
      <w:r>
        <w:fldChar w:fldCharType="separate"/>
      </w:r>
      <w:r>
        <w:rPr>
          <w:rStyle w:val="93"/>
          <w:rFonts w:ascii="Times New Roman" w:hAnsi="Times New Roman" w:cs="Times New Roman"/>
        </w:rPr>
        <w:t>8.2  水土保持</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_Toc90934889 \h </w:instrText>
      </w:r>
      <w:r>
        <w:rPr>
          <w:rStyle w:val="93"/>
          <w:rFonts w:ascii="Times New Roman" w:hAnsi="Times New Roman" w:cs="Times New Roman"/>
        </w:rPr>
        <w:fldChar w:fldCharType="separate"/>
      </w:r>
      <w:r>
        <w:rPr>
          <w:rStyle w:val="93"/>
          <w:rFonts w:ascii="Times New Roman" w:hAnsi="Times New Roman" w:cs="Times New Roman"/>
        </w:rPr>
        <w:t>88</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"_Toc90934890" </w:instrText>
      </w:r>
      <w:r>
        <w:rPr>
          <w:rFonts w:cs="Times New Roman"/>
          <w:sz w:val="24"/>
          <w:szCs w:val="24"/>
        </w:rPr>
        <w:fldChar w:fldCharType="separate"/>
      </w:r>
      <w:r>
        <w:rPr>
          <w:rStyle w:val="93"/>
          <w:rFonts w:ascii="Times New Roman" w:hAnsi="Times New Roman" w:eastAsia="宋体" w:cs="Times New Roman"/>
          <w:b w:val="0"/>
        </w:rPr>
        <w:t>9  移民生产生活水平预测</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_Toc90934890 \h </w:instrText>
      </w:r>
      <w:r>
        <w:rPr>
          <w:rFonts w:eastAsia="宋体" w:cs="Times New Roman"/>
          <w:b w:val="0"/>
          <w:sz w:val="24"/>
          <w:szCs w:val="24"/>
        </w:rPr>
        <w:fldChar w:fldCharType="separate"/>
      </w:r>
      <w:r>
        <w:rPr>
          <w:rFonts w:eastAsia="宋体" w:cs="Times New Roman"/>
          <w:b w:val="0"/>
          <w:sz w:val="24"/>
          <w:szCs w:val="24"/>
        </w:rPr>
        <w:t>90</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"_Toc90934891" </w:instrText>
      </w:r>
      <w:r>
        <w:fldChar w:fldCharType="separate"/>
      </w:r>
      <w:r>
        <w:rPr>
          <w:rStyle w:val="93"/>
          <w:rFonts w:ascii="Times New Roman" w:hAnsi="Times New Roman" w:cs="Times New Roman"/>
        </w:rPr>
        <w:t>9.1  指标体系</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_Toc90934891 \h </w:instrText>
      </w:r>
      <w:r>
        <w:rPr>
          <w:rStyle w:val="93"/>
          <w:rFonts w:ascii="Times New Roman" w:hAnsi="Times New Roman" w:cs="Times New Roman"/>
        </w:rPr>
        <w:fldChar w:fldCharType="separate"/>
      </w:r>
      <w:r>
        <w:rPr>
          <w:rStyle w:val="93"/>
          <w:rFonts w:ascii="Times New Roman" w:hAnsi="Times New Roman" w:cs="Times New Roman"/>
        </w:rPr>
        <w:t>90</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"_Toc90934892" </w:instrText>
      </w:r>
      <w:r>
        <w:fldChar w:fldCharType="separate"/>
      </w:r>
      <w:r>
        <w:rPr>
          <w:rStyle w:val="93"/>
          <w:rFonts w:ascii="Times New Roman" w:hAnsi="Times New Roman" w:cs="Times New Roman"/>
        </w:rPr>
        <w:t>9.2  现状评价</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_Toc90934892 \h </w:instrText>
      </w:r>
      <w:r>
        <w:rPr>
          <w:rStyle w:val="93"/>
          <w:rFonts w:ascii="Times New Roman" w:hAnsi="Times New Roman" w:cs="Times New Roman"/>
        </w:rPr>
        <w:fldChar w:fldCharType="separate"/>
      </w:r>
      <w:r>
        <w:rPr>
          <w:rStyle w:val="93"/>
          <w:rFonts w:ascii="Times New Roman" w:hAnsi="Times New Roman" w:cs="Times New Roman"/>
        </w:rPr>
        <w:t>90</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66"/>
        <w:tabs>
          <w:tab w:val="right" w:leader="dot" w:pos="8766"/>
        </w:tabs>
        <w:adjustRightInd w:val="0"/>
        <w:snapToGrid w:val="0"/>
        <w:spacing w:line="460" w:lineRule="exact"/>
        <w:ind w:left="0" w:firstLine="400" w:firstLineChars="200"/>
        <w:jc w:val="both"/>
        <w:rPr>
          <w:rStyle w:val="93"/>
          <w:rFonts w:ascii="Times New Roman" w:hAnsi="Times New Roman" w:cs="Times New Roman"/>
        </w:rPr>
      </w:pPr>
      <w:r>
        <w:fldChar w:fldCharType="begin"/>
      </w:r>
      <w:r>
        <w:instrText xml:space="preserve"> HYPERLINK \l "_Toc90934893" </w:instrText>
      </w:r>
      <w:r>
        <w:fldChar w:fldCharType="separate"/>
      </w:r>
      <w:r>
        <w:rPr>
          <w:rStyle w:val="93"/>
          <w:rFonts w:ascii="Times New Roman" w:hAnsi="Times New Roman" w:cs="Times New Roman"/>
        </w:rPr>
        <w:t>9.3  预测分析</w:t>
      </w:r>
      <w:r>
        <w:rPr>
          <w:rStyle w:val="93"/>
          <w:rFonts w:ascii="Times New Roman" w:hAnsi="Times New Roman" w:cs="Times New Roman"/>
        </w:rPr>
        <w:tab/>
      </w:r>
      <w:r>
        <w:rPr>
          <w:rStyle w:val="93"/>
          <w:rFonts w:ascii="Times New Roman" w:hAnsi="Times New Roman" w:cs="Times New Roman"/>
        </w:rPr>
        <w:fldChar w:fldCharType="begin"/>
      </w:r>
      <w:r>
        <w:rPr>
          <w:rStyle w:val="93"/>
          <w:rFonts w:ascii="Times New Roman" w:hAnsi="Times New Roman" w:cs="Times New Roman"/>
        </w:rPr>
        <w:instrText xml:space="preserve"> PAGEREF _Toc90934893 \h </w:instrText>
      </w:r>
      <w:r>
        <w:rPr>
          <w:rStyle w:val="93"/>
          <w:rFonts w:ascii="Times New Roman" w:hAnsi="Times New Roman" w:cs="Times New Roman"/>
        </w:rPr>
        <w:fldChar w:fldCharType="separate"/>
      </w:r>
      <w:r>
        <w:rPr>
          <w:rStyle w:val="93"/>
          <w:rFonts w:ascii="Times New Roman" w:hAnsi="Times New Roman" w:cs="Times New Roman"/>
        </w:rPr>
        <w:t>91</w:t>
      </w:r>
      <w:r>
        <w:rPr>
          <w:rStyle w:val="93"/>
          <w:rFonts w:ascii="Times New Roman" w:hAnsi="Times New Roman" w:cs="Times New Roman"/>
        </w:rPr>
        <w:fldChar w:fldCharType="end"/>
      </w:r>
      <w:r>
        <w:rPr>
          <w:rStyle w:val="93"/>
          <w:rFonts w:ascii="Times New Roman" w:hAnsi="Times New Roman" w:cs="Times New Roman"/>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"_Toc90934894" </w:instrText>
      </w:r>
      <w:r>
        <w:rPr>
          <w:rFonts w:cs="Times New Roman"/>
          <w:sz w:val="24"/>
          <w:szCs w:val="24"/>
        </w:rPr>
        <w:fldChar w:fldCharType="separate"/>
      </w:r>
      <w:r>
        <w:rPr>
          <w:rStyle w:val="93"/>
          <w:rFonts w:ascii="Times New Roman" w:hAnsi="Times New Roman" w:eastAsia="宋体" w:cs="Times New Roman"/>
          <w:b w:val="0"/>
        </w:rPr>
        <w:t>10  听取和征求意见</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_Toc90934894 \h </w:instrText>
      </w:r>
      <w:r>
        <w:rPr>
          <w:rFonts w:eastAsia="宋体" w:cs="Times New Roman"/>
          <w:b w:val="0"/>
          <w:sz w:val="24"/>
          <w:szCs w:val="24"/>
        </w:rPr>
        <w:fldChar w:fldCharType="separate"/>
      </w:r>
      <w:r>
        <w:rPr>
          <w:rFonts w:eastAsia="宋体" w:cs="Times New Roman"/>
          <w:b w:val="0"/>
          <w:sz w:val="24"/>
          <w:szCs w:val="24"/>
        </w:rPr>
        <w:t>92</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"_Toc90934895" </w:instrText>
      </w:r>
      <w:r>
        <w:rPr>
          <w:rFonts w:cs="Times New Roman"/>
          <w:sz w:val="24"/>
          <w:szCs w:val="24"/>
        </w:rPr>
        <w:fldChar w:fldCharType="separate"/>
      </w:r>
      <w:r>
        <w:rPr>
          <w:rStyle w:val="93"/>
          <w:rFonts w:ascii="Times New Roman" w:hAnsi="Times New Roman" w:cs="Times New Roman"/>
        </w:rPr>
        <w:t>10.1  听取移民及移民安置区居民意见</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_Toc90934895 \h </w:instrText>
      </w:r>
      <w:r>
        <w:rPr>
          <w:rFonts w:cs="Times New Roman"/>
          <w:sz w:val="24"/>
          <w:szCs w:val="24"/>
        </w:rPr>
        <w:fldChar w:fldCharType="separate"/>
      </w:r>
      <w:r>
        <w:rPr>
          <w:rFonts w:cs="Times New Roman"/>
          <w:sz w:val="24"/>
          <w:szCs w:val="24"/>
        </w:rPr>
        <w:t>92</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"_Toc90934897" </w:instrText>
      </w:r>
      <w:r>
        <w:rPr>
          <w:rFonts w:cs="Times New Roman"/>
          <w:sz w:val="24"/>
          <w:szCs w:val="24"/>
        </w:rPr>
        <w:fldChar w:fldCharType="separate"/>
      </w:r>
      <w:r>
        <w:rPr>
          <w:rStyle w:val="93"/>
          <w:rFonts w:ascii="Times New Roman" w:hAnsi="Times New Roman" w:cs="Times New Roman"/>
        </w:rPr>
        <w:t>10.2  征求地方政府意见</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_Toc90934897 \h </w:instrText>
      </w:r>
      <w:r>
        <w:rPr>
          <w:rFonts w:cs="Times New Roman"/>
          <w:sz w:val="24"/>
          <w:szCs w:val="24"/>
        </w:rPr>
        <w:fldChar w:fldCharType="separate"/>
      </w:r>
      <w:r>
        <w:rPr>
          <w:rFonts w:cs="Times New Roman"/>
          <w:sz w:val="24"/>
          <w:szCs w:val="24"/>
        </w:rPr>
        <w:t>93</w:t>
      </w:r>
      <w:r>
        <w:rPr>
          <w:rFonts w:cs="Times New Roman"/>
          <w:sz w:val="24"/>
          <w:szCs w:val="24"/>
        </w:rPr>
        <w:fldChar w:fldCharType="end"/>
      </w:r>
      <w:r>
        <w:rPr>
          <w:rFonts w:cs="Times New Roman"/>
          <w:sz w:val="24"/>
          <w:szCs w:val="24"/>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"_Toc90934898" </w:instrText>
      </w:r>
      <w:r>
        <w:rPr>
          <w:rFonts w:cs="Times New Roman"/>
          <w:sz w:val="24"/>
          <w:szCs w:val="24"/>
        </w:rPr>
        <w:fldChar w:fldCharType="separate"/>
      </w:r>
      <w:r>
        <w:rPr>
          <w:rStyle w:val="93"/>
          <w:rFonts w:ascii="Times New Roman" w:hAnsi="Times New Roman" w:eastAsia="宋体" w:cs="Times New Roman"/>
          <w:b w:val="0"/>
        </w:rPr>
        <w:t>11  后期扶持措施</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_Toc90934898 \h </w:instrText>
      </w:r>
      <w:r>
        <w:rPr>
          <w:rFonts w:eastAsia="宋体" w:cs="Times New Roman"/>
          <w:b w:val="0"/>
          <w:sz w:val="24"/>
          <w:szCs w:val="24"/>
        </w:rPr>
        <w:fldChar w:fldCharType="separate"/>
      </w:r>
      <w:r>
        <w:rPr>
          <w:rFonts w:eastAsia="宋体" w:cs="Times New Roman"/>
          <w:b w:val="0"/>
          <w:sz w:val="24"/>
          <w:szCs w:val="24"/>
        </w:rPr>
        <w:t>94</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"_Toc90934899" </w:instrText>
      </w:r>
      <w:r>
        <w:rPr>
          <w:rFonts w:cs="Times New Roman"/>
          <w:sz w:val="24"/>
          <w:szCs w:val="24"/>
        </w:rPr>
        <w:fldChar w:fldCharType="separate"/>
      </w:r>
      <w:r>
        <w:rPr>
          <w:rStyle w:val="93"/>
          <w:rFonts w:ascii="Times New Roman" w:hAnsi="Times New Roman" w:cs="Times New Roman"/>
        </w:rPr>
        <w:t>11.1  政策依据</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_Toc90934899 \h </w:instrText>
      </w:r>
      <w:r>
        <w:rPr>
          <w:rFonts w:cs="Times New Roman"/>
          <w:sz w:val="24"/>
          <w:szCs w:val="24"/>
        </w:rPr>
        <w:fldChar w:fldCharType="separate"/>
      </w:r>
      <w:r>
        <w:rPr>
          <w:rFonts w:cs="Times New Roman"/>
          <w:sz w:val="24"/>
          <w:szCs w:val="24"/>
        </w:rPr>
        <w:t>94</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"_Toc90934900" </w:instrText>
      </w:r>
      <w:r>
        <w:rPr>
          <w:rFonts w:cs="Times New Roman"/>
          <w:sz w:val="24"/>
          <w:szCs w:val="24"/>
        </w:rPr>
        <w:fldChar w:fldCharType="separate"/>
      </w:r>
      <w:r>
        <w:rPr>
          <w:rStyle w:val="93"/>
          <w:rFonts w:ascii="Times New Roman" w:hAnsi="Times New Roman" w:cs="Times New Roman"/>
        </w:rPr>
        <w:t>11.2  扶持范围</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_Toc90934900 \h </w:instrText>
      </w:r>
      <w:r>
        <w:rPr>
          <w:rFonts w:cs="Times New Roman"/>
          <w:sz w:val="24"/>
          <w:szCs w:val="24"/>
        </w:rPr>
        <w:fldChar w:fldCharType="separate"/>
      </w:r>
      <w:r>
        <w:rPr>
          <w:rFonts w:cs="Times New Roman"/>
          <w:sz w:val="24"/>
          <w:szCs w:val="24"/>
        </w:rPr>
        <w:t>94</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"_Toc90934901" </w:instrText>
      </w:r>
      <w:r>
        <w:rPr>
          <w:rFonts w:cs="Times New Roman"/>
          <w:sz w:val="24"/>
          <w:szCs w:val="24"/>
        </w:rPr>
        <w:fldChar w:fldCharType="separate"/>
      </w:r>
      <w:r>
        <w:rPr>
          <w:rStyle w:val="93"/>
          <w:rFonts w:ascii="Times New Roman" w:hAnsi="Times New Roman" w:cs="Times New Roman"/>
        </w:rPr>
        <w:t>11.3  扶持方式</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_Toc90934901 \h </w:instrText>
      </w:r>
      <w:r>
        <w:rPr>
          <w:rFonts w:cs="Times New Roman"/>
          <w:sz w:val="24"/>
          <w:szCs w:val="24"/>
        </w:rPr>
        <w:fldChar w:fldCharType="separate"/>
      </w:r>
      <w:r>
        <w:rPr>
          <w:rFonts w:cs="Times New Roman"/>
          <w:sz w:val="24"/>
          <w:szCs w:val="24"/>
        </w:rPr>
        <w:t>94</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"_Toc90934902" </w:instrText>
      </w:r>
      <w:r>
        <w:rPr>
          <w:rFonts w:cs="Times New Roman"/>
          <w:sz w:val="24"/>
          <w:szCs w:val="24"/>
        </w:rPr>
        <w:fldChar w:fldCharType="separate"/>
      </w:r>
      <w:r>
        <w:rPr>
          <w:rStyle w:val="93"/>
          <w:rFonts w:ascii="Times New Roman" w:hAnsi="Times New Roman" w:cs="Times New Roman"/>
        </w:rPr>
        <w:t>11.4  扶持标准</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_Toc90934902 \h </w:instrText>
      </w:r>
      <w:r>
        <w:rPr>
          <w:rFonts w:cs="Times New Roman"/>
          <w:sz w:val="24"/>
          <w:szCs w:val="24"/>
        </w:rPr>
        <w:fldChar w:fldCharType="separate"/>
      </w:r>
      <w:r>
        <w:rPr>
          <w:rFonts w:cs="Times New Roman"/>
          <w:sz w:val="24"/>
          <w:szCs w:val="24"/>
        </w:rPr>
        <w:t>94</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"_Toc90934903" </w:instrText>
      </w:r>
      <w:r>
        <w:rPr>
          <w:rFonts w:cs="Times New Roman"/>
          <w:sz w:val="24"/>
          <w:szCs w:val="24"/>
        </w:rPr>
        <w:fldChar w:fldCharType="separate"/>
      </w:r>
      <w:r>
        <w:rPr>
          <w:rStyle w:val="93"/>
          <w:rFonts w:ascii="Times New Roman" w:hAnsi="Times New Roman" w:cs="Times New Roman"/>
        </w:rPr>
        <w:t>11.5  扶持期限</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_Toc90934903 \h </w:instrText>
      </w:r>
      <w:r>
        <w:rPr>
          <w:rFonts w:cs="Times New Roman"/>
          <w:sz w:val="24"/>
          <w:szCs w:val="24"/>
        </w:rPr>
        <w:fldChar w:fldCharType="separate"/>
      </w:r>
      <w:r>
        <w:rPr>
          <w:rFonts w:cs="Times New Roman"/>
          <w:sz w:val="24"/>
          <w:szCs w:val="24"/>
        </w:rPr>
        <w:t>94</w:t>
      </w:r>
      <w:r>
        <w:rPr>
          <w:rFonts w:cs="Times New Roman"/>
          <w:sz w:val="24"/>
          <w:szCs w:val="24"/>
        </w:rPr>
        <w:fldChar w:fldCharType="end"/>
      </w:r>
      <w:r>
        <w:rPr>
          <w:rFonts w:cs="Times New Roman"/>
          <w:sz w:val="24"/>
          <w:szCs w:val="24"/>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"_Toc90934904" </w:instrText>
      </w:r>
      <w:r>
        <w:rPr>
          <w:rFonts w:cs="Times New Roman"/>
          <w:sz w:val="24"/>
          <w:szCs w:val="24"/>
        </w:rPr>
        <w:fldChar w:fldCharType="separate"/>
      </w:r>
      <w:r>
        <w:rPr>
          <w:rStyle w:val="93"/>
          <w:rFonts w:ascii="Times New Roman" w:hAnsi="Times New Roman" w:eastAsia="宋体" w:cs="Times New Roman"/>
          <w:b w:val="0"/>
        </w:rPr>
        <w:t>12  建设征地移民安置规划报告编制工作要求</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_Toc90934904 \h </w:instrText>
      </w:r>
      <w:r>
        <w:rPr>
          <w:rFonts w:eastAsia="宋体" w:cs="Times New Roman"/>
          <w:b w:val="0"/>
          <w:sz w:val="24"/>
          <w:szCs w:val="24"/>
        </w:rPr>
        <w:fldChar w:fldCharType="separate"/>
      </w:r>
      <w:r>
        <w:rPr>
          <w:rFonts w:eastAsia="宋体" w:cs="Times New Roman"/>
          <w:b w:val="0"/>
          <w:sz w:val="24"/>
          <w:szCs w:val="24"/>
        </w:rPr>
        <w:t>95</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"_Toc90934905" </w:instrText>
      </w:r>
      <w:r>
        <w:rPr>
          <w:rFonts w:cs="Times New Roman"/>
          <w:sz w:val="24"/>
          <w:szCs w:val="24"/>
        </w:rPr>
        <w:fldChar w:fldCharType="separate"/>
      </w:r>
      <w:r>
        <w:rPr>
          <w:rStyle w:val="93"/>
          <w:rFonts w:ascii="Times New Roman" w:hAnsi="Times New Roman" w:cs="Times New Roman"/>
        </w:rPr>
        <w:t>12.1  方法、程序</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_Toc90934905 \h </w:instrText>
      </w:r>
      <w:r>
        <w:rPr>
          <w:rFonts w:cs="Times New Roman"/>
          <w:sz w:val="24"/>
          <w:szCs w:val="24"/>
        </w:rPr>
        <w:fldChar w:fldCharType="separate"/>
      </w:r>
      <w:r>
        <w:rPr>
          <w:rFonts w:cs="Times New Roman"/>
          <w:sz w:val="24"/>
          <w:szCs w:val="24"/>
        </w:rPr>
        <w:t>95</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"_Toc90934906" </w:instrText>
      </w:r>
      <w:r>
        <w:rPr>
          <w:rFonts w:cs="Times New Roman"/>
          <w:sz w:val="24"/>
          <w:szCs w:val="24"/>
        </w:rPr>
        <w:fldChar w:fldCharType="separate"/>
      </w:r>
      <w:r>
        <w:rPr>
          <w:rStyle w:val="93"/>
          <w:rFonts w:ascii="Times New Roman" w:hAnsi="Times New Roman" w:cs="Times New Roman"/>
        </w:rPr>
        <w:t>12.2  编制内容</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_Toc90934906 \h </w:instrText>
      </w:r>
      <w:r>
        <w:rPr>
          <w:rFonts w:cs="Times New Roman"/>
          <w:sz w:val="24"/>
          <w:szCs w:val="24"/>
        </w:rPr>
        <w:fldChar w:fldCharType="separate"/>
      </w:r>
      <w:r>
        <w:rPr>
          <w:rFonts w:cs="Times New Roman"/>
          <w:sz w:val="24"/>
          <w:szCs w:val="24"/>
        </w:rPr>
        <w:t>97</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"_Toc90934907" </w:instrText>
      </w:r>
      <w:r>
        <w:rPr>
          <w:rFonts w:cs="Times New Roman"/>
          <w:sz w:val="24"/>
          <w:szCs w:val="24"/>
        </w:rPr>
        <w:fldChar w:fldCharType="separate"/>
      </w:r>
      <w:r>
        <w:rPr>
          <w:rStyle w:val="93"/>
          <w:rFonts w:ascii="Times New Roman" w:hAnsi="Times New Roman" w:cs="Times New Roman"/>
        </w:rPr>
        <w:t>12.3  编制依据</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_Toc90934907 \h </w:instrText>
      </w:r>
      <w:r>
        <w:rPr>
          <w:rFonts w:cs="Times New Roman"/>
          <w:sz w:val="24"/>
          <w:szCs w:val="24"/>
        </w:rPr>
        <w:fldChar w:fldCharType="separate"/>
      </w:r>
      <w:r>
        <w:rPr>
          <w:rFonts w:cs="Times New Roman"/>
          <w:sz w:val="24"/>
          <w:szCs w:val="24"/>
        </w:rPr>
        <w:t>97</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"_Toc90934908" </w:instrText>
      </w:r>
      <w:r>
        <w:rPr>
          <w:rFonts w:cs="Times New Roman"/>
          <w:sz w:val="24"/>
          <w:szCs w:val="24"/>
        </w:rPr>
        <w:fldChar w:fldCharType="separate"/>
      </w:r>
      <w:r>
        <w:rPr>
          <w:rStyle w:val="93"/>
          <w:rFonts w:ascii="Times New Roman" w:hAnsi="Times New Roman" w:cs="Times New Roman"/>
        </w:rPr>
        <w:t>12.4  农村移民安置规划设计</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_Toc90934908 \h </w:instrText>
      </w:r>
      <w:r>
        <w:rPr>
          <w:rFonts w:cs="Times New Roman"/>
          <w:sz w:val="24"/>
          <w:szCs w:val="24"/>
        </w:rPr>
        <w:fldChar w:fldCharType="separate"/>
      </w:r>
      <w:r>
        <w:rPr>
          <w:rFonts w:cs="Times New Roman"/>
          <w:sz w:val="24"/>
          <w:szCs w:val="24"/>
        </w:rPr>
        <w:t>99</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"_Toc90934909" </w:instrText>
      </w:r>
      <w:r>
        <w:rPr>
          <w:rFonts w:cs="Times New Roman"/>
          <w:sz w:val="24"/>
          <w:szCs w:val="24"/>
        </w:rPr>
        <w:fldChar w:fldCharType="separate"/>
      </w:r>
      <w:r>
        <w:rPr>
          <w:rStyle w:val="93"/>
          <w:rFonts w:ascii="Times New Roman" w:hAnsi="Times New Roman" w:cs="Times New Roman"/>
        </w:rPr>
        <w:t>12.5  专业项目规划设计</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_Toc90934909 \h </w:instrText>
      </w:r>
      <w:r>
        <w:rPr>
          <w:rFonts w:cs="Times New Roman"/>
          <w:sz w:val="24"/>
          <w:szCs w:val="24"/>
        </w:rPr>
        <w:fldChar w:fldCharType="separate"/>
      </w:r>
      <w:r>
        <w:rPr>
          <w:rFonts w:cs="Times New Roman"/>
          <w:sz w:val="24"/>
          <w:szCs w:val="24"/>
        </w:rPr>
        <w:t>100</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"_Toc90934910" </w:instrText>
      </w:r>
      <w:r>
        <w:rPr>
          <w:rFonts w:cs="Times New Roman"/>
          <w:sz w:val="24"/>
          <w:szCs w:val="24"/>
        </w:rPr>
        <w:fldChar w:fldCharType="separate"/>
      </w:r>
      <w:r>
        <w:rPr>
          <w:rStyle w:val="93"/>
          <w:rFonts w:ascii="Times New Roman" w:hAnsi="Times New Roman" w:cs="Times New Roman"/>
        </w:rPr>
        <w:t>12.6  临时用地复垦设计</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_Toc90934910 \h </w:instrText>
      </w:r>
      <w:r>
        <w:rPr>
          <w:rFonts w:cs="Times New Roman"/>
          <w:sz w:val="24"/>
          <w:szCs w:val="24"/>
        </w:rPr>
        <w:fldChar w:fldCharType="separate"/>
      </w:r>
      <w:r>
        <w:rPr>
          <w:rFonts w:cs="Times New Roman"/>
          <w:sz w:val="24"/>
          <w:szCs w:val="24"/>
        </w:rPr>
        <w:t>101</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"_Toc90934911" </w:instrText>
      </w:r>
      <w:r>
        <w:rPr>
          <w:rFonts w:cs="Times New Roman"/>
          <w:sz w:val="24"/>
          <w:szCs w:val="24"/>
        </w:rPr>
        <w:fldChar w:fldCharType="separate"/>
      </w:r>
      <w:r>
        <w:rPr>
          <w:rStyle w:val="93"/>
          <w:rFonts w:ascii="Times New Roman" w:hAnsi="Times New Roman" w:cs="Times New Roman"/>
        </w:rPr>
        <w:t>12.7  库底清理设计</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_Toc90934911 \h </w:instrText>
      </w:r>
      <w:r>
        <w:rPr>
          <w:rFonts w:cs="Times New Roman"/>
          <w:sz w:val="24"/>
          <w:szCs w:val="24"/>
        </w:rPr>
        <w:fldChar w:fldCharType="separate"/>
      </w:r>
      <w:r>
        <w:rPr>
          <w:rFonts w:cs="Times New Roman"/>
          <w:sz w:val="24"/>
          <w:szCs w:val="24"/>
        </w:rPr>
        <w:t>101</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"_Toc90934912" </w:instrText>
      </w:r>
      <w:r>
        <w:rPr>
          <w:rFonts w:cs="Times New Roman"/>
          <w:sz w:val="24"/>
          <w:szCs w:val="24"/>
        </w:rPr>
        <w:fldChar w:fldCharType="separate"/>
      </w:r>
      <w:r>
        <w:rPr>
          <w:rStyle w:val="93"/>
          <w:rFonts w:ascii="Times New Roman" w:hAnsi="Times New Roman" w:cs="Times New Roman"/>
        </w:rPr>
        <w:t>12.8  补偿费用概算</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_Toc90934912 \h </w:instrText>
      </w:r>
      <w:r>
        <w:rPr>
          <w:rFonts w:cs="Times New Roman"/>
          <w:sz w:val="24"/>
          <w:szCs w:val="24"/>
        </w:rPr>
        <w:fldChar w:fldCharType="separate"/>
      </w:r>
      <w:r>
        <w:rPr>
          <w:rFonts w:cs="Times New Roman"/>
          <w:sz w:val="24"/>
          <w:szCs w:val="24"/>
        </w:rPr>
        <w:t>101</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80" w:firstLineChars="200"/>
        <w:jc w:val="both"/>
        <w:rPr>
          <w:rFonts w:cs="Times New Roman"/>
          <w:smallCaps w:val="0"/>
          <w:sz w:val="24"/>
          <w:szCs w:val="24"/>
        </w:rPr>
      </w:pPr>
      <w:r>
        <w:rPr>
          <w:rFonts w:cs="Times New Roman"/>
          <w:sz w:val="24"/>
          <w:szCs w:val="24"/>
        </w:rPr>
        <w:fldChar w:fldCharType="begin"/>
      </w:r>
      <w:r>
        <w:rPr>
          <w:rFonts w:cs="Times New Roman"/>
          <w:sz w:val="24"/>
          <w:szCs w:val="24"/>
        </w:rPr>
        <w:instrText xml:space="preserve"> HYPERLINK \l "_Toc90934913" </w:instrText>
      </w:r>
      <w:r>
        <w:rPr>
          <w:rFonts w:cs="Times New Roman"/>
          <w:sz w:val="24"/>
          <w:szCs w:val="24"/>
        </w:rPr>
        <w:fldChar w:fldCharType="separate"/>
      </w:r>
      <w:r>
        <w:rPr>
          <w:rStyle w:val="93"/>
          <w:rFonts w:ascii="Times New Roman" w:hAnsi="Times New Roman" w:cs="Times New Roman"/>
        </w:rPr>
        <w:t>12.9  报告编制时间和计划安排</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_Toc90934913 \h </w:instrText>
      </w:r>
      <w:r>
        <w:rPr>
          <w:rFonts w:cs="Times New Roman"/>
          <w:sz w:val="24"/>
          <w:szCs w:val="24"/>
        </w:rPr>
        <w:fldChar w:fldCharType="separate"/>
      </w:r>
      <w:r>
        <w:rPr>
          <w:rFonts w:cs="Times New Roman"/>
          <w:sz w:val="24"/>
          <w:szCs w:val="24"/>
        </w:rPr>
        <w:t>104</w:t>
      </w:r>
      <w:r>
        <w:rPr>
          <w:rFonts w:cs="Times New Roman"/>
          <w:sz w:val="24"/>
          <w:szCs w:val="24"/>
        </w:rPr>
        <w:fldChar w:fldCharType="end"/>
      </w:r>
      <w:r>
        <w:rPr>
          <w:rFonts w:cs="Times New Roman"/>
          <w:sz w:val="24"/>
          <w:szCs w:val="24"/>
        </w:rPr>
        <w:fldChar w:fldCharType="end"/>
      </w:r>
    </w:p>
    <w:p>
      <w:pPr>
        <w:pStyle w:val="53"/>
        <w:tabs>
          <w:tab w:val="right" w:leader="dot" w:pos="8766"/>
        </w:tabs>
        <w:adjustRightInd w:val="0"/>
        <w:snapToGrid w:val="0"/>
        <w:spacing w:before="0" w:after="0" w:line="460" w:lineRule="exact"/>
        <w:jc w:val="both"/>
        <w:rPr>
          <w:rFonts w:eastAsia="宋体" w:cs="Times New Roman"/>
          <w:b w:val="0"/>
          <w:bCs w:val="0"/>
          <w:caps w:val="0"/>
          <w:sz w:val="24"/>
          <w:szCs w:val="24"/>
        </w:rPr>
      </w:pPr>
      <w:r>
        <w:rPr>
          <w:rFonts w:cs="Times New Roman"/>
          <w:sz w:val="24"/>
          <w:szCs w:val="24"/>
        </w:rPr>
        <w:fldChar w:fldCharType="begin"/>
      </w:r>
      <w:r>
        <w:rPr>
          <w:rFonts w:cs="Times New Roman"/>
          <w:sz w:val="24"/>
          <w:szCs w:val="24"/>
        </w:rPr>
        <w:instrText xml:space="preserve"> HYPERLINK \l "_Toc90934915" </w:instrText>
      </w:r>
      <w:r>
        <w:rPr>
          <w:rFonts w:cs="Times New Roman"/>
          <w:sz w:val="24"/>
          <w:szCs w:val="24"/>
        </w:rPr>
        <w:fldChar w:fldCharType="separate"/>
      </w:r>
      <w:r>
        <w:rPr>
          <w:rStyle w:val="93"/>
          <w:rFonts w:ascii="Times New Roman" w:hAnsi="Times New Roman" w:eastAsia="宋体" w:cs="Times New Roman"/>
          <w:b w:val="0"/>
        </w:rPr>
        <w:t>附文：</w:t>
      </w:r>
      <w:r>
        <w:rPr>
          <w:rFonts w:eastAsia="宋体" w:cs="Times New Roman"/>
          <w:b w:val="0"/>
          <w:sz w:val="24"/>
          <w:szCs w:val="24"/>
        </w:rPr>
        <w:tab/>
      </w:r>
      <w:r>
        <w:rPr>
          <w:rFonts w:eastAsia="宋体" w:cs="Times New Roman"/>
          <w:b w:val="0"/>
          <w:sz w:val="24"/>
          <w:szCs w:val="24"/>
        </w:rPr>
        <w:fldChar w:fldCharType="begin"/>
      </w:r>
      <w:r>
        <w:rPr>
          <w:rFonts w:eastAsia="宋体" w:cs="Times New Roman"/>
          <w:b w:val="0"/>
          <w:sz w:val="24"/>
          <w:szCs w:val="24"/>
        </w:rPr>
        <w:instrText xml:space="preserve"> PAGEREF _Toc90934915 \h </w:instrText>
      </w:r>
      <w:r>
        <w:rPr>
          <w:rFonts w:eastAsia="宋体" w:cs="Times New Roman"/>
          <w:b w:val="0"/>
          <w:sz w:val="24"/>
          <w:szCs w:val="24"/>
        </w:rPr>
        <w:fldChar w:fldCharType="separate"/>
      </w:r>
      <w:r>
        <w:rPr>
          <w:rFonts w:eastAsia="宋体" w:cs="Times New Roman"/>
          <w:b w:val="0"/>
          <w:sz w:val="24"/>
          <w:szCs w:val="24"/>
        </w:rPr>
        <w:t>106</w:t>
      </w:r>
      <w:r>
        <w:rPr>
          <w:rFonts w:eastAsia="宋体" w:cs="Times New Roman"/>
          <w:b w:val="0"/>
          <w:sz w:val="24"/>
          <w:szCs w:val="24"/>
        </w:rPr>
        <w:fldChar w:fldCharType="end"/>
      </w:r>
      <w:r>
        <w:rPr>
          <w:rFonts w:eastAsia="宋体" w:cs="Times New Roman"/>
          <w:b w:val="0"/>
          <w:sz w:val="24"/>
          <w:szCs w:val="24"/>
        </w:rPr>
        <w:fldChar w:fldCharType="end"/>
      </w:r>
    </w:p>
    <w:p>
      <w:pPr>
        <w:pStyle w:val="66"/>
        <w:tabs>
          <w:tab w:val="right" w:leader="dot" w:pos="8766"/>
        </w:tabs>
        <w:adjustRightInd w:val="0"/>
        <w:snapToGrid w:val="0"/>
        <w:spacing w:line="460" w:lineRule="exact"/>
        <w:ind w:left="0" w:firstLine="400" w:firstLineChars="200"/>
        <w:jc w:val="both"/>
        <w:rPr>
          <w:rFonts w:cs="Times New Roman"/>
          <w:smallCaps w:val="0"/>
          <w:sz w:val="24"/>
          <w:szCs w:val="24"/>
        </w:rPr>
      </w:pPr>
      <w:r>
        <w:fldChar w:fldCharType="begin"/>
      </w:r>
      <w:r>
        <w:instrText xml:space="preserve"> HYPERLINK \l "_Toc90934916" </w:instrText>
      </w:r>
      <w:r>
        <w:fldChar w:fldCharType="separate"/>
      </w:r>
      <w:r>
        <w:rPr>
          <w:rStyle w:val="93"/>
          <w:rFonts w:ascii="Times New Roman" w:hAnsi="Times New Roman" w:cs="Times New Roman"/>
        </w:rPr>
        <w:t>1  关于印送《广东省陆河抽水蓄能电站可行性研究阶段正常蓄水位选择专题报告审查意见》的函</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_Toc90934916 \h </w:instrText>
      </w:r>
      <w:r>
        <w:rPr>
          <w:rFonts w:cs="Times New Roman"/>
          <w:sz w:val="24"/>
          <w:szCs w:val="24"/>
        </w:rPr>
        <w:fldChar w:fldCharType="separate"/>
      </w:r>
      <w:r>
        <w:rPr>
          <w:rFonts w:cs="Times New Roman"/>
          <w:sz w:val="24"/>
          <w:szCs w:val="24"/>
        </w:rPr>
        <w:t>106</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00" w:firstLineChars="200"/>
        <w:jc w:val="both"/>
        <w:rPr>
          <w:rFonts w:cs="Times New Roman"/>
          <w:smallCaps w:val="0"/>
          <w:sz w:val="24"/>
          <w:szCs w:val="24"/>
        </w:rPr>
      </w:pPr>
      <w:r>
        <w:fldChar w:fldCharType="begin"/>
      </w:r>
      <w:r>
        <w:instrText xml:space="preserve"> HYPERLINK \l "_Toc90934917" </w:instrText>
      </w:r>
      <w:r>
        <w:fldChar w:fldCharType="separate"/>
      </w:r>
      <w:r>
        <w:rPr>
          <w:rStyle w:val="93"/>
          <w:rFonts w:ascii="Times New Roman" w:hAnsi="Times New Roman" w:cs="Times New Roman"/>
        </w:rPr>
        <w:t>2  关于印发《广东陆河抽水蓄能电站可行性研究阶段施工总布置规划专题报告审查意见》的函</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_Toc90934917 \h </w:instrText>
      </w:r>
      <w:r>
        <w:rPr>
          <w:rFonts w:cs="Times New Roman"/>
          <w:sz w:val="24"/>
          <w:szCs w:val="24"/>
        </w:rPr>
        <w:fldChar w:fldCharType="separate"/>
      </w:r>
      <w:r>
        <w:rPr>
          <w:rFonts w:cs="Times New Roman"/>
          <w:sz w:val="24"/>
          <w:szCs w:val="24"/>
        </w:rPr>
        <w:t>119</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00" w:firstLineChars="200"/>
        <w:jc w:val="both"/>
        <w:rPr>
          <w:rFonts w:cs="Times New Roman"/>
          <w:smallCaps w:val="0"/>
          <w:sz w:val="24"/>
          <w:szCs w:val="24"/>
        </w:rPr>
      </w:pPr>
      <w:r>
        <w:fldChar w:fldCharType="begin"/>
      </w:r>
      <w:r>
        <w:instrText xml:space="preserve"> HYPERLINK \l "_Toc90934918" </w:instrText>
      </w:r>
      <w:r>
        <w:fldChar w:fldCharType="separate"/>
      </w:r>
      <w:r>
        <w:rPr>
          <w:rStyle w:val="93"/>
          <w:rFonts w:ascii="Times New Roman" w:hAnsi="Times New Roman" w:cs="Times New Roman"/>
        </w:rPr>
        <w:t>3  《陆河县人民政府关于印发广东陆河抽水蓄能电站项目建设征地实物指标调查细则的通知》(陆河府函〔2021〕172号)</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_Toc90934918 \h </w:instrText>
      </w:r>
      <w:r>
        <w:rPr>
          <w:rFonts w:cs="Times New Roman"/>
          <w:sz w:val="24"/>
          <w:szCs w:val="24"/>
        </w:rPr>
        <w:fldChar w:fldCharType="separate"/>
      </w:r>
      <w:r>
        <w:rPr>
          <w:rFonts w:cs="Times New Roman"/>
          <w:sz w:val="24"/>
          <w:szCs w:val="24"/>
        </w:rPr>
        <w:t>133</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00" w:firstLineChars="200"/>
        <w:jc w:val="both"/>
        <w:rPr>
          <w:rFonts w:cs="Times New Roman"/>
          <w:smallCaps w:val="0"/>
          <w:sz w:val="24"/>
          <w:szCs w:val="24"/>
        </w:rPr>
      </w:pPr>
      <w:r>
        <w:fldChar w:fldCharType="begin"/>
      </w:r>
      <w:r>
        <w:instrText xml:space="preserve"> HYPERLINK \l "_Toc90934919" </w:instrText>
      </w:r>
      <w:r>
        <w:fldChar w:fldCharType="separate"/>
      </w:r>
      <w:r>
        <w:rPr>
          <w:rStyle w:val="93"/>
          <w:rFonts w:ascii="Times New Roman" w:hAnsi="Times New Roman" w:cs="Times New Roman"/>
        </w:rPr>
        <w:t>4  《广东省人民政府关于禁止在广东陆河抽水 蓄能电站项目工程占地及淹没区新增 建设项目和迁入人口的通告》(粤府函〔2021〕368号)</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_Toc90934919 \h </w:instrText>
      </w:r>
      <w:r>
        <w:rPr>
          <w:rFonts w:cs="Times New Roman"/>
          <w:sz w:val="24"/>
          <w:szCs w:val="24"/>
        </w:rPr>
        <w:fldChar w:fldCharType="separate"/>
      </w:r>
      <w:r>
        <w:rPr>
          <w:rFonts w:cs="Times New Roman"/>
          <w:sz w:val="24"/>
          <w:szCs w:val="24"/>
        </w:rPr>
        <w:t>135</w:t>
      </w:r>
      <w:r>
        <w:rPr>
          <w:rFonts w:cs="Times New Roman"/>
          <w:sz w:val="24"/>
          <w:szCs w:val="24"/>
        </w:rPr>
        <w:fldChar w:fldCharType="end"/>
      </w:r>
      <w:r>
        <w:rPr>
          <w:rFonts w:cs="Times New Roman"/>
          <w:sz w:val="24"/>
          <w:szCs w:val="24"/>
        </w:rPr>
        <w:fldChar w:fldCharType="end"/>
      </w:r>
    </w:p>
    <w:p>
      <w:pPr>
        <w:pStyle w:val="66"/>
        <w:tabs>
          <w:tab w:val="right" w:leader="dot" w:pos="8766"/>
        </w:tabs>
        <w:adjustRightInd w:val="0"/>
        <w:snapToGrid w:val="0"/>
        <w:spacing w:line="460" w:lineRule="exact"/>
        <w:ind w:left="0" w:firstLine="400" w:firstLineChars="200"/>
        <w:jc w:val="both"/>
        <w:rPr>
          <w:rFonts w:cs="Times New Roman"/>
          <w:smallCaps w:val="0"/>
          <w:spacing w:val="-6"/>
          <w:sz w:val="24"/>
          <w:szCs w:val="24"/>
        </w:rPr>
      </w:pPr>
      <w:r>
        <w:fldChar w:fldCharType="begin"/>
      </w:r>
      <w:r>
        <w:instrText xml:space="preserve"> HYPERLINK \l "_Toc90934920" </w:instrText>
      </w:r>
      <w:r>
        <w:fldChar w:fldCharType="separate"/>
      </w:r>
      <w:r>
        <w:rPr>
          <w:rStyle w:val="93"/>
          <w:rFonts w:ascii="Times New Roman" w:hAnsi="Times New Roman" w:cs="Times New Roman"/>
          <w:spacing w:val="-6"/>
        </w:rPr>
        <w:t>5  关于广东陆河抽水蓄能电站项目用地范围文物考古调查勘探已完成的通知</w:t>
      </w:r>
      <w:r>
        <w:rPr>
          <w:rFonts w:cs="Times New Roman"/>
          <w:spacing w:val="-6"/>
          <w:sz w:val="24"/>
          <w:szCs w:val="24"/>
        </w:rPr>
        <w:tab/>
      </w:r>
      <w:r>
        <w:rPr>
          <w:rFonts w:cs="Times New Roman"/>
          <w:spacing w:val="-6"/>
          <w:sz w:val="24"/>
          <w:szCs w:val="24"/>
        </w:rPr>
        <w:fldChar w:fldCharType="begin"/>
      </w:r>
      <w:r>
        <w:rPr>
          <w:rFonts w:cs="Times New Roman"/>
          <w:spacing w:val="-6"/>
          <w:sz w:val="24"/>
          <w:szCs w:val="24"/>
        </w:rPr>
        <w:instrText xml:space="preserve"> PAGEREF _Toc90934920 \h </w:instrText>
      </w:r>
      <w:r>
        <w:rPr>
          <w:rFonts w:cs="Times New Roman"/>
          <w:spacing w:val="-6"/>
          <w:sz w:val="24"/>
          <w:szCs w:val="24"/>
        </w:rPr>
        <w:fldChar w:fldCharType="separate"/>
      </w:r>
      <w:r>
        <w:rPr>
          <w:rFonts w:cs="Times New Roman"/>
          <w:spacing w:val="-6"/>
          <w:sz w:val="24"/>
          <w:szCs w:val="24"/>
        </w:rPr>
        <w:t>140</w:t>
      </w:r>
      <w:r>
        <w:rPr>
          <w:rFonts w:cs="Times New Roman"/>
          <w:spacing w:val="-6"/>
          <w:sz w:val="24"/>
          <w:szCs w:val="24"/>
        </w:rPr>
        <w:fldChar w:fldCharType="end"/>
      </w:r>
      <w:r>
        <w:rPr>
          <w:rFonts w:cs="Times New Roman"/>
          <w:spacing w:val="-6"/>
          <w:sz w:val="24"/>
          <w:szCs w:val="24"/>
        </w:rPr>
        <w:fldChar w:fldCharType="end"/>
      </w:r>
    </w:p>
    <w:p>
      <w:pPr>
        <w:pStyle w:val="66"/>
        <w:tabs>
          <w:tab w:val="right" w:leader="dot" w:pos="8766"/>
        </w:tabs>
        <w:adjustRightInd w:val="0"/>
        <w:snapToGrid w:val="0"/>
        <w:spacing w:line="460" w:lineRule="exact"/>
        <w:ind w:left="0" w:firstLine="400" w:firstLineChars="200"/>
        <w:jc w:val="both"/>
        <w:rPr>
          <w:rFonts w:cs="Times New Roman"/>
          <w:smallCaps w:val="0"/>
          <w:sz w:val="24"/>
          <w:szCs w:val="24"/>
        </w:rPr>
      </w:pPr>
      <w:r>
        <w:fldChar w:fldCharType="begin"/>
      </w:r>
      <w:r>
        <w:instrText xml:space="preserve"> HYPERLINK \l "_Toc90934921" </w:instrText>
      </w:r>
      <w:r>
        <w:fldChar w:fldCharType="separate"/>
      </w:r>
      <w:r>
        <w:rPr>
          <w:rStyle w:val="93"/>
          <w:rFonts w:ascii="Times New Roman" w:hAnsi="Times New Roman" w:cs="Times New Roman"/>
        </w:rPr>
        <w:t>6  关于广东陆河抽水蓄能电站项目用地是否压覆矿产资源的复函</w:t>
      </w:r>
      <w:r>
        <w:rPr>
          <w:rFonts w:cs="Times New Roman"/>
          <w:sz w:val="24"/>
          <w:szCs w:val="24"/>
        </w:rPr>
        <w:tab/>
      </w:r>
      <w:r>
        <w:rPr>
          <w:rFonts w:cs="Times New Roman"/>
          <w:sz w:val="24"/>
          <w:szCs w:val="24"/>
        </w:rPr>
        <w:fldChar w:fldCharType="begin"/>
      </w:r>
      <w:r>
        <w:rPr>
          <w:rFonts w:cs="Times New Roman"/>
          <w:sz w:val="24"/>
          <w:szCs w:val="24"/>
        </w:rPr>
        <w:instrText xml:space="preserve"> PAGEREF _Toc90934921 \h </w:instrText>
      </w:r>
      <w:r>
        <w:rPr>
          <w:rFonts w:cs="Times New Roman"/>
          <w:sz w:val="24"/>
          <w:szCs w:val="24"/>
        </w:rPr>
        <w:fldChar w:fldCharType="separate"/>
      </w:r>
      <w:r>
        <w:rPr>
          <w:rFonts w:cs="Times New Roman"/>
          <w:sz w:val="24"/>
          <w:szCs w:val="24"/>
        </w:rPr>
        <w:t>142</w:t>
      </w:r>
      <w:r>
        <w:rPr>
          <w:rFonts w:cs="Times New Roman"/>
          <w:sz w:val="24"/>
          <w:szCs w:val="24"/>
        </w:rPr>
        <w:fldChar w:fldCharType="end"/>
      </w:r>
      <w:r>
        <w:rPr>
          <w:rFonts w:cs="Times New Roman"/>
          <w:sz w:val="24"/>
          <w:szCs w:val="24"/>
        </w:rPr>
        <w:fldChar w:fldCharType="end"/>
      </w:r>
    </w:p>
    <w:p>
      <w:pPr>
        <w:pStyle w:val="53"/>
        <w:tabs>
          <w:tab w:val="right" w:leader="dot" w:pos="8766"/>
        </w:tabs>
        <w:adjustRightInd w:val="0"/>
        <w:snapToGrid w:val="0"/>
        <w:spacing w:before="0" w:after="0" w:line="460" w:lineRule="exact"/>
        <w:ind w:firstLine="480" w:firstLineChars="200"/>
        <w:jc w:val="both"/>
      </w:pPr>
      <w:r>
        <w:rPr>
          <w:rStyle w:val="93"/>
          <w:rFonts w:ascii="Times New Roman" w:hAnsi="Times New Roman" w:cs="Times New Roman"/>
          <w:b w:val="0"/>
          <w:color w:val="auto"/>
        </w:rPr>
        <w:fldChar w:fldCharType="end"/>
      </w:r>
      <w:bookmarkEnd w:id="0"/>
    </w:p>
    <w:p>
      <w:pPr>
        <w:overflowPunct w:val="0"/>
        <w:autoSpaceDE w:val="0"/>
        <w:autoSpaceDN w:val="0"/>
        <w:snapToGrid w:val="0"/>
        <w:spacing w:before="120" w:beforeLines="50" w:line="460" w:lineRule="exact"/>
        <w:rPr>
          <w:rFonts w:eastAsia="黑体"/>
          <w:sz w:val="24"/>
          <w:szCs w:val="28"/>
        </w:rPr>
      </w:pPr>
      <w:r>
        <w:rPr>
          <w:rFonts w:hAnsi="黑体" w:eastAsia="黑体"/>
          <w:sz w:val="24"/>
          <w:szCs w:val="28"/>
        </w:rPr>
        <w:t>附</w:t>
      </w:r>
      <w:r>
        <w:rPr>
          <w:rFonts w:eastAsia="黑体"/>
          <w:sz w:val="24"/>
          <w:szCs w:val="28"/>
        </w:rPr>
        <w:t xml:space="preserve">  </w:t>
      </w:r>
      <w:r>
        <w:rPr>
          <w:rFonts w:hAnsi="黑体" w:eastAsia="黑体"/>
          <w:sz w:val="24"/>
          <w:szCs w:val="28"/>
        </w:rPr>
        <w:t>件：</w:t>
      </w:r>
    </w:p>
    <w:p>
      <w:pPr>
        <w:overflowPunct w:val="0"/>
        <w:autoSpaceDE w:val="0"/>
        <w:autoSpaceDN w:val="0"/>
        <w:snapToGrid w:val="0"/>
        <w:spacing w:line="460" w:lineRule="exact"/>
        <w:ind w:firstLine="480" w:firstLineChars="200"/>
        <w:rPr>
          <w:kern w:val="0"/>
          <w:sz w:val="24"/>
        </w:rPr>
      </w:pPr>
      <w:r>
        <w:rPr>
          <w:kern w:val="0"/>
          <w:sz w:val="24"/>
        </w:rPr>
        <w:t>附件1：《</w:t>
      </w:r>
      <w:r>
        <w:rPr>
          <w:rFonts w:hint="eastAsia"/>
          <w:kern w:val="0"/>
          <w:sz w:val="24"/>
        </w:rPr>
        <w:t>广东陆河</w:t>
      </w:r>
      <w:r>
        <w:rPr>
          <w:kern w:val="0"/>
          <w:sz w:val="24"/>
        </w:rPr>
        <w:t>抽水蓄能电站建设征地实物指标调查报告》</w:t>
      </w:r>
    </w:p>
    <w:p>
      <w:pPr>
        <w:overflowPunct w:val="0"/>
        <w:autoSpaceDE w:val="0"/>
        <w:autoSpaceDN w:val="0"/>
        <w:snapToGrid w:val="0"/>
        <w:spacing w:before="120" w:beforeLines="50" w:line="460" w:lineRule="exact"/>
        <w:rPr>
          <w:rFonts w:eastAsia="黑体"/>
          <w:sz w:val="24"/>
          <w:szCs w:val="28"/>
        </w:rPr>
      </w:pPr>
      <w:r>
        <w:rPr>
          <w:rFonts w:hAnsi="黑体" w:eastAsia="黑体"/>
          <w:sz w:val="24"/>
          <w:szCs w:val="28"/>
        </w:rPr>
        <w:t>附</w:t>
      </w:r>
      <w:r>
        <w:rPr>
          <w:rFonts w:eastAsia="黑体"/>
          <w:sz w:val="24"/>
          <w:szCs w:val="28"/>
        </w:rPr>
        <w:t xml:space="preserve">  </w:t>
      </w:r>
      <w:r>
        <w:rPr>
          <w:rFonts w:hAnsi="黑体" w:eastAsia="黑体"/>
          <w:sz w:val="24"/>
          <w:szCs w:val="28"/>
        </w:rPr>
        <w:t>图：</w:t>
      </w:r>
    </w:p>
    <w:p>
      <w:pPr>
        <w:overflowPunct w:val="0"/>
        <w:autoSpaceDE w:val="0"/>
        <w:autoSpaceDN w:val="0"/>
        <w:snapToGrid w:val="0"/>
        <w:spacing w:line="460" w:lineRule="exact"/>
        <w:ind w:firstLine="480" w:firstLineChars="200"/>
        <w:rPr>
          <w:kern w:val="0"/>
          <w:sz w:val="24"/>
        </w:rPr>
      </w:pPr>
      <w:r>
        <w:rPr>
          <w:rFonts w:hint="eastAsia"/>
          <w:kern w:val="0"/>
          <w:sz w:val="24"/>
        </w:rPr>
        <w:t>附图</w:t>
      </w:r>
      <w:r>
        <w:rPr>
          <w:kern w:val="0"/>
          <w:sz w:val="24"/>
        </w:rPr>
        <w:t>1</w:t>
      </w:r>
      <w:r>
        <w:rPr>
          <w:rFonts w:hint="eastAsia"/>
          <w:kern w:val="0"/>
          <w:sz w:val="24"/>
        </w:rPr>
        <w:t>：陆河抽水蓄能电站建设征地范围示意图；</w:t>
      </w:r>
    </w:p>
    <w:p>
      <w:pPr>
        <w:overflowPunct w:val="0"/>
        <w:autoSpaceDE w:val="0"/>
        <w:autoSpaceDN w:val="0"/>
        <w:snapToGrid w:val="0"/>
        <w:spacing w:line="460" w:lineRule="exact"/>
        <w:ind w:firstLine="480" w:firstLineChars="200"/>
        <w:rPr>
          <w:kern w:val="0"/>
          <w:sz w:val="24"/>
        </w:rPr>
      </w:pPr>
      <w:r>
        <w:rPr>
          <w:rFonts w:hint="eastAsia"/>
          <w:kern w:val="0"/>
          <w:sz w:val="24"/>
        </w:rPr>
        <w:t>附图</w:t>
      </w:r>
      <w:r>
        <w:rPr>
          <w:kern w:val="0"/>
          <w:sz w:val="24"/>
        </w:rPr>
        <w:t>2</w:t>
      </w:r>
      <w:r>
        <w:rPr>
          <w:rFonts w:hint="eastAsia"/>
          <w:kern w:val="0"/>
          <w:sz w:val="24"/>
        </w:rPr>
        <w:t>：陆河抽水蓄能电站库区交通复建总体规划示意图；</w:t>
      </w:r>
    </w:p>
    <w:p>
      <w:pPr>
        <w:overflowPunct w:val="0"/>
        <w:autoSpaceDE w:val="0"/>
        <w:autoSpaceDN w:val="0"/>
        <w:snapToGrid w:val="0"/>
        <w:spacing w:line="460" w:lineRule="exact"/>
        <w:ind w:firstLine="480" w:firstLineChars="200"/>
        <w:rPr>
          <w:kern w:val="0"/>
          <w:sz w:val="24"/>
        </w:rPr>
      </w:pPr>
      <w:r>
        <w:rPr>
          <w:rFonts w:hint="eastAsia"/>
          <w:kern w:val="0"/>
          <w:sz w:val="24"/>
        </w:rPr>
        <w:t>附图</w:t>
      </w:r>
      <w:r>
        <w:rPr>
          <w:kern w:val="0"/>
          <w:sz w:val="24"/>
        </w:rPr>
        <w:t>3</w:t>
      </w:r>
      <w:r>
        <w:rPr>
          <w:rFonts w:hint="eastAsia"/>
          <w:kern w:val="0"/>
          <w:sz w:val="24"/>
        </w:rPr>
        <w:t>：陆河抽水蓄能电站工程建设征地水利专项影响示意图；</w:t>
      </w:r>
    </w:p>
    <w:p>
      <w:pPr>
        <w:overflowPunct w:val="0"/>
        <w:autoSpaceDE w:val="0"/>
        <w:autoSpaceDN w:val="0"/>
        <w:snapToGrid w:val="0"/>
        <w:spacing w:line="460" w:lineRule="exact"/>
        <w:ind w:firstLine="480" w:firstLineChars="200"/>
        <w:rPr>
          <w:kern w:val="0"/>
          <w:sz w:val="24"/>
        </w:rPr>
      </w:pPr>
      <w:r>
        <w:rPr>
          <w:rFonts w:hint="eastAsia"/>
          <w:kern w:val="0"/>
          <w:sz w:val="24"/>
        </w:rPr>
        <w:t>附图</w:t>
      </w:r>
      <w:r>
        <w:rPr>
          <w:kern w:val="0"/>
          <w:sz w:val="24"/>
        </w:rPr>
        <w:t>4</w:t>
      </w:r>
      <w:r>
        <w:rPr>
          <w:rFonts w:hint="eastAsia"/>
          <w:kern w:val="0"/>
          <w:sz w:val="24"/>
        </w:rPr>
        <w:t>：陆河抽水蓄能电站影响电力设施复建规划路径图；</w:t>
      </w:r>
    </w:p>
    <w:p>
      <w:pPr>
        <w:overflowPunct w:val="0"/>
        <w:autoSpaceDE w:val="0"/>
        <w:autoSpaceDN w:val="0"/>
        <w:snapToGrid w:val="0"/>
        <w:spacing w:line="460" w:lineRule="exact"/>
        <w:ind w:firstLine="480" w:firstLineChars="200"/>
        <w:rPr>
          <w:kern w:val="0"/>
          <w:sz w:val="24"/>
        </w:rPr>
      </w:pPr>
      <w:r>
        <w:rPr>
          <w:rFonts w:hint="eastAsia"/>
          <w:kern w:val="0"/>
          <w:sz w:val="24"/>
        </w:rPr>
        <w:t>附图</w:t>
      </w:r>
      <w:r>
        <w:rPr>
          <w:kern w:val="0"/>
          <w:sz w:val="24"/>
        </w:rPr>
        <w:t>5</w:t>
      </w:r>
      <w:r>
        <w:rPr>
          <w:rFonts w:hint="eastAsia"/>
          <w:kern w:val="0"/>
          <w:sz w:val="24"/>
        </w:rPr>
        <w:t>：陆河抽水蓄能电站临时用地土地利用现状地类示意图；</w:t>
      </w:r>
    </w:p>
    <w:p>
      <w:pPr>
        <w:overflowPunct w:val="0"/>
        <w:autoSpaceDE w:val="0"/>
        <w:autoSpaceDN w:val="0"/>
        <w:snapToGrid w:val="0"/>
        <w:spacing w:line="460" w:lineRule="exact"/>
        <w:ind w:firstLine="480" w:firstLineChars="200"/>
        <w:rPr>
          <w:sz w:val="24"/>
          <w:highlight w:val="yellow"/>
        </w:rPr>
      </w:pPr>
      <w:r>
        <w:rPr>
          <w:rFonts w:hint="eastAsia"/>
          <w:kern w:val="0"/>
          <w:sz w:val="24"/>
        </w:rPr>
        <w:t>附图</w:t>
      </w:r>
      <w:r>
        <w:rPr>
          <w:kern w:val="0"/>
          <w:sz w:val="24"/>
        </w:rPr>
        <w:t>6</w:t>
      </w:r>
      <w:r>
        <w:rPr>
          <w:rFonts w:hint="eastAsia"/>
          <w:kern w:val="0"/>
          <w:sz w:val="24"/>
        </w:rPr>
        <w:t>：陆河抽水蓄能电站临时用地复垦规划地类示意图。</w:t>
      </w:r>
    </w:p>
    <w:p>
      <w:pPr>
        <w:ind w:firstLine="480" w:firstLineChars="200"/>
        <w:rPr>
          <w:sz w:val="24"/>
          <w:highlight w:val="yellow"/>
        </w:rPr>
        <w:sectPr>
          <w:footerReference r:id="rId4" w:type="default"/>
          <w:pgSz w:w="11906" w:h="16838"/>
          <w:pgMar w:top="1588" w:right="1565" w:bottom="1531" w:left="1565" w:header="1134" w:footer="1247" w:gutter="0"/>
          <w:pgNumType w:fmt="upperRoman" w:start="1"/>
          <w:cols w:space="720" w:num="1"/>
          <w:docGrid w:linePitch="312" w:charSpace="0"/>
        </w:sectPr>
      </w:pPr>
    </w:p>
    <w:p>
      <w:pPr>
        <w:ind w:firstLine="420" w:firstLineChars="200"/>
        <w:rPr>
          <w:highlight w:val="red"/>
        </w:rPr>
        <w:sectPr>
          <w:footerReference r:id="rId5" w:type="default"/>
          <w:pgSz w:w="11906" w:h="16838"/>
          <w:pgMar w:top="1588" w:right="1565" w:bottom="1531" w:left="1565" w:header="1134" w:footer="1247" w:gutter="0"/>
          <w:pgNumType w:fmt="upperRoman" w:start="1"/>
          <w:cols w:space="720" w:num="1"/>
          <w:docGrid w:linePitch="312" w:charSpace="0"/>
        </w:sectPr>
      </w:pPr>
    </w:p>
    <w:p>
      <w:pPr>
        <w:pStyle w:val="2"/>
        <w:rPr>
          <w:kern w:val="2"/>
        </w:rPr>
      </w:pPr>
      <w:bookmarkStart w:id="1" w:name="_Toc85660191"/>
      <w:bookmarkStart w:id="2" w:name="_Toc90934855"/>
      <w:bookmarkStart w:id="3" w:name="_Toc8156"/>
      <w:bookmarkStart w:id="4" w:name="_Toc86265064"/>
      <w:bookmarkStart w:id="5" w:name="_Toc85487668"/>
      <w:bookmarkStart w:id="6" w:name="_Toc25229"/>
      <w:bookmarkStart w:id="7" w:name="_Hlk85995623"/>
      <w:r>
        <w:rPr>
          <w:kern w:val="2"/>
        </w:rPr>
        <w:t>1  前言</w:t>
      </w:r>
      <w:bookmarkEnd w:id="1"/>
      <w:bookmarkEnd w:id="2"/>
      <w:bookmarkEnd w:id="3"/>
      <w:bookmarkEnd w:id="4"/>
      <w:bookmarkEnd w:id="5"/>
      <w:bookmarkEnd w:id="6"/>
    </w:p>
    <w:bookmarkEnd w:id="7"/>
    <w:p>
      <w:pPr>
        <w:suppressAutoHyphens/>
        <w:adjustRightInd w:val="0"/>
        <w:snapToGrid w:val="0"/>
        <w:spacing w:line="480" w:lineRule="exact"/>
        <w:ind w:firstLine="480" w:firstLineChars="200"/>
        <w:rPr>
          <w:rFonts w:hAnsi="宋体"/>
          <w:sz w:val="24"/>
        </w:rPr>
      </w:pPr>
      <w:r>
        <w:rPr>
          <w:kern w:val="0"/>
          <w:sz w:val="24"/>
        </w:rPr>
        <w:t>202</w:t>
      </w:r>
      <w:r>
        <w:rPr>
          <w:rFonts w:hint="eastAsia"/>
          <w:kern w:val="0"/>
          <w:sz w:val="24"/>
        </w:rPr>
        <w:t>1</w:t>
      </w:r>
      <w:r>
        <w:rPr>
          <w:rFonts w:hAnsi="宋体"/>
          <w:kern w:val="0"/>
          <w:sz w:val="24"/>
        </w:rPr>
        <w:t>年</w:t>
      </w:r>
      <w:r>
        <w:rPr>
          <w:rFonts w:hint="eastAsia"/>
          <w:kern w:val="0"/>
          <w:sz w:val="24"/>
        </w:rPr>
        <w:t>6</w:t>
      </w:r>
      <w:r>
        <w:rPr>
          <w:rFonts w:hAnsi="宋体"/>
          <w:kern w:val="0"/>
          <w:sz w:val="24"/>
        </w:rPr>
        <w:t>月，</w:t>
      </w:r>
      <w:r>
        <w:rPr>
          <w:rFonts w:hint="eastAsia" w:hAnsi="宋体"/>
          <w:kern w:val="0"/>
          <w:sz w:val="24"/>
        </w:rPr>
        <w:t>广东能源陆河蓄能发电有限公司(以下简称“</w:t>
      </w:r>
      <w:r>
        <w:rPr>
          <w:rFonts w:hint="eastAsia" w:hAnsi="宋体"/>
          <w:sz w:val="24"/>
        </w:rPr>
        <w:t>陆蓄</w:t>
      </w:r>
      <w:r>
        <w:rPr>
          <w:rFonts w:hAnsi="宋体"/>
          <w:sz w:val="24"/>
        </w:rPr>
        <w:t>公司</w:t>
      </w:r>
      <w:r>
        <w:rPr>
          <w:rFonts w:hint="eastAsia" w:hAnsi="宋体"/>
          <w:kern w:val="0"/>
          <w:sz w:val="24"/>
        </w:rPr>
        <w:t>”)</w:t>
      </w:r>
      <w:r>
        <w:rPr>
          <w:rFonts w:hAnsi="宋体"/>
          <w:kern w:val="0"/>
          <w:sz w:val="24"/>
        </w:rPr>
        <w:t>与</w:t>
      </w:r>
      <w:r>
        <w:rPr>
          <w:rFonts w:hint="eastAsia" w:hAnsi="宋体"/>
          <w:kern w:val="0"/>
          <w:sz w:val="24"/>
        </w:rPr>
        <w:t>中南院</w:t>
      </w:r>
      <w:r>
        <w:rPr>
          <w:rFonts w:hAnsi="宋体"/>
          <w:kern w:val="0"/>
          <w:sz w:val="24"/>
        </w:rPr>
        <w:t>签订广东</w:t>
      </w:r>
      <w:r>
        <w:rPr>
          <w:rFonts w:hint="eastAsia" w:hAnsi="宋体"/>
          <w:kern w:val="0"/>
          <w:sz w:val="24"/>
        </w:rPr>
        <w:t>陆河</w:t>
      </w:r>
      <w:r>
        <w:rPr>
          <w:rFonts w:hAnsi="宋体"/>
          <w:kern w:val="0"/>
          <w:sz w:val="24"/>
        </w:rPr>
        <w:t>抽水蓄能电站可行性研究、招标设计和施工图设计阶段勘测设计合同。在前期已经完成的勘测设计科研成果的基础上，</w:t>
      </w:r>
      <w:r>
        <w:rPr>
          <w:rFonts w:hint="eastAsia" w:hAnsi="宋体"/>
          <w:kern w:val="0"/>
          <w:sz w:val="24"/>
        </w:rPr>
        <w:t>中南院</w:t>
      </w:r>
      <w:r>
        <w:rPr>
          <w:rFonts w:hAnsi="宋体"/>
          <w:kern w:val="0"/>
          <w:sz w:val="24"/>
        </w:rPr>
        <w:t>按照合同和国家的法律法规及规程规范的要求，结合本项目的特点，全面开展了本工程预可行性研究阶段的勘</w:t>
      </w:r>
      <w:r>
        <w:rPr>
          <w:rFonts w:hAnsi="宋体"/>
          <w:sz w:val="24"/>
        </w:rPr>
        <w:t>测设计和科研等工作。</w:t>
      </w:r>
    </w:p>
    <w:p>
      <w:pPr>
        <w:widowControl/>
        <w:suppressAutoHyphens/>
        <w:adjustRightInd w:val="0"/>
        <w:snapToGrid w:val="0"/>
        <w:spacing w:line="480" w:lineRule="exact"/>
        <w:ind w:firstLine="480" w:firstLineChars="200"/>
        <w:jc w:val="both"/>
        <w:rPr>
          <w:rFonts w:hAnsi="宋体"/>
          <w:sz w:val="24"/>
        </w:rPr>
      </w:pPr>
      <w:r>
        <w:rPr>
          <w:rFonts w:hAnsi="宋体"/>
          <w:sz w:val="24"/>
        </w:rPr>
        <w:t>2021年9月初，中南院编制完成《广东陆河抽水蓄能电站工程建设征地实物指标调查细则(送审稿)》。9月10日，陆河县人民政府在陆河县主持召开了实物指标调查细则评审会议。会后，中南院根据审核意见修改完成了《广东陆河抽水蓄能电站工程建设征地实物指标调查细则(审定本)》。陆河县人民政府以《</w:t>
      </w:r>
      <w:r>
        <w:rPr>
          <w:rFonts w:hAnsi="宋体"/>
          <w:sz w:val="24"/>
          <w:lang w:bidi="ar"/>
        </w:rPr>
        <w:t>陆河县人民政府关于印发广东陆河抽水蓄能电站项目建设征地实物指标调查细则的通</w:t>
      </w:r>
      <w:r>
        <w:rPr>
          <w:rFonts w:hint="eastAsia" w:hAnsi="宋体"/>
          <w:sz w:val="24"/>
          <w:lang w:bidi="ar"/>
        </w:rPr>
        <w:t>知</w:t>
      </w:r>
      <w:r>
        <w:rPr>
          <w:rFonts w:hint="eastAsia" w:hAnsi="宋体"/>
          <w:sz w:val="24"/>
        </w:rPr>
        <w:t>》(</w:t>
      </w:r>
      <w:r>
        <w:rPr>
          <w:rFonts w:hAnsi="宋体"/>
          <w:sz w:val="24"/>
        </w:rPr>
        <w:t>陆河府函〔2021〕172号</w:t>
      </w:r>
      <w:r>
        <w:rPr>
          <w:rFonts w:hint="eastAsia" w:hAnsi="宋体"/>
          <w:sz w:val="24"/>
        </w:rPr>
        <w:t>)同意了实物指标调查细则。</w:t>
      </w:r>
    </w:p>
    <w:p>
      <w:pPr>
        <w:adjustRightInd w:val="0"/>
        <w:snapToGrid w:val="0"/>
        <w:spacing w:line="480" w:lineRule="exact"/>
        <w:ind w:firstLine="480" w:firstLineChars="200"/>
        <w:rPr>
          <w:rFonts w:hAnsi="宋体"/>
          <w:sz w:val="24"/>
        </w:rPr>
      </w:pPr>
      <w:r>
        <w:rPr>
          <w:rFonts w:hAnsi="宋体"/>
          <w:sz w:val="24"/>
        </w:rPr>
        <w:t>2021年</w:t>
      </w:r>
      <w:r>
        <w:rPr>
          <w:rFonts w:hint="eastAsia" w:hAnsi="宋体"/>
          <w:sz w:val="24"/>
        </w:rPr>
        <w:t>11</w:t>
      </w:r>
      <w:r>
        <w:rPr>
          <w:rFonts w:hAnsi="宋体"/>
          <w:sz w:val="24"/>
        </w:rPr>
        <w:t>月，</w:t>
      </w:r>
      <w:r>
        <w:rPr>
          <w:rFonts w:hint="eastAsia" w:hAnsi="宋体"/>
          <w:sz w:val="24"/>
        </w:rPr>
        <w:t>中南院</w:t>
      </w:r>
      <w:r>
        <w:rPr>
          <w:rFonts w:hAnsi="宋体"/>
          <w:sz w:val="24"/>
        </w:rPr>
        <w:t>编制完成了《广东省</w:t>
      </w:r>
      <w:r>
        <w:rPr>
          <w:rFonts w:hint="eastAsia" w:hAnsi="宋体"/>
          <w:sz w:val="24"/>
        </w:rPr>
        <w:t>陆河</w:t>
      </w:r>
      <w:r>
        <w:rPr>
          <w:rFonts w:hAnsi="宋体"/>
          <w:sz w:val="24"/>
        </w:rPr>
        <w:t>抽水蓄能电站可行性研究阶段枢纽布置格局比选专题报告》</w:t>
      </w:r>
      <w:r>
        <w:rPr>
          <w:rFonts w:hint="eastAsia" w:hAnsi="宋体"/>
          <w:sz w:val="24"/>
        </w:rPr>
        <w:t>、《广东陆河(汕尾三江口)抽水蓄能电站可行性研究阶段正常蓄水位选择专题报告(审定稿)》、《广东陆河抽水蓄能电站可行性研究阶段正常蓄水位选择专题报告(审定稿)》，并于11月中旬通过技术咨询或审查</w:t>
      </w:r>
      <w:r>
        <w:rPr>
          <w:rFonts w:hAnsi="宋体"/>
          <w:sz w:val="24"/>
        </w:rPr>
        <w:t>。</w:t>
      </w:r>
    </w:p>
    <w:p>
      <w:pPr>
        <w:adjustRightInd w:val="0"/>
        <w:snapToGrid w:val="0"/>
        <w:spacing w:line="480" w:lineRule="exact"/>
        <w:ind w:firstLine="480" w:firstLineChars="200"/>
        <w:rPr>
          <w:rFonts w:hAnsi="宋体"/>
          <w:sz w:val="24"/>
        </w:rPr>
      </w:pPr>
      <w:r>
        <w:rPr>
          <w:rFonts w:hAnsi="宋体"/>
          <w:sz w:val="24"/>
        </w:rPr>
        <w:t>2021年</w:t>
      </w:r>
      <w:r>
        <w:rPr>
          <w:rFonts w:hint="eastAsia" w:hAnsi="宋体"/>
          <w:sz w:val="24"/>
        </w:rPr>
        <w:t>11</w:t>
      </w:r>
      <w:r>
        <w:rPr>
          <w:rFonts w:hAnsi="宋体"/>
          <w:sz w:val="24"/>
        </w:rPr>
        <w:t>月</w:t>
      </w:r>
      <w:r>
        <w:rPr>
          <w:rFonts w:hint="eastAsia" w:hAnsi="宋体"/>
          <w:sz w:val="24"/>
        </w:rPr>
        <w:t>28日</w:t>
      </w:r>
      <w:r>
        <w:rPr>
          <w:rFonts w:hAnsi="宋体"/>
          <w:sz w:val="24"/>
        </w:rPr>
        <w:t>，中国水利水电建设工程咨询有限公司以“水电咨水工〔2021〕</w:t>
      </w:r>
      <w:r>
        <w:rPr>
          <w:rFonts w:hint="eastAsia" w:hAnsi="宋体"/>
          <w:sz w:val="24"/>
        </w:rPr>
        <w:t>182</w:t>
      </w:r>
      <w:r>
        <w:rPr>
          <w:rFonts w:hAnsi="宋体"/>
          <w:sz w:val="24"/>
        </w:rPr>
        <w:t>号”报送了《广东</w:t>
      </w:r>
      <w:r>
        <w:rPr>
          <w:rFonts w:hint="eastAsia" w:hAnsi="宋体"/>
          <w:sz w:val="24"/>
        </w:rPr>
        <w:t>陆河</w:t>
      </w:r>
      <w:r>
        <w:rPr>
          <w:rFonts w:hAnsi="宋体"/>
          <w:sz w:val="24"/>
        </w:rPr>
        <w:t>抽水蓄能电站可行性研究阶段枢纽布置格局比选专题咨询报告》。2021年</w:t>
      </w:r>
      <w:r>
        <w:rPr>
          <w:rFonts w:hint="eastAsia" w:hAnsi="宋体"/>
          <w:sz w:val="24"/>
        </w:rPr>
        <w:t>11</w:t>
      </w:r>
      <w:r>
        <w:rPr>
          <w:rFonts w:hAnsi="宋体"/>
          <w:sz w:val="24"/>
        </w:rPr>
        <w:t>月</w:t>
      </w:r>
      <w:r>
        <w:rPr>
          <w:rFonts w:hint="eastAsia" w:hAnsi="宋体"/>
          <w:sz w:val="24"/>
        </w:rPr>
        <w:t>26</w:t>
      </w:r>
      <w:r>
        <w:rPr>
          <w:rFonts w:hAnsi="宋体"/>
          <w:sz w:val="24"/>
        </w:rPr>
        <w:t>日，水电水利规划设计总院以“水电规规〔2021〕</w:t>
      </w:r>
      <w:r>
        <w:rPr>
          <w:rFonts w:hint="eastAsia" w:hAnsi="宋体"/>
          <w:sz w:val="24"/>
        </w:rPr>
        <w:t>203</w:t>
      </w:r>
      <w:r>
        <w:rPr>
          <w:rFonts w:hAnsi="宋体"/>
          <w:sz w:val="24"/>
        </w:rPr>
        <w:t>号”签发了正常蓄水位选择专题报告的审查意见。2021年</w:t>
      </w:r>
      <w:r>
        <w:rPr>
          <w:rFonts w:hint="eastAsia" w:hAnsi="宋体"/>
          <w:sz w:val="24"/>
        </w:rPr>
        <w:t>11</w:t>
      </w:r>
      <w:r>
        <w:rPr>
          <w:rFonts w:hAnsi="宋体"/>
          <w:sz w:val="24"/>
        </w:rPr>
        <w:t>月</w:t>
      </w:r>
      <w:r>
        <w:rPr>
          <w:rFonts w:hint="eastAsia" w:hAnsi="宋体"/>
          <w:sz w:val="24"/>
        </w:rPr>
        <w:t>30</w:t>
      </w:r>
      <w:r>
        <w:rPr>
          <w:rFonts w:hAnsi="宋体"/>
          <w:sz w:val="24"/>
        </w:rPr>
        <w:t>日，水电水利规划设计总院以“水电规施〔2021〕</w:t>
      </w:r>
      <w:r>
        <w:rPr>
          <w:rFonts w:hint="eastAsia" w:hAnsi="宋体"/>
          <w:sz w:val="24"/>
        </w:rPr>
        <w:t>85</w:t>
      </w:r>
      <w:r>
        <w:rPr>
          <w:rFonts w:hAnsi="宋体"/>
          <w:sz w:val="24"/>
        </w:rPr>
        <w:t>号”签发了施工总布置规划专题报告的审查意见。</w:t>
      </w:r>
    </w:p>
    <w:p>
      <w:pPr>
        <w:overflowPunct w:val="0"/>
        <w:autoSpaceDE w:val="0"/>
        <w:autoSpaceDN w:val="0"/>
        <w:adjustRightInd w:val="0"/>
        <w:spacing w:line="520" w:lineRule="exact"/>
        <w:ind w:firstLine="480"/>
        <w:rPr>
          <w:rFonts w:hAnsi="宋体"/>
          <w:sz w:val="24"/>
        </w:rPr>
      </w:pPr>
      <w:r>
        <w:rPr>
          <w:rFonts w:hAnsi="宋体"/>
          <w:sz w:val="24"/>
        </w:rPr>
        <w:t>2021年1</w:t>
      </w:r>
      <w:r>
        <w:rPr>
          <w:rFonts w:hint="eastAsia" w:hAnsi="宋体"/>
          <w:sz w:val="24"/>
        </w:rPr>
        <w:t>0</w:t>
      </w:r>
      <w:r>
        <w:rPr>
          <w:rFonts w:hAnsi="宋体"/>
          <w:sz w:val="24"/>
        </w:rPr>
        <w:t>月</w:t>
      </w:r>
      <w:r>
        <w:rPr>
          <w:rFonts w:hint="eastAsia" w:hAnsi="宋体"/>
          <w:sz w:val="24"/>
        </w:rPr>
        <w:t>16</w:t>
      </w:r>
      <w:r>
        <w:rPr>
          <w:rFonts w:hAnsi="宋体"/>
          <w:sz w:val="24"/>
        </w:rPr>
        <w:t>日，</w:t>
      </w:r>
      <w:r>
        <w:rPr>
          <w:rFonts w:hint="eastAsia" w:hAnsi="宋体"/>
          <w:sz w:val="24"/>
        </w:rPr>
        <w:t>陆河</w:t>
      </w:r>
      <w:r>
        <w:rPr>
          <w:rFonts w:hAnsi="宋体"/>
          <w:sz w:val="24"/>
        </w:rPr>
        <w:t>县人民政府组织召开了</w:t>
      </w:r>
      <w:r>
        <w:rPr>
          <w:rFonts w:hint="eastAsia" w:hAnsi="宋体"/>
          <w:sz w:val="24"/>
        </w:rPr>
        <w:t>陆河</w:t>
      </w:r>
      <w:r>
        <w:rPr>
          <w:rFonts w:hAnsi="宋体"/>
          <w:sz w:val="24"/>
        </w:rPr>
        <w:t>抽水蓄能电站实物指标调查启动会议，</w:t>
      </w:r>
      <w:r>
        <w:rPr>
          <w:rFonts w:hint="eastAsia" w:hAnsi="宋体"/>
          <w:sz w:val="24"/>
        </w:rPr>
        <w:t>并</w:t>
      </w:r>
      <w:r>
        <w:rPr>
          <w:rFonts w:hAnsi="宋体"/>
          <w:sz w:val="24"/>
        </w:rPr>
        <w:t>由</w:t>
      </w:r>
      <w:r>
        <w:rPr>
          <w:rFonts w:hint="eastAsia" w:hAnsi="宋体"/>
          <w:sz w:val="24"/>
        </w:rPr>
        <w:t>陆河</w:t>
      </w:r>
      <w:r>
        <w:rPr>
          <w:rFonts w:hAnsi="宋体"/>
          <w:sz w:val="24"/>
        </w:rPr>
        <w:t>县人民政府及相关部门</w:t>
      </w:r>
      <w:r>
        <w:rPr>
          <w:rFonts w:hint="eastAsia" w:hAnsi="宋体"/>
          <w:sz w:val="24"/>
        </w:rPr>
        <w:t>新田</w:t>
      </w:r>
      <w:r>
        <w:rPr>
          <w:rFonts w:hAnsi="宋体"/>
          <w:sz w:val="24"/>
        </w:rPr>
        <w:t>镇人民政府、涉及的村委会、</w:t>
      </w:r>
      <w:r>
        <w:rPr>
          <w:rFonts w:hint="eastAsia" w:hAnsi="宋体"/>
          <w:sz w:val="24"/>
        </w:rPr>
        <w:t>陆蓄</w:t>
      </w:r>
      <w:r>
        <w:rPr>
          <w:rFonts w:hAnsi="宋体"/>
          <w:sz w:val="24"/>
        </w:rPr>
        <w:t>公司和中南院等单位代表组成广东</w:t>
      </w:r>
      <w:r>
        <w:rPr>
          <w:rFonts w:hint="eastAsia" w:hAnsi="宋体"/>
          <w:sz w:val="24"/>
        </w:rPr>
        <w:t>陆河</w:t>
      </w:r>
      <w:r>
        <w:rPr>
          <w:rFonts w:hAnsi="宋体"/>
          <w:sz w:val="24"/>
        </w:rPr>
        <w:t>抽水蓄能电站建设征地实物指标联合调查组，共同对</w:t>
      </w:r>
      <w:r>
        <w:rPr>
          <w:rFonts w:hint="eastAsia" w:hAnsi="宋体"/>
          <w:sz w:val="24"/>
        </w:rPr>
        <w:t>陆河</w:t>
      </w:r>
      <w:r>
        <w:rPr>
          <w:rFonts w:hAnsi="宋体"/>
          <w:sz w:val="24"/>
        </w:rPr>
        <w:t>抽水蓄能电站建设征地范围内的房屋、土地、专项设施等实物指标进行了全面的外业调查，</w:t>
      </w:r>
      <w:r>
        <w:rPr>
          <w:rFonts w:hint="eastAsia" w:hAnsi="宋体"/>
          <w:sz w:val="24"/>
        </w:rPr>
        <w:t>目前已基本完成实物指标调查</w:t>
      </w:r>
      <w:r>
        <w:rPr>
          <w:rFonts w:hAnsi="宋体"/>
          <w:sz w:val="24"/>
        </w:rPr>
        <w:t>。</w:t>
      </w:r>
    </w:p>
    <w:p>
      <w:pPr>
        <w:overflowPunct w:val="0"/>
        <w:autoSpaceDE w:val="0"/>
        <w:autoSpaceDN w:val="0"/>
        <w:adjustRightInd w:val="0"/>
        <w:spacing w:line="520" w:lineRule="exact"/>
        <w:ind w:firstLine="480"/>
        <w:rPr>
          <w:rFonts w:hAnsi="宋体"/>
          <w:sz w:val="24"/>
        </w:rPr>
      </w:pPr>
      <w:r>
        <w:rPr>
          <w:rFonts w:hint="eastAsia" w:hAnsi="宋体"/>
          <w:sz w:val="24"/>
        </w:rPr>
        <w:t>2021年12月13日，广东省人民政府发布</w:t>
      </w:r>
      <w:r>
        <w:rPr>
          <w:rFonts w:hAnsi="宋体"/>
          <w:sz w:val="24"/>
        </w:rPr>
        <w:t>《</w:t>
      </w:r>
      <w:r>
        <w:rPr>
          <w:rFonts w:hint="eastAsia" w:hAnsi="宋体"/>
          <w:sz w:val="24"/>
        </w:rPr>
        <w:t>广东省人民政府关于禁止在广东陆河抽水蓄能电站项目工程占地及淹没区新增建设项目和迁入人口的通告</w:t>
      </w:r>
      <w:r>
        <w:rPr>
          <w:rFonts w:hAnsi="宋体"/>
          <w:sz w:val="24"/>
        </w:rPr>
        <w:t>》(粤府函〔2021〕</w:t>
      </w:r>
      <w:r>
        <w:rPr>
          <w:rFonts w:hint="eastAsia" w:hAnsi="宋体"/>
          <w:sz w:val="24"/>
        </w:rPr>
        <w:t>368</w:t>
      </w:r>
      <w:r>
        <w:rPr>
          <w:rFonts w:hAnsi="宋体"/>
          <w:sz w:val="24"/>
        </w:rPr>
        <w:t>号)</w:t>
      </w:r>
      <w:r>
        <w:rPr>
          <w:rFonts w:hint="eastAsia" w:hAnsi="宋体"/>
          <w:sz w:val="24"/>
        </w:rPr>
        <w:t>。</w:t>
      </w:r>
    </w:p>
    <w:p>
      <w:pPr>
        <w:overflowPunct w:val="0"/>
        <w:autoSpaceDE w:val="0"/>
        <w:autoSpaceDN w:val="0"/>
        <w:adjustRightInd w:val="0"/>
        <w:spacing w:line="520" w:lineRule="exact"/>
        <w:ind w:firstLine="480"/>
        <w:rPr>
          <w:rFonts w:hAnsi="宋体"/>
          <w:sz w:val="24"/>
          <w:highlight w:val="yellow"/>
        </w:rPr>
      </w:pPr>
      <w:bookmarkStart w:id="8" w:name="_Hlk96069899"/>
      <w:r>
        <w:rPr>
          <w:rFonts w:hAnsi="宋体"/>
          <w:sz w:val="24"/>
          <w:highlight w:val="none"/>
        </w:rPr>
        <w:t>2021</w:t>
      </w:r>
      <w:r>
        <w:rPr>
          <w:rFonts w:hint="eastAsia" w:hAnsi="宋体"/>
          <w:sz w:val="24"/>
          <w:highlight w:val="none"/>
        </w:rPr>
        <w:t>年</w:t>
      </w:r>
      <w:r>
        <w:rPr>
          <w:rFonts w:hAnsi="宋体"/>
          <w:sz w:val="24"/>
          <w:highlight w:val="none"/>
        </w:rPr>
        <w:t>12</w:t>
      </w:r>
      <w:r>
        <w:rPr>
          <w:rFonts w:hint="eastAsia" w:hAnsi="宋体"/>
          <w:sz w:val="24"/>
          <w:highlight w:val="none"/>
        </w:rPr>
        <w:t>月</w:t>
      </w:r>
      <w:r>
        <w:rPr>
          <w:rFonts w:hAnsi="宋体"/>
          <w:sz w:val="24"/>
          <w:highlight w:val="none"/>
        </w:rPr>
        <w:t>22</w:t>
      </w:r>
      <w:r>
        <w:rPr>
          <w:rFonts w:hint="eastAsia" w:hAnsi="宋体"/>
          <w:sz w:val="24"/>
          <w:highlight w:val="none"/>
        </w:rPr>
        <w:t>日至</w:t>
      </w:r>
      <w:r>
        <w:rPr>
          <w:rFonts w:hAnsi="宋体"/>
          <w:sz w:val="24"/>
          <w:highlight w:val="none"/>
        </w:rPr>
        <w:t>2</w:t>
      </w:r>
      <w:r>
        <w:rPr>
          <w:rFonts w:hAnsi="宋体"/>
          <w:sz w:val="24"/>
        </w:rPr>
        <w:t>8</w:t>
      </w:r>
      <w:r>
        <w:rPr>
          <w:rFonts w:hint="eastAsia" w:hAnsi="宋体"/>
          <w:sz w:val="24"/>
          <w:highlight w:val="none"/>
        </w:rPr>
        <w:t>日，陆河县人民政府对实物指标进行了</w:t>
      </w:r>
      <w:r>
        <w:rPr>
          <w:rFonts w:hint="eastAsia" w:hAnsi="宋体"/>
          <w:sz w:val="24"/>
        </w:rPr>
        <w:t>三</w:t>
      </w:r>
      <w:r>
        <w:rPr>
          <w:rFonts w:hint="eastAsia" w:hAnsi="宋体"/>
          <w:sz w:val="24"/>
          <w:highlight w:val="none"/>
        </w:rPr>
        <w:t>榜公示</w:t>
      </w:r>
      <w:r>
        <w:rPr>
          <w:rFonts w:hint="eastAsia" w:hAnsi="宋体"/>
          <w:sz w:val="24"/>
        </w:rPr>
        <w:t>，并于</w:t>
      </w:r>
      <w:r>
        <w:rPr>
          <w:rFonts w:hint="eastAsia" w:hAnsi="宋体"/>
          <w:sz w:val="24"/>
          <w:highlight w:val="yellow"/>
        </w:rPr>
        <w:t>2</w:t>
      </w:r>
      <w:r>
        <w:rPr>
          <w:rFonts w:hAnsi="宋体"/>
          <w:sz w:val="24"/>
          <w:highlight w:val="yellow"/>
        </w:rPr>
        <w:t>022</w:t>
      </w:r>
      <w:r>
        <w:rPr>
          <w:rFonts w:hint="eastAsia" w:hAnsi="宋体"/>
          <w:sz w:val="24"/>
          <w:highlight w:val="yellow"/>
        </w:rPr>
        <w:t>年XX年XX月XX日，以《陆河县人民政府关于陆河抽水蓄能电站建设征地实物指标调查成果的确认函》(XXX号)对实物指标调查成果进行了确认。</w:t>
      </w:r>
    </w:p>
    <w:p>
      <w:pPr>
        <w:overflowPunct w:val="0"/>
        <w:autoSpaceDE w:val="0"/>
        <w:autoSpaceDN w:val="0"/>
        <w:adjustRightInd w:val="0"/>
        <w:spacing w:line="520" w:lineRule="exact"/>
        <w:ind w:firstLine="480"/>
        <w:rPr>
          <w:rFonts w:hAnsi="宋体"/>
          <w:sz w:val="24"/>
        </w:rPr>
      </w:pPr>
      <w:r>
        <w:rPr>
          <w:rFonts w:hAnsi="宋体"/>
          <w:sz w:val="24"/>
          <w:highlight w:val="none"/>
        </w:rPr>
        <w:t>2021</w:t>
      </w:r>
      <w:r>
        <w:rPr>
          <w:rFonts w:hint="eastAsia" w:hAnsi="宋体"/>
          <w:sz w:val="24"/>
          <w:highlight w:val="none"/>
        </w:rPr>
        <w:t>年</w:t>
      </w:r>
      <w:r>
        <w:rPr>
          <w:rFonts w:hAnsi="宋体"/>
          <w:sz w:val="24"/>
          <w:highlight w:val="none"/>
        </w:rPr>
        <w:t>12</w:t>
      </w:r>
      <w:r>
        <w:rPr>
          <w:rFonts w:hint="eastAsia" w:hAnsi="宋体"/>
          <w:sz w:val="24"/>
          <w:highlight w:val="none"/>
        </w:rPr>
        <w:t>月</w:t>
      </w:r>
      <w:r>
        <w:rPr>
          <w:rFonts w:hAnsi="宋体"/>
          <w:sz w:val="24"/>
          <w:highlight w:val="none"/>
        </w:rPr>
        <w:t>17</w:t>
      </w:r>
      <w:r>
        <w:rPr>
          <w:rFonts w:hint="eastAsia" w:hAnsi="宋体"/>
          <w:sz w:val="24"/>
          <w:highlight w:val="none"/>
        </w:rPr>
        <w:t>日至</w:t>
      </w:r>
      <w:r>
        <w:rPr>
          <w:rFonts w:hAnsi="宋体"/>
          <w:sz w:val="24"/>
          <w:highlight w:val="none"/>
        </w:rPr>
        <w:t>19</w:t>
      </w:r>
      <w:r>
        <w:rPr>
          <w:rFonts w:hint="eastAsia" w:hAnsi="宋体"/>
          <w:sz w:val="24"/>
          <w:highlight w:val="none"/>
        </w:rPr>
        <w:t>日，陆河县人民政府组织开展移民生产安置意愿调查，中南院对调查成果进行分析，并以此为基础分析、确定移民生产安置方案。</w:t>
      </w:r>
      <w:r>
        <w:rPr>
          <w:rFonts w:hint="eastAsia" w:hAnsi="宋体"/>
          <w:sz w:val="24"/>
          <w:highlight w:val="yellow"/>
        </w:rPr>
        <w:t>XX年XX月XX日，陆河县人民政府以《XXX的确认函》对移民安置意愿调查成果和移民生产安置方案进行了确认。</w:t>
      </w:r>
    </w:p>
    <w:bookmarkEnd w:id="8"/>
    <w:p>
      <w:pPr>
        <w:overflowPunct w:val="0"/>
        <w:autoSpaceDE w:val="0"/>
        <w:autoSpaceDN w:val="0"/>
        <w:adjustRightInd w:val="0"/>
        <w:spacing w:line="520" w:lineRule="exact"/>
        <w:ind w:firstLine="480" w:firstLineChars="200"/>
        <w:rPr>
          <w:rFonts w:hint="eastAsia" w:hAnsi="宋体"/>
          <w:sz w:val="24"/>
        </w:rPr>
      </w:pPr>
      <w:r>
        <w:rPr>
          <w:rFonts w:hint="eastAsia" w:hAnsi="宋体"/>
          <w:sz w:val="24"/>
        </w:rPr>
        <w:t>2021年10月至2021年12月，中南院会同陆河县人民政府启动了移民安置规划工作。期间开展了移民意愿调查、环境容量分析、生产安置规划、专项工程恢复等相关设计工作</w:t>
      </w:r>
      <w:r>
        <w:rPr>
          <w:rFonts w:hint="eastAsia" w:hAnsi="宋体"/>
          <w:sz w:val="24"/>
          <w:lang w:eastAsia="zh-CN"/>
        </w:rPr>
        <w:t>，</w:t>
      </w:r>
      <w:r>
        <w:rPr>
          <w:rFonts w:hint="eastAsia" w:hAnsi="宋体"/>
          <w:sz w:val="24"/>
          <w:lang w:val="en-US" w:eastAsia="zh-CN"/>
        </w:rPr>
        <w:t>与相关部门、单位</w:t>
      </w:r>
      <w:r>
        <w:rPr>
          <w:rFonts w:hint="eastAsia" w:hAnsi="宋体"/>
          <w:sz w:val="24"/>
        </w:rPr>
        <w:t>充分协商并交换了意见。据此，中南院编制了《广东陆河抽水蓄能电站建设征地移民安置规划大纲》。</w:t>
      </w:r>
    </w:p>
    <w:p>
      <w:pPr>
        <w:adjustRightInd w:val="0"/>
        <w:snapToGrid w:val="0"/>
        <w:spacing w:line="480" w:lineRule="exact"/>
        <w:ind w:firstLine="480" w:firstLineChars="200"/>
        <w:rPr>
          <w:rFonts w:hAnsi="宋体"/>
          <w:sz w:val="24"/>
        </w:rPr>
      </w:pPr>
      <w:r>
        <w:rPr>
          <w:rFonts w:hAnsi="宋体"/>
          <w:sz w:val="24"/>
        </w:rPr>
        <w:t>鉴于</w:t>
      </w:r>
      <w:r>
        <w:rPr>
          <w:rFonts w:hint="eastAsia" w:hAnsi="宋体"/>
          <w:sz w:val="24"/>
        </w:rPr>
        <w:t>陆河</w:t>
      </w:r>
      <w:r>
        <w:rPr>
          <w:rFonts w:hAnsi="宋体"/>
          <w:sz w:val="24"/>
        </w:rPr>
        <w:t>抽水蓄能电站移民安置规划工作涉及面较广、工作量较大，整个规划大纲编制工作在</w:t>
      </w:r>
      <w:r>
        <w:rPr>
          <w:rFonts w:hint="eastAsia" w:hAnsi="宋体"/>
          <w:sz w:val="24"/>
        </w:rPr>
        <w:t>广东</w:t>
      </w:r>
      <w:r>
        <w:rPr>
          <w:rFonts w:hAnsi="宋体"/>
          <w:sz w:val="24"/>
        </w:rPr>
        <w:t>省、</w:t>
      </w:r>
      <w:r>
        <w:rPr>
          <w:rFonts w:hint="eastAsia" w:hAnsi="宋体"/>
          <w:sz w:val="24"/>
        </w:rPr>
        <w:t>汕尾</w:t>
      </w:r>
      <w:r>
        <w:rPr>
          <w:rFonts w:hAnsi="宋体"/>
          <w:sz w:val="24"/>
        </w:rPr>
        <w:t>市、</w:t>
      </w:r>
      <w:r>
        <w:rPr>
          <w:rFonts w:hint="eastAsia" w:hAnsi="宋体"/>
          <w:sz w:val="24"/>
        </w:rPr>
        <w:t>陆河</w:t>
      </w:r>
      <w:r>
        <w:rPr>
          <w:rFonts w:hAnsi="宋体"/>
          <w:sz w:val="24"/>
        </w:rPr>
        <w:t>县各级政府部门的领导下，在</w:t>
      </w:r>
      <w:r>
        <w:rPr>
          <w:rFonts w:hint="eastAsia" w:hAnsi="宋体"/>
          <w:sz w:val="24"/>
        </w:rPr>
        <w:t>新田</w:t>
      </w:r>
      <w:r>
        <w:rPr>
          <w:rFonts w:hAnsi="宋体"/>
          <w:sz w:val="24"/>
        </w:rPr>
        <w:t>镇、</w:t>
      </w:r>
      <w:r>
        <w:rPr>
          <w:rFonts w:hint="eastAsia" w:hAnsi="宋体"/>
          <w:sz w:val="24"/>
        </w:rPr>
        <w:t>陆蓄</w:t>
      </w:r>
      <w:r>
        <w:rPr>
          <w:rFonts w:hAnsi="宋体"/>
          <w:sz w:val="24"/>
        </w:rPr>
        <w:t>公司的大力支持下得以顺利完成。在此，谨向上述各级政府和相关单位表示衷心的感谢！</w:t>
      </w:r>
    </w:p>
    <w:p>
      <w:pPr>
        <w:pStyle w:val="2"/>
      </w:pPr>
      <w:r>
        <w:br w:type="page"/>
      </w:r>
      <w:bookmarkStart w:id="9" w:name="_Toc86265065"/>
      <w:bookmarkStart w:id="10" w:name="_Toc9761"/>
      <w:bookmarkStart w:id="11" w:name="_Toc85487669"/>
      <w:bookmarkStart w:id="12" w:name="_Toc85660192"/>
      <w:bookmarkStart w:id="13" w:name="_Toc9662"/>
      <w:bookmarkStart w:id="14" w:name="_Toc90934856"/>
      <w:r>
        <w:rPr>
          <w:kern w:val="2"/>
        </w:rPr>
        <w:t xml:space="preserve">2  </w:t>
      </w:r>
      <w:r>
        <w:rPr>
          <w:rFonts w:hint="eastAsia"/>
          <w:kern w:val="2"/>
        </w:rPr>
        <w:t>概述</w:t>
      </w:r>
      <w:bookmarkEnd w:id="9"/>
      <w:bookmarkEnd w:id="10"/>
      <w:bookmarkEnd w:id="11"/>
      <w:bookmarkEnd w:id="12"/>
      <w:bookmarkEnd w:id="13"/>
      <w:bookmarkEnd w:id="14"/>
    </w:p>
    <w:p>
      <w:pPr>
        <w:pStyle w:val="3"/>
      </w:pPr>
      <w:bookmarkStart w:id="15" w:name="_Toc18730"/>
      <w:bookmarkStart w:id="16" w:name="_Toc86265066"/>
      <w:bookmarkStart w:id="17" w:name="_Toc85660193"/>
      <w:bookmarkStart w:id="18" w:name="_Toc15151"/>
      <w:bookmarkStart w:id="19" w:name="_Toc90934857"/>
      <w:bookmarkStart w:id="20" w:name="_Toc85487670"/>
      <w:r>
        <w:t>2.1  工程概况</w:t>
      </w:r>
      <w:bookmarkEnd w:id="15"/>
      <w:bookmarkEnd w:id="16"/>
      <w:bookmarkEnd w:id="17"/>
      <w:bookmarkEnd w:id="18"/>
      <w:bookmarkEnd w:id="19"/>
      <w:bookmarkEnd w:id="20"/>
    </w:p>
    <w:p>
      <w:pPr>
        <w:adjustRightInd w:val="0"/>
        <w:snapToGrid w:val="0"/>
        <w:spacing w:line="480" w:lineRule="exact"/>
        <w:ind w:firstLine="480" w:firstLineChars="200"/>
        <w:rPr>
          <w:rFonts w:hAnsi="宋体"/>
          <w:sz w:val="24"/>
        </w:rPr>
      </w:pPr>
      <w:r>
        <w:rPr>
          <w:rFonts w:hAnsi="宋体"/>
          <w:kern w:val="0"/>
          <w:sz w:val="24"/>
        </w:rPr>
        <w:t>广东陆河(汕尾三江口)抽水蓄能电站位于汕尾市陆河县境内，</w:t>
      </w:r>
      <w:r>
        <w:rPr>
          <w:rFonts w:hAnsi="宋体"/>
          <w:sz w:val="24"/>
        </w:rPr>
        <w:t>陆河县地处沿海与兴梅山区结合部。工程区域地质条件为燕山三期花岗岩。</w:t>
      </w:r>
      <w:r>
        <w:rPr>
          <w:rFonts w:hint="eastAsia" w:hAnsi="宋体"/>
          <w:sz w:val="24"/>
        </w:rPr>
        <w:t>上、下水库均位于激石溪左岸支流上，上水库位于新田镇坪天栋西面的山间凹地，下水库位于吉溪林场山间谷地坣背</w:t>
      </w:r>
      <w:r>
        <w:rPr>
          <w:rFonts w:hAnsi="宋体"/>
          <w:sz w:val="24"/>
        </w:rPr>
        <w:t>。</w:t>
      </w:r>
      <w:r>
        <w:rPr>
          <w:rFonts w:hAnsi="宋体"/>
          <w:kern w:val="0"/>
          <w:sz w:val="24"/>
        </w:rPr>
        <w:t>站址距汕尾市区直线距离</w:t>
      </w:r>
      <w:r>
        <w:rPr>
          <w:kern w:val="0"/>
          <w:sz w:val="24"/>
        </w:rPr>
        <w:t>55km</w:t>
      </w:r>
      <w:r>
        <w:rPr>
          <w:rFonts w:hAnsi="宋体"/>
          <w:kern w:val="0"/>
          <w:sz w:val="24"/>
        </w:rPr>
        <w:t>，距广州直线距离</w:t>
      </w:r>
      <w:r>
        <w:rPr>
          <w:kern w:val="0"/>
          <w:sz w:val="24"/>
        </w:rPr>
        <w:t>210km</w:t>
      </w:r>
      <w:r>
        <w:rPr>
          <w:rFonts w:hAnsi="宋体"/>
          <w:sz w:val="24"/>
        </w:rPr>
        <w:t>，靠近粤东海上风电基地，地理位置优越。陆河抽水蓄能电站供电范围为广东电网，工程开发任务为承担广东电力系统调峰、填谷、储能、调频、调相、紧急事故备用等，初拟</w:t>
      </w:r>
      <w:r>
        <w:rPr>
          <w:rFonts w:hAnsi="宋体"/>
          <w:kern w:val="0"/>
          <w:sz w:val="24"/>
        </w:rPr>
        <w:t>以</w:t>
      </w:r>
      <w:r>
        <w:rPr>
          <w:kern w:val="0"/>
          <w:sz w:val="24"/>
        </w:rPr>
        <w:t>2</w:t>
      </w:r>
      <w:r>
        <w:rPr>
          <w:rFonts w:hAnsi="宋体"/>
          <w:kern w:val="0"/>
          <w:sz w:val="24"/>
        </w:rPr>
        <w:t>回</w:t>
      </w:r>
      <w:r>
        <w:rPr>
          <w:kern w:val="0"/>
          <w:sz w:val="24"/>
        </w:rPr>
        <w:t>500kV</w:t>
      </w:r>
      <w:r>
        <w:rPr>
          <w:rFonts w:hAnsi="宋体"/>
          <w:kern w:val="0"/>
          <w:sz w:val="24"/>
        </w:rPr>
        <w:t>线路接入盘龙变电站，输电线路长度约为</w:t>
      </w:r>
      <w:r>
        <w:rPr>
          <w:kern w:val="0"/>
          <w:sz w:val="24"/>
        </w:rPr>
        <w:t>65km</w:t>
      </w:r>
      <w:r>
        <w:rPr>
          <w:rFonts w:hAnsi="宋体"/>
          <w:kern w:val="0"/>
          <w:sz w:val="24"/>
        </w:rPr>
        <w:t>。</w:t>
      </w:r>
      <w:r>
        <w:rPr>
          <w:rFonts w:hAnsi="宋体"/>
          <w:sz w:val="24"/>
        </w:rPr>
        <w:t>上水库挡水建筑物为</w:t>
      </w:r>
      <w:r>
        <w:rPr>
          <w:sz w:val="24"/>
        </w:rPr>
        <w:t>1</w:t>
      </w:r>
      <w:r>
        <w:rPr>
          <w:rFonts w:hAnsi="宋体"/>
          <w:sz w:val="24"/>
        </w:rPr>
        <w:t>座主坝，</w:t>
      </w:r>
      <w:r>
        <w:rPr>
          <w:sz w:val="24"/>
        </w:rPr>
        <w:t>5</w:t>
      </w:r>
      <w:r>
        <w:rPr>
          <w:rFonts w:hAnsi="宋体"/>
          <w:sz w:val="24"/>
        </w:rPr>
        <w:t>座副坝，坝址位于库盆东侧冲沟出口处，正常蓄水位</w:t>
      </w:r>
      <w:r>
        <w:rPr>
          <w:sz w:val="24"/>
        </w:rPr>
        <w:t>851.00m</w:t>
      </w:r>
      <w:r>
        <w:rPr>
          <w:rFonts w:hAnsi="宋体"/>
          <w:sz w:val="24"/>
        </w:rPr>
        <w:t>，大坝采用混凝土面板堆石坝，坝顶高程</w:t>
      </w:r>
      <w:r>
        <w:rPr>
          <w:sz w:val="24"/>
        </w:rPr>
        <w:t>858.00m</w:t>
      </w:r>
      <w:r>
        <w:rPr>
          <w:rFonts w:hAnsi="宋体"/>
          <w:sz w:val="24"/>
        </w:rPr>
        <w:t>。下水库主要建筑物由碾压混凝土重力坝等组成。正常蓄水位</w:t>
      </w:r>
      <w:r>
        <w:rPr>
          <w:sz w:val="24"/>
        </w:rPr>
        <w:t>232.00m</w:t>
      </w:r>
      <w:r>
        <w:rPr>
          <w:rFonts w:hAnsi="宋体"/>
          <w:sz w:val="24"/>
        </w:rPr>
        <w:t>，坝顶高程</w:t>
      </w:r>
      <w:r>
        <w:rPr>
          <w:sz w:val="24"/>
        </w:rPr>
        <w:t>237.00m</w:t>
      </w:r>
      <w:r>
        <w:rPr>
          <w:rFonts w:hAnsi="宋体"/>
          <w:sz w:val="24"/>
        </w:rPr>
        <w:t>。</w:t>
      </w:r>
    </w:p>
    <w:p>
      <w:pPr>
        <w:pStyle w:val="3"/>
      </w:pPr>
      <w:bookmarkStart w:id="21" w:name="_Toc85660194"/>
      <w:bookmarkStart w:id="22" w:name="_Toc29236"/>
      <w:bookmarkStart w:id="23" w:name="_Toc12736"/>
      <w:bookmarkStart w:id="24" w:name="_Toc90934858"/>
      <w:bookmarkStart w:id="25" w:name="_Toc85487671"/>
      <w:bookmarkStart w:id="26" w:name="_Toc86265067"/>
      <w:r>
        <w:t>2.2  建设征地区自然及</w:t>
      </w:r>
      <w:r>
        <w:rPr>
          <w:rFonts w:hint="eastAsia"/>
        </w:rPr>
        <w:t>经济社会</w:t>
      </w:r>
      <w:r>
        <w:t>概况</w:t>
      </w:r>
      <w:bookmarkEnd w:id="21"/>
      <w:bookmarkEnd w:id="22"/>
      <w:bookmarkEnd w:id="23"/>
      <w:bookmarkEnd w:id="24"/>
      <w:bookmarkEnd w:id="25"/>
      <w:bookmarkEnd w:id="26"/>
    </w:p>
    <w:p>
      <w:pPr>
        <w:pStyle w:val="4"/>
      </w:pPr>
      <w:bookmarkStart w:id="27" w:name="_Toc85487672"/>
      <w:bookmarkStart w:id="28" w:name="_Toc85632427"/>
      <w:bookmarkStart w:id="29" w:name="_Toc85660195"/>
      <w:bookmarkStart w:id="30" w:name="_Hlk86142063"/>
      <w:r>
        <w:t>2.2.1  自然条件概况</w:t>
      </w:r>
      <w:bookmarkEnd w:id="27"/>
      <w:bookmarkEnd w:id="28"/>
      <w:bookmarkEnd w:id="29"/>
    </w:p>
    <w:p>
      <w:pPr>
        <w:widowControl/>
        <w:adjustRightInd w:val="0"/>
        <w:snapToGrid w:val="0"/>
        <w:spacing w:line="480" w:lineRule="exact"/>
        <w:ind w:firstLine="480" w:firstLineChars="200"/>
        <w:rPr>
          <w:rFonts w:hAnsi="宋体"/>
          <w:kern w:val="0"/>
          <w:sz w:val="24"/>
        </w:rPr>
      </w:pPr>
      <w:r>
        <w:rPr>
          <w:rFonts w:hAnsi="宋体"/>
          <w:kern w:val="0"/>
          <w:sz w:val="24"/>
          <w:lang w:bidi="ar"/>
        </w:rPr>
        <w:t>汕尾市位于广东省东南部，莲花山南麓，东临惠来县，西连惠东县，北接梅州市和紫金县，南濒南海，辖内海域有93个岛屿、12个港口和3个海湖，汕尾港是天然深水良港，是全国沿海开放第一类口岸。辖区内地形内陆以山地、丘陵为主，沿海多平原、丘陵。海陆丰革命根据地是中国13块革命根据地之一。</w:t>
      </w:r>
    </w:p>
    <w:p>
      <w:pPr>
        <w:widowControl/>
        <w:adjustRightInd w:val="0"/>
        <w:snapToGrid w:val="0"/>
        <w:spacing w:line="480" w:lineRule="exact"/>
        <w:ind w:firstLine="480" w:firstLineChars="200"/>
        <w:rPr>
          <w:rFonts w:hAnsi="宋体"/>
          <w:kern w:val="0"/>
          <w:sz w:val="24"/>
        </w:rPr>
      </w:pPr>
      <w:r>
        <w:rPr>
          <w:rFonts w:hAnsi="宋体"/>
          <w:kern w:val="0"/>
          <w:sz w:val="24"/>
          <w:lang w:bidi="ar"/>
        </w:rPr>
        <w:t>陆河县地处粤东沿海与兴梅山区结合部，周边与7个县(市)接壤，位于北纬</w:t>
      </w:r>
      <w:r>
        <w:rPr>
          <w:rFonts w:hAnsi="Times New Roman" w:cs="Times New Roman"/>
          <w:kern w:val="0"/>
          <w:sz w:val="24"/>
          <w:lang w:bidi="ar"/>
        </w:rPr>
        <w:t>23°68′</w:t>
      </w:r>
      <w:r>
        <w:rPr>
          <w:rFonts w:hint="eastAsia" w:cs="Times New Roman"/>
          <w:kern w:val="0"/>
          <w:sz w:val="24"/>
          <w:lang w:bidi="ar"/>
        </w:rPr>
        <w:t>~</w:t>
      </w:r>
      <w:r>
        <w:rPr>
          <w:rFonts w:hAnsi="Times New Roman" w:cs="Times New Roman"/>
          <w:kern w:val="0"/>
          <w:sz w:val="24"/>
          <w:lang w:bidi="ar"/>
        </w:rPr>
        <w:t>23°28′</w:t>
      </w:r>
      <w:r>
        <w:rPr>
          <w:rFonts w:hAnsi="宋体"/>
          <w:kern w:val="0"/>
          <w:sz w:val="24"/>
          <w:lang w:bidi="ar"/>
        </w:rPr>
        <w:t>之间，东经</w:t>
      </w:r>
      <w:r>
        <w:rPr>
          <w:rFonts w:hAnsi="Times New Roman" w:cs="Times New Roman"/>
          <w:kern w:val="0"/>
          <w:sz w:val="24"/>
          <w:lang w:bidi="ar"/>
        </w:rPr>
        <w:t>115°24′</w:t>
      </w:r>
      <w:r>
        <w:rPr>
          <w:rFonts w:hint="eastAsia" w:cs="Times New Roman"/>
          <w:kern w:val="0"/>
          <w:sz w:val="24"/>
          <w:lang w:bidi="ar"/>
        </w:rPr>
        <w:t>~</w:t>
      </w:r>
      <w:r>
        <w:rPr>
          <w:rFonts w:hAnsi="Times New Roman" w:cs="Times New Roman"/>
          <w:kern w:val="0"/>
          <w:sz w:val="24"/>
          <w:lang w:bidi="ar"/>
        </w:rPr>
        <w:t>115°49′</w:t>
      </w:r>
      <w:r>
        <w:rPr>
          <w:rFonts w:hAnsi="宋体"/>
          <w:kern w:val="0"/>
          <w:sz w:val="24"/>
          <w:lang w:bidi="ar"/>
        </w:rPr>
        <w:t>之间，北回归线横贯县境。陆河县距汕尾市区80km、广州260km、深圳210km、东莞240km、惠州140km、潮汕机场110km，处于港澳、深圳、东莞、惠州、河源、梅州、潮汕揭等地区1</w:t>
      </w:r>
      <w:r>
        <w:rPr>
          <w:rFonts w:hint="eastAsia" w:hAnsi="宋体"/>
          <w:kern w:val="0"/>
          <w:sz w:val="24"/>
          <w:lang w:bidi="ar"/>
        </w:rPr>
        <w:t>~</w:t>
      </w:r>
      <w:r>
        <w:rPr>
          <w:rFonts w:hAnsi="宋体"/>
          <w:kern w:val="0"/>
          <w:sz w:val="24"/>
          <w:lang w:bidi="ar"/>
        </w:rPr>
        <w:t>3小时生活圈内。</w:t>
      </w:r>
    </w:p>
    <w:p>
      <w:pPr>
        <w:adjustRightInd w:val="0"/>
        <w:snapToGrid w:val="0"/>
        <w:spacing w:line="480" w:lineRule="exact"/>
        <w:ind w:firstLine="480" w:firstLineChars="200"/>
        <w:rPr>
          <w:rFonts w:hAnsi="宋体"/>
          <w:kern w:val="0"/>
          <w:sz w:val="24"/>
        </w:rPr>
      </w:pPr>
      <w:r>
        <w:rPr>
          <w:rFonts w:hAnsi="宋体"/>
          <w:kern w:val="0"/>
          <w:sz w:val="24"/>
          <w:lang w:bidi="ar"/>
        </w:rPr>
        <w:t>陆河县森林覆盖率高达65.4%，拥有全国最大的红椎林自然保护区，松、杉、樟、桉、木荷、毛竹、绿竹等遍布山野，林木蓄积量达120万m</w:t>
      </w:r>
      <w:r>
        <w:rPr>
          <w:rFonts w:hAnsi="宋体"/>
          <w:kern w:val="0"/>
          <w:sz w:val="24"/>
          <w:vertAlign w:val="superscript"/>
          <w:lang w:bidi="ar"/>
        </w:rPr>
        <w:t>3</w:t>
      </w:r>
      <w:r>
        <w:rPr>
          <w:rFonts w:hAnsi="宋体"/>
          <w:kern w:val="0"/>
          <w:sz w:val="24"/>
          <w:lang w:bidi="ar"/>
        </w:rPr>
        <w:t>。主要有花岗石、高岭土、稀土等非金属和锡、锌、铅、钛、钾长石、石英石等金属矿。其中花岗岩品种多达 30 种，储量2700万m</w:t>
      </w:r>
      <w:r>
        <w:rPr>
          <w:rFonts w:hAnsi="宋体"/>
          <w:kern w:val="0"/>
          <w:sz w:val="24"/>
          <w:vertAlign w:val="superscript"/>
          <w:lang w:bidi="ar"/>
        </w:rPr>
        <w:t>3</w:t>
      </w:r>
      <w:r>
        <w:rPr>
          <w:rFonts w:hAnsi="宋体"/>
          <w:kern w:val="0"/>
          <w:sz w:val="24"/>
          <w:lang w:bidi="ar"/>
        </w:rPr>
        <w:t>，是价值较高的建筑装饰材料；钾长石品位高，是优质的陶瓷原料</w:t>
      </w:r>
      <w:r>
        <w:rPr>
          <w:rFonts w:hint="eastAsia" w:hAnsi="宋体"/>
          <w:kern w:val="0"/>
          <w:sz w:val="24"/>
          <w:lang w:bidi="ar"/>
        </w:rPr>
        <w:t>。</w:t>
      </w:r>
    </w:p>
    <w:bookmarkEnd w:id="30"/>
    <w:p>
      <w:pPr>
        <w:pStyle w:val="4"/>
      </w:pPr>
      <w:bookmarkStart w:id="31" w:name="_Toc85660196"/>
      <w:bookmarkStart w:id="32" w:name="_Toc85632428"/>
      <w:r>
        <w:rPr>
          <w:rFonts w:hint="eastAsia"/>
        </w:rPr>
        <w:t>2</w:t>
      </w:r>
      <w:r>
        <w:t xml:space="preserve">.2.2  </w:t>
      </w:r>
      <w:r>
        <w:rPr>
          <w:rFonts w:hint="eastAsia"/>
        </w:rPr>
        <w:t>经济社会</w:t>
      </w:r>
      <w:r>
        <w:t>概况</w:t>
      </w:r>
      <w:bookmarkEnd w:id="31"/>
      <w:bookmarkEnd w:id="32"/>
    </w:p>
    <w:p>
      <w:pPr>
        <w:widowControl/>
        <w:adjustRightInd w:val="0"/>
        <w:snapToGrid w:val="0"/>
        <w:spacing w:line="480" w:lineRule="exact"/>
        <w:ind w:firstLine="480" w:firstLineChars="200"/>
        <w:rPr>
          <w:rFonts w:hAnsi="宋体"/>
          <w:kern w:val="0"/>
          <w:sz w:val="24"/>
          <w:lang w:bidi="ar"/>
        </w:rPr>
      </w:pPr>
      <w:r>
        <w:rPr>
          <w:rFonts w:hAnsi="宋体"/>
          <w:kern w:val="0"/>
          <w:sz w:val="24"/>
          <w:lang w:bidi="ar"/>
        </w:rPr>
        <w:t>陆河县是海陆丰红色革命根据地的重要组成部分，又是榕江和螺河水系发源地，具有独特的客家风情和客家文化，被誉为“客俗桃源”和红色旅游胜地。陆河县域总面积1005km</w:t>
      </w:r>
      <w:r>
        <w:rPr>
          <w:rFonts w:hAnsi="宋体"/>
          <w:kern w:val="0"/>
          <w:sz w:val="24"/>
          <w:vertAlign w:val="superscript"/>
          <w:lang w:bidi="ar"/>
        </w:rPr>
        <w:t>2</w:t>
      </w:r>
      <w:r>
        <w:rPr>
          <w:rFonts w:hAnsi="宋体"/>
          <w:kern w:val="0"/>
          <w:sz w:val="24"/>
          <w:lang w:bidi="ar"/>
        </w:rPr>
        <w:t>，全县辖河田、河口、螺溪、新田、上护、水唇、东坑、南万8个镇和国营吉溪林场。20</w:t>
      </w:r>
      <w:r>
        <w:rPr>
          <w:rFonts w:hint="eastAsia" w:hAnsi="宋体"/>
          <w:kern w:val="0"/>
          <w:sz w:val="24"/>
          <w:lang w:bidi="ar"/>
        </w:rPr>
        <w:t>20</w:t>
      </w:r>
      <w:r>
        <w:rPr>
          <w:rFonts w:hAnsi="宋体"/>
          <w:kern w:val="0"/>
          <w:sz w:val="24"/>
          <w:lang w:bidi="ar"/>
        </w:rPr>
        <w:t>年，陆河县户籍人口354423人,其中，城镇人口163509人，占户籍人口的比重46.1%。</w:t>
      </w:r>
    </w:p>
    <w:p>
      <w:pPr>
        <w:widowControl/>
        <w:adjustRightInd w:val="0"/>
        <w:snapToGrid w:val="0"/>
        <w:spacing w:line="480" w:lineRule="exact"/>
        <w:ind w:firstLine="480"/>
        <w:rPr>
          <w:rFonts w:hAnsi="宋体"/>
          <w:kern w:val="0"/>
          <w:sz w:val="24"/>
          <w:lang w:bidi="ar"/>
        </w:rPr>
      </w:pPr>
      <w:r>
        <w:rPr>
          <w:rFonts w:hAnsi="宋体"/>
          <w:kern w:val="0"/>
          <w:sz w:val="24"/>
          <w:lang w:bidi="ar"/>
        </w:rPr>
        <w:t>2020年，陆河县实现地区生产总值(初步核算数)890870万元，比上年增长2.9%。其中，第一产业完成增加值158330万元，增长4.4%，对地区生产总值增长的贡献率为21.6%；第二产业完成增加值234790万元，下降l.2%，对地区生产总值增长的贡献率为-2.5%；第三产业完成增加值497751万元，增长4.7%，对地区生产总值增长的贡献率为80.9%。三次产业结构为17.8:26.3:55.9。</w:t>
      </w:r>
    </w:p>
    <w:p>
      <w:pPr>
        <w:adjustRightInd w:val="0"/>
        <w:snapToGrid w:val="0"/>
        <w:spacing w:line="480" w:lineRule="exact"/>
        <w:ind w:firstLine="480" w:firstLineChars="200"/>
        <w:rPr>
          <w:rFonts w:hAnsi="宋体"/>
          <w:kern w:val="0"/>
          <w:sz w:val="24"/>
          <w:lang w:bidi="ar"/>
        </w:rPr>
      </w:pPr>
      <w:r>
        <w:rPr>
          <w:rFonts w:hAnsi="宋体"/>
          <w:kern w:val="0"/>
          <w:sz w:val="24"/>
          <w:lang w:bidi="ar"/>
        </w:rPr>
        <w:t>2020年，陆河全县全年粮食作物播种面积161746亩，比上年下降39.2%；油料种植面积22827亩，增长2.8%；蔬菜种植面积73369亩，增长3.6%。</w:t>
      </w:r>
    </w:p>
    <w:p>
      <w:pPr>
        <w:adjustRightInd w:val="0"/>
        <w:snapToGrid w:val="0"/>
        <w:spacing w:line="480" w:lineRule="exact"/>
        <w:ind w:firstLine="480" w:firstLineChars="200"/>
        <w:rPr>
          <w:rFonts w:hAnsi="宋体"/>
          <w:kern w:val="0"/>
          <w:sz w:val="24"/>
          <w:lang w:bidi="ar"/>
        </w:rPr>
      </w:pPr>
      <w:r>
        <w:rPr>
          <w:rFonts w:hAnsi="宋体"/>
          <w:kern w:val="0"/>
          <w:sz w:val="24"/>
          <w:lang w:bidi="ar"/>
        </w:rPr>
        <w:t>2020年，陆河县全年粮食产量56825吨，比上年增长17.9%；稻谷产量49482吨，增长5.7%；蔬菜产量102626吨，增长6.0%；水果产量123847吨，增长5.4%；油料产量4829吨，增长6.8%；茶叶产量3149吨，增长7.1%。</w:t>
      </w:r>
    </w:p>
    <w:p>
      <w:pPr>
        <w:widowControl/>
        <w:adjustRightInd w:val="0"/>
        <w:snapToGrid w:val="0"/>
        <w:spacing w:line="480" w:lineRule="exact"/>
        <w:ind w:firstLine="480"/>
        <w:rPr>
          <w:rFonts w:hAnsi="宋体"/>
          <w:kern w:val="0"/>
          <w:sz w:val="24"/>
          <w:lang w:bidi="ar"/>
        </w:rPr>
      </w:pPr>
      <w:r>
        <w:rPr>
          <w:rFonts w:hAnsi="宋体"/>
          <w:kern w:val="0"/>
          <w:sz w:val="24"/>
          <w:lang w:bidi="ar"/>
        </w:rPr>
        <w:t>2020年，陆河县全年居民人均可支配收入19264元，比上年增长7.7%。按常住地分，城镇居民人均可支配收入24155元，增长7.0%；农村居民人均可支配收入13848元，增长9.2%。</w:t>
      </w:r>
    </w:p>
    <w:p>
      <w:pPr>
        <w:pStyle w:val="3"/>
      </w:pPr>
      <w:bookmarkStart w:id="33" w:name="_Toc90934859"/>
      <w:bookmarkStart w:id="34" w:name="_Toc86265068"/>
      <w:bookmarkStart w:id="35" w:name="_Toc85660197"/>
      <w:bookmarkStart w:id="36" w:name="_Toc26009"/>
      <w:bookmarkStart w:id="37" w:name="_Toc85487673"/>
      <w:bookmarkStart w:id="38" w:name="_Toc28052"/>
      <w:r>
        <w:t>2.3  移民安置规划设计主要成果</w:t>
      </w:r>
      <w:bookmarkEnd w:id="33"/>
      <w:bookmarkEnd w:id="34"/>
      <w:bookmarkEnd w:id="35"/>
      <w:bookmarkEnd w:id="36"/>
      <w:bookmarkEnd w:id="37"/>
      <w:bookmarkEnd w:id="38"/>
    </w:p>
    <w:p>
      <w:pPr>
        <w:pStyle w:val="4"/>
      </w:pPr>
      <w:bookmarkStart w:id="39" w:name="_Toc85660198"/>
      <w:bookmarkStart w:id="40" w:name="_Toc85632430"/>
      <w:bookmarkStart w:id="41" w:name="_Toc85487674"/>
      <w:r>
        <w:t>2.3.1  建设征地实物指标概况</w:t>
      </w:r>
      <w:bookmarkEnd w:id="39"/>
      <w:bookmarkEnd w:id="40"/>
      <w:bookmarkEnd w:id="41"/>
    </w:p>
    <w:p>
      <w:pPr>
        <w:pStyle w:val="183"/>
        <w:adjustRightInd w:val="0"/>
        <w:spacing w:line="480" w:lineRule="exact"/>
        <w:ind w:firstLine="480" w:firstLineChars="200"/>
        <w:rPr>
          <w:rFonts w:hAnsi="宋体"/>
        </w:rPr>
      </w:pPr>
      <w:bookmarkStart w:id="42" w:name="_Hlk85461644"/>
      <w:r>
        <w:t xml:space="preserve">a) </w:t>
      </w:r>
      <w:r>
        <w:rPr>
          <w:rFonts w:hAnsi="宋体"/>
        </w:rPr>
        <w:t>土地</w:t>
      </w:r>
    </w:p>
    <w:p>
      <w:pPr>
        <w:pStyle w:val="584"/>
        <w:adjustRightInd w:val="0"/>
        <w:spacing w:line="480" w:lineRule="exact"/>
        <w:ind w:firstLine="480" w:firstLineChars="200"/>
        <w:jc w:val="both"/>
        <w:rPr>
          <w:rFonts w:hAnsi="宋体"/>
          <w:color w:val="000000"/>
          <w:szCs w:val="24"/>
        </w:rPr>
      </w:pPr>
      <w:r>
        <w:rPr>
          <w:rFonts w:hint="eastAsia" w:hAnsi="宋体"/>
          <w:color w:val="000000"/>
          <w:szCs w:val="24"/>
        </w:rPr>
        <w:t>陆河抽水蓄能电站工程建设征地总面积为</w:t>
      </w:r>
      <w:r>
        <w:rPr>
          <w:rFonts w:hAnsi="宋体"/>
          <w:color w:val="000000"/>
          <w:szCs w:val="24"/>
        </w:rPr>
        <w:t>4791.33</w:t>
      </w:r>
      <w:r>
        <w:rPr>
          <w:rFonts w:hint="eastAsia" w:hAnsi="宋体"/>
          <w:color w:val="000000"/>
          <w:szCs w:val="24"/>
        </w:rPr>
        <w:t>亩，其中永久征收面积</w:t>
      </w:r>
      <w:r>
        <w:rPr>
          <w:rFonts w:hAnsi="宋体"/>
          <w:color w:val="000000"/>
          <w:szCs w:val="24"/>
        </w:rPr>
        <w:t>3829.50</w:t>
      </w:r>
      <w:r>
        <w:rPr>
          <w:rFonts w:hint="eastAsia" w:hAnsi="宋体"/>
          <w:color w:val="000000"/>
          <w:szCs w:val="24"/>
        </w:rPr>
        <w:t>亩，临时征用面积</w:t>
      </w:r>
      <w:r>
        <w:rPr>
          <w:rFonts w:hAnsi="宋体"/>
          <w:color w:val="000000"/>
          <w:szCs w:val="24"/>
        </w:rPr>
        <w:t>961.8</w:t>
      </w:r>
      <w:r>
        <w:rPr>
          <w:rFonts w:hint="eastAsia" w:hAnsi="宋体"/>
          <w:color w:val="000000"/>
          <w:szCs w:val="24"/>
        </w:rPr>
        <w:t>3亩。</w:t>
      </w:r>
    </w:p>
    <w:p>
      <w:pPr>
        <w:pStyle w:val="584"/>
        <w:widowControl w:val="0"/>
        <w:adjustRightInd w:val="0"/>
        <w:spacing w:line="480" w:lineRule="exact"/>
        <w:ind w:firstLine="496" w:firstLineChars="200"/>
        <w:jc w:val="both"/>
        <w:rPr>
          <w:rFonts w:hAnsi="宋体"/>
          <w:color w:val="000000"/>
          <w:spacing w:val="4"/>
          <w:szCs w:val="24"/>
        </w:rPr>
      </w:pPr>
      <w:r>
        <w:rPr>
          <w:rFonts w:hint="eastAsia" w:hAnsi="宋体"/>
          <w:color w:val="000000"/>
          <w:spacing w:val="4"/>
          <w:szCs w:val="24"/>
        </w:rPr>
        <w:t>按建设用地类别划分，枢纽工程建设区征收(用)土地面积为</w:t>
      </w:r>
      <w:r>
        <w:rPr>
          <w:rFonts w:hAnsi="宋体"/>
          <w:color w:val="000000"/>
          <w:spacing w:val="4"/>
          <w:szCs w:val="24"/>
        </w:rPr>
        <w:t>3412.43</w:t>
      </w:r>
      <w:r>
        <w:rPr>
          <w:rFonts w:hint="eastAsia" w:hAnsi="宋体"/>
          <w:color w:val="000000"/>
          <w:spacing w:val="4"/>
          <w:szCs w:val="24"/>
        </w:rPr>
        <w:t>亩，其中永久征地区</w:t>
      </w:r>
      <w:r>
        <w:rPr>
          <w:rFonts w:hAnsi="宋体"/>
          <w:color w:val="000000"/>
          <w:spacing w:val="4"/>
          <w:szCs w:val="24"/>
        </w:rPr>
        <w:t>2450.60</w:t>
      </w:r>
      <w:r>
        <w:rPr>
          <w:rFonts w:hint="eastAsia" w:hAnsi="宋体"/>
          <w:color w:val="000000"/>
          <w:spacing w:val="4"/>
          <w:szCs w:val="24"/>
        </w:rPr>
        <w:t>亩，临时用地区</w:t>
      </w:r>
      <w:r>
        <w:rPr>
          <w:rFonts w:hAnsi="宋体"/>
          <w:color w:val="000000"/>
          <w:spacing w:val="4"/>
          <w:szCs w:val="24"/>
        </w:rPr>
        <w:t>961.8</w:t>
      </w:r>
      <w:r>
        <w:rPr>
          <w:rFonts w:hint="eastAsia" w:hAnsi="宋体"/>
          <w:color w:val="000000"/>
          <w:spacing w:val="4"/>
          <w:szCs w:val="24"/>
        </w:rPr>
        <w:t>3亩；水库淹没区征收(用)土地面积为</w:t>
      </w:r>
      <w:r>
        <w:rPr>
          <w:rFonts w:hAnsi="宋体"/>
          <w:color w:val="000000"/>
          <w:spacing w:val="4"/>
          <w:szCs w:val="24"/>
        </w:rPr>
        <w:t>1378.90</w:t>
      </w:r>
      <w:r>
        <w:rPr>
          <w:rFonts w:hint="eastAsia" w:hAnsi="宋体"/>
          <w:color w:val="000000"/>
          <w:spacing w:val="4"/>
          <w:szCs w:val="24"/>
        </w:rPr>
        <w:t>亩。</w:t>
      </w:r>
    </w:p>
    <w:p>
      <w:pPr>
        <w:pStyle w:val="584"/>
        <w:widowControl w:val="0"/>
        <w:adjustRightInd w:val="0"/>
        <w:spacing w:line="480" w:lineRule="exact"/>
        <w:ind w:firstLine="480" w:firstLineChars="200"/>
        <w:jc w:val="both"/>
        <w:rPr>
          <w:color w:val="000000"/>
        </w:rPr>
      </w:pPr>
      <w:r>
        <w:rPr>
          <w:rFonts w:hint="eastAsia" w:hAnsi="宋体"/>
          <w:color w:val="000000"/>
          <w:szCs w:val="24"/>
        </w:rPr>
        <w:t>按地类划分，永久征收土地</w:t>
      </w:r>
      <w:r>
        <w:rPr>
          <w:rFonts w:hAnsi="宋体"/>
          <w:color w:val="000000"/>
          <w:szCs w:val="24"/>
        </w:rPr>
        <w:t>3829.50</w:t>
      </w:r>
      <w:r>
        <w:rPr>
          <w:rFonts w:hint="eastAsia" w:hAnsi="宋体"/>
          <w:color w:val="000000"/>
          <w:szCs w:val="24"/>
        </w:rPr>
        <w:t>亩中，耕地</w:t>
      </w:r>
      <w:r>
        <w:rPr>
          <w:rFonts w:hAnsi="宋体"/>
          <w:color w:val="000000"/>
          <w:szCs w:val="24"/>
        </w:rPr>
        <w:t>500.63</w:t>
      </w:r>
      <w:r>
        <w:rPr>
          <w:rFonts w:hint="eastAsia" w:hAnsi="宋体"/>
          <w:color w:val="000000"/>
          <w:szCs w:val="24"/>
        </w:rPr>
        <w:t>亩，园地</w:t>
      </w:r>
      <w:r>
        <w:rPr>
          <w:rFonts w:hAnsi="宋体"/>
          <w:color w:val="000000"/>
          <w:szCs w:val="24"/>
        </w:rPr>
        <w:t>23.99</w:t>
      </w:r>
      <w:r>
        <w:rPr>
          <w:rFonts w:hint="eastAsia" w:hAnsi="宋体"/>
          <w:color w:val="000000"/>
          <w:szCs w:val="24"/>
        </w:rPr>
        <w:t>亩，林地</w:t>
      </w:r>
      <w:r>
        <w:rPr>
          <w:rFonts w:hAnsi="宋体"/>
          <w:color w:val="000000"/>
          <w:szCs w:val="24"/>
        </w:rPr>
        <w:t>3082.00</w:t>
      </w:r>
      <w:r>
        <w:rPr>
          <w:rFonts w:hint="eastAsia" w:hAnsi="宋体"/>
          <w:color w:val="000000"/>
          <w:szCs w:val="24"/>
        </w:rPr>
        <w:t>亩(灌木林地</w:t>
      </w:r>
      <w:r>
        <w:rPr>
          <w:rFonts w:hAnsi="宋体"/>
          <w:color w:val="000000"/>
          <w:szCs w:val="24"/>
        </w:rPr>
        <w:t>34.05</w:t>
      </w:r>
      <w:r>
        <w:rPr>
          <w:rFonts w:hint="eastAsia" w:hAnsi="宋体"/>
          <w:color w:val="000000"/>
          <w:szCs w:val="24"/>
        </w:rPr>
        <w:t>亩，有林地</w:t>
      </w:r>
      <w:r>
        <w:rPr>
          <w:rFonts w:hAnsi="宋体"/>
          <w:color w:val="000000"/>
          <w:szCs w:val="24"/>
        </w:rPr>
        <w:t>3047.95</w:t>
      </w:r>
      <w:r>
        <w:rPr>
          <w:rFonts w:hint="eastAsia" w:hAnsi="宋体"/>
          <w:color w:val="000000"/>
          <w:szCs w:val="24"/>
        </w:rPr>
        <w:t>亩)，草地</w:t>
      </w:r>
      <w:r>
        <w:rPr>
          <w:rFonts w:hAnsi="宋体"/>
          <w:color w:val="000000"/>
          <w:szCs w:val="24"/>
        </w:rPr>
        <w:t>21.33</w:t>
      </w:r>
      <w:r>
        <w:rPr>
          <w:rFonts w:hint="eastAsia" w:hAnsi="宋体"/>
          <w:color w:val="000000"/>
          <w:szCs w:val="24"/>
        </w:rPr>
        <w:t>亩，住宅用地</w:t>
      </w:r>
      <w:r>
        <w:rPr>
          <w:rFonts w:hAnsi="宋体"/>
          <w:color w:val="000000"/>
          <w:szCs w:val="24"/>
        </w:rPr>
        <w:t>2.48</w:t>
      </w:r>
      <w:r>
        <w:rPr>
          <w:rFonts w:hint="eastAsia" w:hAnsi="宋体"/>
          <w:color w:val="000000"/>
          <w:szCs w:val="24"/>
        </w:rPr>
        <w:t>亩，交通运输用地</w:t>
      </w:r>
      <w:r>
        <w:rPr>
          <w:rFonts w:hAnsi="宋体"/>
          <w:color w:val="000000"/>
          <w:szCs w:val="24"/>
        </w:rPr>
        <w:t>51.22</w:t>
      </w:r>
      <w:r>
        <w:rPr>
          <w:rFonts w:hint="eastAsia" w:hAnsi="宋体"/>
          <w:color w:val="000000"/>
          <w:szCs w:val="24"/>
        </w:rPr>
        <w:t>亩，水域及水利设施用地</w:t>
      </w:r>
      <w:r>
        <w:rPr>
          <w:rFonts w:hAnsi="宋体"/>
          <w:color w:val="000000"/>
          <w:szCs w:val="24"/>
        </w:rPr>
        <w:t>147.84</w:t>
      </w:r>
      <w:r>
        <w:rPr>
          <w:rFonts w:hint="eastAsia" w:hAnsi="宋体"/>
          <w:color w:val="000000"/>
          <w:szCs w:val="24"/>
        </w:rPr>
        <w:t>亩；临时征用土地</w:t>
      </w:r>
      <w:r>
        <w:rPr>
          <w:rFonts w:hAnsi="宋体"/>
          <w:color w:val="000000"/>
          <w:szCs w:val="24"/>
        </w:rPr>
        <w:t>961.8</w:t>
      </w:r>
      <w:r>
        <w:rPr>
          <w:rFonts w:hint="eastAsia" w:hAnsi="宋体"/>
          <w:color w:val="000000"/>
          <w:szCs w:val="24"/>
        </w:rPr>
        <w:t>3亩中，耕地</w:t>
      </w:r>
      <w:r>
        <w:rPr>
          <w:rFonts w:hAnsi="宋体"/>
          <w:color w:val="000000"/>
          <w:szCs w:val="24"/>
        </w:rPr>
        <w:t>15.55</w:t>
      </w:r>
      <w:r>
        <w:rPr>
          <w:rFonts w:hint="eastAsia" w:hAnsi="宋体"/>
          <w:color w:val="000000"/>
          <w:szCs w:val="24"/>
        </w:rPr>
        <w:t>亩，园地</w:t>
      </w:r>
      <w:r>
        <w:rPr>
          <w:rFonts w:hAnsi="宋体"/>
          <w:color w:val="000000"/>
          <w:szCs w:val="24"/>
        </w:rPr>
        <w:t>3.68</w:t>
      </w:r>
      <w:r>
        <w:rPr>
          <w:rFonts w:hint="eastAsia" w:hAnsi="宋体"/>
          <w:color w:val="000000"/>
          <w:szCs w:val="24"/>
        </w:rPr>
        <w:t>亩，林地</w:t>
      </w:r>
      <w:r>
        <w:rPr>
          <w:rFonts w:hAnsi="宋体"/>
          <w:color w:val="000000"/>
          <w:szCs w:val="24"/>
        </w:rPr>
        <w:t>932.36</w:t>
      </w:r>
      <w:r>
        <w:rPr>
          <w:rFonts w:hint="eastAsia" w:hAnsi="宋体"/>
          <w:color w:val="000000"/>
          <w:szCs w:val="24"/>
        </w:rPr>
        <w:t>亩(均为有林地)，草地0</w:t>
      </w:r>
      <w:r>
        <w:rPr>
          <w:rFonts w:hAnsi="宋体"/>
          <w:color w:val="000000"/>
          <w:szCs w:val="24"/>
        </w:rPr>
        <w:t>.02</w:t>
      </w:r>
      <w:r>
        <w:rPr>
          <w:rFonts w:hint="eastAsia" w:hAnsi="宋体"/>
          <w:color w:val="000000"/>
          <w:szCs w:val="24"/>
        </w:rPr>
        <w:t>亩，交通运输用地</w:t>
      </w:r>
      <w:r>
        <w:rPr>
          <w:rFonts w:hAnsi="宋体"/>
          <w:color w:val="000000"/>
          <w:szCs w:val="24"/>
        </w:rPr>
        <w:t>10.22</w:t>
      </w:r>
      <w:r>
        <w:rPr>
          <w:rFonts w:hint="eastAsia" w:hAnsi="宋体"/>
          <w:color w:val="000000"/>
          <w:szCs w:val="24"/>
        </w:rPr>
        <w:t>亩。</w:t>
      </w:r>
    </w:p>
    <w:p>
      <w:pPr>
        <w:pStyle w:val="183"/>
        <w:adjustRightInd w:val="0"/>
        <w:spacing w:line="480" w:lineRule="exact"/>
        <w:ind w:firstLine="480" w:firstLineChars="200"/>
        <w:rPr>
          <w:rFonts w:hAnsi="宋体"/>
        </w:rPr>
      </w:pPr>
      <w:r>
        <w:t xml:space="preserve">b) </w:t>
      </w:r>
      <w:r>
        <w:rPr>
          <w:rFonts w:hAnsi="宋体"/>
        </w:rPr>
        <w:t>房屋</w:t>
      </w:r>
    </w:p>
    <w:p>
      <w:pPr>
        <w:pStyle w:val="584"/>
        <w:ind w:firstLine="480" w:firstLineChars="200"/>
        <w:jc w:val="both"/>
        <w:rPr>
          <w:rFonts w:hAnsi="宋体"/>
          <w:color w:val="000000"/>
          <w:szCs w:val="24"/>
        </w:rPr>
      </w:pPr>
      <w:r>
        <w:rPr>
          <w:rFonts w:hint="eastAsia" w:hAnsi="宋体"/>
          <w:color w:val="000000"/>
          <w:szCs w:val="24"/>
        </w:rPr>
        <w:t>陆河抽水蓄能电站建设征地涉及广东省汕尾市陆河县新田镇激石溪村委和汕尾市吉溪林场，激石溪村全部村民于10年前集中搬迁至新田镇居住，且村内大部分房屋已于2019年农村改造时拆除，剩余本工程建设征地范围内的零星房屋均无常驻村民，仅作为生产性房屋，各方案不涉及搬迁人口。涉及房屋总面积</w:t>
      </w:r>
      <w:r>
        <w:rPr>
          <w:rFonts w:hAnsi="宋体"/>
          <w:color w:val="000000"/>
          <w:szCs w:val="24"/>
        </w:rPr>
        <w:t>1086.63</w:t>
      </w:r>
      <w:r>
        <w:rPr>
          <w:rFonts w:hint="eastAsia" w:hAnsi="宋体"/>
          <w:color w:val="000000"/>
          <w:szCs w:val="24"/>
        </w:rPr>
        <w:t>m</w:t>
      </w:r>
      <w:r>
        <w:rPr>
          <w:rFonts w:hint="eastAsia" w:hAnsi="宋体"/>
          <w:color w:val="000000"/>
          <w:szCs w:val="24"/>
          <w:vertAlign w:val="superscript"/>
        </w:rPr>
        <w:t>2</w:t>
      </w:r>
      <w:r>
        <w:rPr>
          <w:rFonts w:hint="eastAsia" w:hAnsi="宋体"/>
          <w:color w:val="000000"/>
          <w:szCs w:val="24"/>
        </w:rPr>
        <w:t>，其中砖混结构</w:t>
      </w:r>
      <w:r>
        <w:rPr>
          <w:rFonts w:hAnsi="宋体"/>
          <w:color w:val="000000"/>
          <w:szCs w:val="24"/>
        </w:rPr>
        <w:t>133.43</w:t>
      </w:r>
      <w:r>
        <w:rPr>
          <w:rFonts w:hint="eastAsia" w:hAnsi="宋体"/>
          <w:color w:val="000000"/>
          <w:szCs w:val="24"/>
        </w:rPr>
        <w:t>m</w:t>
      </w:r>
      <w:r>
        <w:rPr>
          <w:rFonts w:hint="eastAsia" w:hAnsi="宋体"/>
          <w:color w:val="000000"/>
          <w:szCs w:val="24"/>
          <w:vertAlign w:val="superscript"/>
        </w:rPr>
        <w:t>2</w:t>
      </w:r>
      <w:r>
        <w:rPr>
          <w:rFonts w:hint="eastAsia" w:hAnsi="宋体"/>
          <w:color w:val="000000"/>
          <w:szCs w:val="24"/>
        </w:rPr>
        <w:t>，砖木结构</w:t>
      </w:r>
      <w:r>
        <w:rPr>
          <w:rFonts w:hAnsi="宋体"/>
          <w:color w:val="000000"/>
          <w:szCs w:val="24"/>
        </w:rPr>
        <w:t>2.03</w:t>
      </w:r>
      <w:r>
        <w:rPr>
          <w:rFonts w:hint="eastAsia" w:hAnsi="宋体"/>
          <w:color w:val="000000"/>
          <w:szCs w:val="24"/>
        </w:rPr>
        <w:t>m</w:t>
      </w:r>
      <w:r>
        <w:rPr>
          <w:rFonts w:hint="eastAsia" w:hAnsi="宋体"/>
          <w:color w:val="000000"/>
          <w:szCs w:val="24"/>
          <w:vertAlign w:val="superscript"/>
        </w:rPr>
        <w:t>2</w:t>
      </w:r>
      <w:r>
        <w:rPr>
          <w:rFonts w:hint="eastAsia" w:hAnsi="宋体"/>
          <w:color w:val="000000"/>
          <w:szCs w:val="24"/>
        </w:rPr>
        <w:t>，土木结构1</w:t>
      </w:r>
      <w:r>
        <w:rPr>
          <w:rFonts w:hAnsi="宋体"/>
          <w:color w:val="000000"/>
          <w:szCs w:val="24"/>
        </w:rPr>
        <w:t>93.53</w:t>
      </w:r>
      <w:r>
        <w:rPr>
          <w:rFonts w:hint="eastAsia" w:hAnsi="宋体"/>
          <w:color w:val="000000"/>
          <w:szCs w:val="24"/>
        </w:rPr>
        <w:t>m</w:t>
      </w:r>
      <w:r>
        <w:rPr>
          <w:rFonts w:hAnsi="宋体"/>
          <w:color w:val="000000"/>
          <w:szCs w:val="24"/>
          <w:vertAlign w:val="superscript"/>
        </w:rPr>
        <w:t>2</w:t>
      </w:r>
      <w:r>
        <w:rPr>
          <w:rFonts w:hint="eastAsia" w:hAnsi="宋体"/>
          <w:color w:val="000000"/>
          <w:szCs w:val="24"/>
        </w:rPr>
        <w:t>，木结构</w:t>
      </w:r>
      <w:r>
        <w:rPr>
          <w:rFonts w:hAnsi="宋体"/>
          <w:color w:val="000000"/>
          <w:szCs w:val="24"/>
        </w:rPr>
        <w:t>10.2</w:t>
      </w:r>
      <w:r>
        <w:rPr>
          <w:rFonts w:hint="eastAsia" w:hAnsi="宋体"/>
          <w:color w:val="000000"/>
          <w:szCs w:val="24"/>
        </w:rPr>
        <w:t>m</w:t>
      </w:r>
      <w:r>
        <w:rPr>
          <w:rFonts w:hint="eastAsia" w:hAnsi="宋体"/>
          <w:color w:val="000000"/>
          <w:szCs w:val="24"/>
          <w:vertAlign w:val="superscript"/>
        </w:rPr>
        <w:t>2</w:t>
      </w:r>
      <w:r>
        <w:rPr>
          <w:rFonts w:hint="eastAsia" w:hAnsi="宋体"/>
          <w:color w:val="000000"/>
          <w:szCs w:val="24"/>
        </w:rPr>
        <w:t>，其他结构</w:t>
      </w:r>
      <w:r>
        <w:rPr>
          <w:rFonts w:hAnsi="宋体"/>
          <w:color w:val="000000"/>
          <w:szCs w:val="24"/>
        </w:rPr>
        <w:t>747</w:t>
      </w:r>
      <w:r>
        <w:rPr>
          <w:rFonts w:hint="eastAsia" w:hAnsi="宋体"/>
          <w:color w:val="000000"/>
          <w:szCs w:val="24"/>
        </w:rPr>
        <w:t>.44m</w:t>
      </w:r>
      <w:r>
        <w:rPr>
          <w:rFonts w:hint="eastAsia" w:hAnsi="宋体"/>
          <w:color w:val="000000"/>
          <w:szCs w:val="24"/>
          <w:vertAlign w:val="superscript"/>
        </w:rPr>
        <w:t>2</w:t>
      </w:r>
      <w:r>
        <w:rPr>
          <w:rFonts w:hint="eastAsia" w:hAnsi="宋体"/>
          <w:color w:val="000000"/>
          <w:szCs w:val="24"/>
        </w:rPr>
        <w:t>，均在水库淹没区。</w:t>
      </w:r>
    </w:p>
    <w:p>
      <w:pPr>
        <w:pStyle w:val="183"/>
        <w:adjustRightInd w:val="0"/>
        <w:spacing w:line="480" w:lineRule="exact"/>
        <w:ind w:firstLine="480" w:firstLineChars="200"/>
        <w:rPr>
          <w:rFonts w:hAnsi="宋体" w:cs="Times New Roman"/>
          <w:color w:val="000000"/>
        </w:rPr>
      </w:pPr>
      <w:r>
        <w:rPr>
          <w:rFonts w:hint="eastAsia" w:hAnsi="宋体" w:cs="Times New Roman"/>
        </w:rPr>
        <w:t xml:space="preserve">c) </w:t>
      </w:r>
      <w:r>
        <w:rPr>
          <w:rFonts w:hAnsi="宋体" w:cs="Times New Roman"/>
          <w:color w:val="000000"/>
        </w:rPr>
        <w:t>农村小型专项</w:t>
      </w:r>
    </w:p>
    <w:p>
      <w:pPr>
        <w:pStyle w:val="584"/>
        <w:ind w:firstLine="480" w:firstLineChars="200"/>
        <w:jc w:val="both"/>
        <w:rPr>
          <w:rFonts w:hAnsi="宋体"/>
          <w:color w:val="000000"/>
          <w:szCs w:val="24"/>
        </w:rPr>
      </w:pPr>
      <w:r>
        <w:t>陆河抽水蓄能电站建设征地淹没占用影响的</w:t>
      </w:r>
      <w:r>
        <w:rPr>
          <w:rFonts w:hint="eastAsia"/>
        </w:rPr>
        <w:t>拦河坝</w:t>
      </w:r>
      <w:r>
        <w:t>共368m长，灌溉渠道共15900m。</w:t>
      </w:r>
    </w:p>
    <w:p>
      <w:pPr>
        <w:pStyle w:val="183"/>
        <w:adjustRightInd w:val="0"/>
        <w:spacing w:line="480" w:lineRule="exact"/>
        <w:ind w:firstLine="480" w:firstLineChars="200"/>
        <w:rPr>
          <w:rFonts w:hAnsi="宋体"/>
        </w:rPr>
      </w:pPr>
      <w:r>
        <w:rPr>
          <w:rFonts w:hint="eastAsia"/>
        </w:rPr>
        <w:t>d</w:t>
      </w:r>
      <w:r>
        <w:t xml:space="preserve">) </w:t>
      </w:r>
      <w:r>
        <w:rPr>
          <w:rFonts w:hAnsi="宋体"/>
        </w:rPr>
        <w:t>专项设施</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工程建设征地影响专业项目涉及交通专项，包括四级公路1.76km，农村道路11.33km；涉及水利专项，包括水电站5座(激石溪老区水电站装机1</w:t>
      </w:r>
      <w:r>
        <w:rPr>
          <w:rFonts w:hAnsi="宋体"/>
          <w:color w:val="000000"/>
          <w:sz w:val="24"/>
        </w:rPr>
        <w:t>200</w:t>
      </w:r>
      <w:r>
        <w:rPr>
          <w:rFonts w:hint="eastAsia" w:hAnsi="宋体"/>
          <w:color w:val="000000"/>
          <w:sz w:val="24"/>
        </w:rPr>
        <w:t>kW、三江口水电站装机3</w:t>
      </w:r>
      <w:r>
        <w:rPr>
          <w:rFonts w:hAnsi="宋体"/>
          <w:color w:val="000000"/>
          <w:sz w:val="24"/>
        </w:rPr>
        <w:t>150</w:t>
      </w:r>
      <w:r>
        <w:rPr>
          <w:rFonts w:hint="eastAsia" w:hAnsi="宋体"/>
          <w:color w:val="000000"/>
          <w:sz w:val="24"/>
        </w:rPr>
        <w:t>kW、三坑水电站装机1</w:t>
      </w:r>
      <w:r>
        <w:rPr>
          <w:rFonts w:hAnsi="宋体"/>
          <w:color w:val="000000"/>
          <w:sz w:val="24"/>
        </w:rPr>
        <w:t>580</w:t>
      </w:r>
      <w:r>
        <w:rPr>
          <w:rFonts w:hint="eastAsia" w:hAnsi="宋体"/>
          <w:color w:val="000000"/>
          <w:sz w:val="24"/>
        </w:rPr>
        <w:t>kW、大沥唇水电站装机8</w:t>
      </w:r>
      <w:r>
        <w:rPr>
          <w:rFonts w:hAnsi="宋体"/>
          <w:color w:val="000000"/>
          <w:sz w:val="24"/>
        </w:rPr>
        <w:t>30</w:t>
      </w:r>
      <w:r>
        <w:rPr>
          <w:rFonts w:hint="eastAsia" w:hAnsi="宋体"/>
          <w:color w:val="000000"/>
          <w:sz w:val="24"/>
        </w:rPr>
        <w:t>kW、坪田水电站装机6</w:t>
      </w:r>
      <w:r>
        <w:rPr>
          <w:rFonts w:hAnsi="宋体"/>
          <w:color w:val="000000"/>
          <w:sz w:val="24"/>
        </w:rPr>
        <w:t>30</w:t>
      </w:r>
      <w:r>
        <w:rPr>
          <w:rFonts w:hint="eastAsia" w:hAnsi="宋体"/>
          <w:color w:val="000000"/>
          <w:sz w:val="24"/>
        </w:rPr>
        <w:t>kw)；涉及电力专项，包括</w:t>
      </w:r>
      <w:r>
        <w:rPr>
          <w:rFonts w:hAnsi="宋体"/>
          <w:color w:val="000000"/>
          <w:sz w:val="24"/>
        </w:rPr>
        <w:t>2</w:t>
      </w:r>
      <w:r>
        <w:rPr>
          <w:rFonts w:hint="eastAsia" w:hAnsi="宋体"/>
          <w:color w:val="000000"/>
          <w:sz w:val="24"/>
        </w:rPr>
        <w:t>0kVA变压器1台，0.4kV输电线路0.4km，10kV输电线路17.27km，3</w:t>
      </w:r>
      <w:r>
        <w:rPr>
          <w:rFonts w:hAnsi="宋体"/>
          <w:color w:val="000000"/>
          <w:sz w:val="24"/>
        </w:rPr>
        <w:t>5</w:t>
      </w:r>
      <w:r>
        <w:rPr>
          <w:rFonts w:hint="eastAsia" w:hAnsi="宋体"/>
          <w:color w:val="000000"/>
          <w:sz w:val="24"/>
        </w:rPr>
        <w:t>kV输电线路0</w:t>
      </w:r>
      <w:r>
        <w:rPr>
          <w:rFonts w:hAnsi="宋体"/>
          <w:color w:val="000000"/>
          <w:sz w:val="24"/>
        </w:rPr>
        <w:t>.80</w:t>
      </w:r>
      <w:r>
        <w:rPr>
          <w:rFonts w:hint="eastAsia" w:hAnsi="宋体"/>
          <w:color w:val="000000"/>
          <w:sz w:val="24"/>
        </w:rPr>
        <w:t>km，水泥杆1</w:t>
      </w:r>
      <w:r>
        <w:rPr>
          <w:rFonts w:hAnsi="宋体"/>
          <w:color w:val="000000"/>
          <w:sz w:val="24"/>
        </w:rPr>
        <w:t>35</w:t>
      </w:r>
      <w:r>
        <w:rPr>
          <w:rFonts w:hint="eastAsia" w:hAnsi="宋体"/>
          <w:color w:val="000000"/>
          <w:sz w:val="24"/>
        </w:rPr>
        <w:t>根，铁塔3座；涉及通信专项，包括1</w:t>
      </w:r>
      <w:r>
        <w:rPr>
          <w:rFonts w:hAnsi="宋体"/>
          <w:color w:val="000000"/>
          <w:sz w:val="24"/>
        </w:rPr>
        <w:t>2</w:t>
      </w:r>
      <w:r>
        <w:rPr>
          <w:rFonts w:hint="eastAsia" w:hAnsi="宋体"/>
          <w:color w:val="000000"/>
          <w:sz w:val="24"/>
        </w:rPr>
        <w:t>芯光缆线路</w:t>
      </w:r>
      <w:r>
        <w:rPr>
          <w:rFonts w:hAnsi="宋体"/>
          <w:color w:val="000000"/>
          <w:sz w:val="24"/>
        </w:rPr>
        <w:t>3.00</w:t>
      </w:r>
      <w:r>
        <w:rPr>
          <w:rFonts w:hint="eastAsia" w:hAnsi="宋体"/>
          <w:color w:val="000000"/>
          <w:sz w:val="24"/>
        </w:rPr>
        <w:t>km，</w:t>
      </w:r>
      <w:r>
        <w:rPr>
          <w:rFonts w:hAnsi="宋体"/>
          <w:color w:val="000000"/>
          <w:sz w:val="24"/>
        </w:rPr>
        <w:t>1</w:t>
      </w:r>
      <w:r>
        <w:rPr>
          <w:rFonts w:hint="eastAsia" w:hAnsi="宋体"/>
          <w:color w:val="000000"/>
          <w:sz w:val="24"/>
        </w:rPr>
        <w:t>6芯光缆线路</w:t>
      </w:r>
      <w:r>
        <w:rPr>
          <w:rFonts w:hAnsi="宋体"/>
          <w:color w:val="000000"/>
          <w:sz w:val="24"/>
        </w:rPr>
        <w:t>2.80</w:t>
      </w:r>
      <w:r>
        <w:rPr>
          <w:rFonts w:hint="eastAsia" w:hAnsi="宋体"/>
          <w:color w:val="000000"/>
          <w:sz w:val="24"/>
        </w:rPr>
        <w:t>km，24芯光缆线路2.</w:t>
      </w:r>
      <w:r>
        <w:rPr>
          <w:rFonts w:hAnsi="宋体"/>
          <w:color w:val="000000"/>
          <w:sz w:val="24"/>
        </w:rPr>
        <w:t>40</w:t>
      </w:r>
      <w:r>
        <w:rPr>
          <w:rFonts w:hint="eastAsia" w:hAnsi="宋体"/>
          <w:color w:val="000000"/>
          <w:sz w:val="24"/>
        </w:rPr>
        <w:t>km，48芯光缆线路</w:t>
      </w:r>
      <w:r>
        <w:rPr>
          <w:rFonts w:hAnsi="宋体"/>
          <w:color w:val="000000"/>
          <w:sz w:val="24"/>
        </w:rPr>
        <w:t>2.00</w:t>
      </w:r>
      <w:r>
        <w:rPr>
          <w:rFonts w:hint="eastAsia" w:hAnsi="宋体"/>
          <w:color w:val="000000"/>
          <w:sz w:val="24"/>
        </w:rPr>
        <w:t>km，水泥杆2</w:t>
      </w:r>
      <w:r>
        <w:rPr>
          <w:rFonts w:hAnsi="宋体"/>
          <w:color w:val="000000"/>
          <w:sz w:val="24"/>
        </w:rPr>
        <w:t>0</w:t>
      </w:r>
      <w:r>
        <w:rPr>
          <w:rFonts w:hint="eastAsia" w:hAnsi="宋体"/>
          <w:color w:val="000000"/>
          <w:sz w:val="24"/>
        </w:rPr>
        <w:t>根，信号基站2座。</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本工程不涉及县级(含)以上文物保护单位，不涉及压覆矿产。</w:t>
      </w:r>
    </w:p>
    <w:bookmarkEnd w:id="42"/>
    <w:p>
      <w:pPr>
        <w:pStyle w:val="4"/>
      </w:pPr>
      <w:bookmarkStart w:id="43" w:name="_Toc85632431"/>
      <w:bookmarkStart w:id="44" w:name="_Toc85487675"/>
      <w:bookmarkStart w:id="45" w:name="_Toc85660199"/>
      <w:r>
        <w:t>2.3.2  移民安置规划</w:t>
      </w:r>
      <w:bookmarkEnd w:id="43"/>
      <w:bookmarkEnd w:id="44"/>
      <w:bookmarkEnd w:id="45"/>
    </w:p>
    <w:p>
      <w:pPr>
        <w:pStyle w:val="584"/>
        <w:widowControl w:val="0"/>
        <w:adjustRightInd w:val="0"/>
        <w:snapToGrid w:val="0"/>
        <w:spacing w:line="480" w:lineRule="exact"/>
        <w:ind w:firstLine="480" w:firstLineChars="200"/>
        <w:jc w:val="both"/>
        <w:rPr>
          <w:szCs w:val="24"/>
        </w:rPr>
      </w:pPr>
      <w:r>
        <w:rPr>
          <w:rFonts w:hint="eastAsia" w:hAnsi="宋体"/>
          <w:szCs w:val="24"/>
        </w:rPr>
        <w:t>至规划水平年，陆河</w:t>
      </w:r>
      <w:r>
        <w:rPr>
          <w:rFonts w:hAnsi="宋体"/>
          <w:szCs w:val="24"/>
        </w:rPr>
        <w:t>抽水蓄能电站建设征地涉及生产安置人口</w:t>
      </w:r>
      <w:r>
        <w:rPr>
          <w:szCs w:val="24"/>
        </w:rPr>
        <w:t>160</w:t>
      </w:r>
      <w:r>
        <w:rPr>
          <w:rFonts w:hAnsi="宋体"/>
          <w:szCs w:val="24"/>
        </w:rPr>
        <w:t>人，</w:t>
      </w:r>
      <w:r>
        <w:rPr>
          <w:rFonts w:hint="eastAsia" w:hAnsi="宋体"/>
          <w:szCs w:val="24"/>
        </w:rPr>
        <w:t>全部采用一次性货币补偿安置</w:t>
      </w:r>
      <w:r>
        <w:rPr>
          <w:rFonts w:hAnsi="宋体"/>
          <w:szCs w:val="24"/>
        </w:rPr>
        <w:t>。</w:t>
      </w:r>
    </w:p>
    <w:p>
      <w:pPr>
        <w:adjustRightInd w:val="0"/>
        <w:snapToGrid w:val="0"/>
        <w:spacing w:line="480" w:lineRule="exact"/>
        <w:ind w:firstLine="488" w:firstLineChars="200"/>
        <w:rPr>
          <w:rFonts w:hAnsi="宋体"/>
          <w:spacing w:val="2"/>
          <w:sz w:val="24"/>
          <w:szCs w:val="22"/>
        </w:rPr>
      </w:pPr>
      <w:r>
        <w:rPr>
          <w:rFonts w:hint="eastAsia" w:hAnsi="宋体"/>
          <w:spacing w:val="2"/>
          <w:sz w:val="24"/>
          <w:szCs w:val="22"/>
        </w:rPr>
        <w:t>规划对</w:t>
      </w:r>
      <w:r>
        <w:rPr>
          <w:rFonts w:hAnsi="宋体"/>
          <w:spacing w:val="2"/>
          <w:sz w:val="24"/>
          <w:szCs w:val="22"/>
        </w:rPr>
        <w:t>影响的小型拦</w:t>
      </w:r>
      <w:r>
        <w:rPr>
          <w:rFonts w:hint="eastAsia" w:hAnsi="宋体"/>
          <w:spacing w:val="2"/>
          <w:sz w:val="24"/>
          <w:szCs w:val="22"/>
        </w:rPr>
        <w:t>水堰和灌溉</w:t>
      </w:r>
      <w:r>
        <w:rPr>
          <w:rFonts w:hAnsi="宋体"/>
          <w:spacing w:val="2"/>
          <w:sz w:val="24"/>
          <w:szCs w:val="22"/>
        </w:rPr>
        <w:t>渠道采取一次性货币补偿处理。</w:t>
      </w:r>
    </w:p>
    <w:p>
      <w:pPr>
        <w:adjustRightInd w:val="0"/>
        <w:snapToGrid w:val="0"/>
        <w:spacing w:line="480" w:lineRule="exact"/>
        <w:ind w:firstLine="480" w:firstLineChars="200"/>
        <w:rPr>
          <w:sz w:val="24"/>
          <w:szCs w:val="22"/>
        </w:rPr>
      </w:pPr>
      <w:r>
        <w:rPr>
          <w:rFonts w:hint="eastAsia"/>
          <w:sz w:val="24"/>
          <w:szCs w:val="22"/>
        </w:rPr>
        <w:t>规划对建设征地影响的个体工商户采用货币补偿后自行迁建的处理方案。</w:t>
      </w:r>
    </w:p>
    <w:p>
      <w:pPr>
        <w:adjustRightInd w:val="0"/>
        <w:snapToGrid w:val="0"/>
        <w:spacing w:line="480" w:lineRule="exact"/>
        <w:ind w:firstLine="480" w:firstLineChars="200"/>
        <w:rPr>
          <w:rFonts w:hAnsi="宋体" w:cs="Times New Roman"/>
          <w:sz w:val="24"/>
        </w:rPr>
      </w:pPr>
      <w:r>
        <w:rPr>
          <w:rFonts w:hAnsi="宋体" w:cs="Times New Roman"/>
          <w:sz w:val="24"/>
        </w:rPr>
        <w:t>规划复建道路</w:t>
      </w:r>
      <w:r>
        <w:rPr>
          <w:rFonts w:hint="eastAsia" w:hAnsi="宋体" w:cs="Times New Roman"/>
          <w:sz w:val="24"/>
        </w:rPr>
        <w:t>1</w:t>
      </w:r>
      <w:r>
        <w:rPr>
          <w:rFonts w:hAnsi="宋体" w:cs="Times New Roman"/>
          <w:sz w:val="24"/>
        </w:rPr>
        <w:t>条，四级公路</w:t>
      </w:r>
      <w:r>
        <w:rPr>
          <w:rFonts w:hint="eastAsia" w:hAnsi="宋体" w:cs="Times New Roman"/>
          <w:sz w:val="24"/>
        </w:rPr>
        <w:t>(</w:t>
      </w:r>
      <w:r>
        <w:rPr>
          <w:rFonts w:hint="eastAsia" w:hAnsi="Times New Roman" w:cs="Times New Roman"/>
          <w:sz w:val="24"/>
        </w:rPr>
        <w:t>Ⅱ</w:t>
      </w:r>
      <w:r>
        <w:rPr>
          <w:rFonts w:hint="eastAsia" w:hAnsi="宋体" w:cs="Times New Roman"/>
          <w:sz w:val="24"/>
        </w:rPr>
        <w:t>类)，</w:t>
      </w:r>
      <w:r>
        <w:rPr>
          <w:rFonts w:hAnsi="宋体" w:cs="Times New Roman"/>
          <w:sz w:val="24"/>
        </w:rPr>
        <w:t>路线长度约</w:t>
      </w:r>
      <w:r>
        <w:rPr>
          <w:rFonts w:hint="eastAsia" w:hAnsi="宋体" w:cs="Times New Roman"/>
          <w:sz w:val="24"/>
        </w:rPr>
        <w:t>2.5</w:t>
      </w:r>
      <w:r>
        <w:rPr>
          <w:rFonts w:hAnsi="宋体" w:cs="Times New Roman"/>
          <w:sz w:val="24"/>
        </w:rPr>
        <w:t>km；其余</w:t>
      </w:r>
      <w:r>
        <w:rPr>
          <w:rFonts w:hint="eastAsia" w:hAnsi="宋体" w:cs="Times New Roman"/>
          <w:sz w:val="24"/>
        </w:rPr>
        <w:t>9.95</w:t>
      </w:r>
      <w:r>
        <w:rPr>
          <w:rFonts w:hAnsi="宋体" w:cs="Times New Roman"/>
          <w:sz w:val="24"/>
        </w:rPr>
        <w:t>km均为货币补偿</w:t>
      </w:r>
      <w:r>
        <w:rPr>
          <w:rFonts w:hint="eastAsia" w:hAnsi="宋体" w:cs="Times New Roman"/>
          <w:sz w:val="24"/>
        </w:rPr>
        <w:t>。</w:t>
      </w:r>
      <w:r>
        <w:rPr>
          <w:rFonts w:hint="eastAsia" w:hAnsi="宋体"/>
          <w:sz w:val="24"/>
        </w:rPr>
        <w:t>规划</w:t>
      </w:r>
      <w:r>
        <w:rPr>
          <w:rFonts w:hAnsi="宋体"/>
          <w:sz w:val="24"/>
        </w:rPr>
        <w:t>对</w:t>
      </w:r>
      <w:r>
        <w:rPr>
          <w:rFonts w:hint="eastAsia" w:hAnsi="宋体"/>
          <w:sz w:val="24"/>
        </w:rPr>
        <w:t>三江口水电站、三坑水电站、大沥唇水电站、坪田水电站以及激</w:t>
      </w:r>
      <w:r>
        <w:rPr>
          <w:rFonts w:hint="eastAsia" w:hAnsi="宋体" w:cs="Times New Roman"/>
          <w:sz w:val="24"/>
        </w:rPr>
        <w:t>石溪老区水电站由于水量减少而损失的装机容量采取一次性货币补偿处理。规划复建35kV电力线路2.2km，复建10kV电力线路10.90km。规划复建权属电信公司的通信杆路1段，长度为2.20km，24芯光缆线路2条，总长度为4.40km，12芯光缆线路2条，总长度为4.40km；复建移动公司通信杆路1段，长度为2.20km，12芯光缆线路1条，总长度为2.20km；另搬迁电信公司的激溪林场C网基站一座，将除15m高的支撑铁塔及铁皮构架外的所有设备搬迁至老区水电站蓄水池边上的激溪林场基站。</w:t>
      </w:r>
    </w:p>
    <w:p>
      <w:pPr>
        <w:adjustRightInd w:val="0"/>
        <w:snapToGrid w:val="0"/>
        <w:spacing w:line="520" w:lineRule="atLeast"/>
        <w:ind w:firstLine="480" w:firstLineChars="200"/>
        <w:rPr>
          <w:rFonts w:ascii="Tahoma" w:hAnsi="Tahoma" w:cs="Tahoma"/>
          <w:sz w:val="24"/>
          <w:szCs w:val="24"/>
        </w:rPr>
      </w:pPr>
      <w:r>
        <w:rPr>
          <w:rFonts w:hint="eastAsia"/>
          <w:color w:val="000000"/>
          <w:sz w:val="24"/>
        </w:rPr>
        <w:t>规划在工程施工期对征地红线外不远处的</w:t>
      </w:r>
      <w:r>
        <w:rPr>
          <w:color w:val="000000"/>
          <w:sz w:val="24"/>
        </w:rPr>
        <w:t>红二师纪念亭</w:t>
      </w:r>
      <w:r>
        <w:rPr>
          <w:rFonts w:hint="eastAsia"/>
          <w:color w:val="000000"/>
          <w:sz w:val="24"/>
        </w:rPr>
        <w:t>采取临时保护措施。</w:t>
      </w:r>
    </w:p>
    <w:p>
      <w:pPr>
        <w:pStyle w:val="2"/>
      </w:pPr>
      <w:bookmarkStart w:id="46" w:name="_Toc86265069"/>
      <w:bookmarkStart w:id="47" w:name="_Toc85660200"/>
      <w:bookmarkStart w:id="48" w:name="_Toc85487677"/>
      <w:r>
        <w:br w:type="page"/>
      </w:r>
      <w:bookmarkStart w:id="49" w:name="_Toc90934860"/>
      <w:r>
        <w:t>3  建设征地处理范围及实物指标</w:t>
      </w:r>
      <w:bookmarkEnd w:id="46"/>
      <w:bookmarkEnd w:id="47"/>
      <w:bookmarkEnd w:id="48"/>
      <w:bookmarkEnd w:id="49"/>
      <w:r>
        <w:t xml:space="preserve"> </w:t>
      </w:r>
    </w:p>
    <w:p>
      <w:pPr>
        <w:pStyle w:val="3"/>
      </w:pPr>
      <w:bookmarkStart w:id="50" w:name="_Toc86265070"/>
      <w:bookmarkStart w:id="51" w:name="_Toc85660201"/>
      <w:bookmarkStart w:id="52" w:name="_Toc85487678"/>
      <w:bookmarkStart w:id="53" w:name="_Toc90934861"/>
      <w:r>
        <w:t>3.1  建设征地处理范围</w:t>
      </w:r>
      <w:bookmarkEnd w:id="50"/>
      <w:bookmarkEnd w:id="51"/>
      <w:bookmarkEnd w:id="52"/>
      <w:bookmarkEnd w:id="53"/>
    </w:p>
    <w:p>
      <w:pPr>
        <w:overflowPunct w:val="0"/>
        <w:autoSpaceDE w:val="0"/>
        <w:autoSpaceDN w:val="0"/>
        <w:adjustRightInd w:val="0"/>
        <w:spacing w:line="480" w:lineRule="exact"/>
        <w:ind w:firstLine="464" w:firstLineChars="200"/>
        <w:rPr>
          <w:spacing w:val="-4"/>
          <w:sz w:val="24"/>
          <w:szCs w:val="24"/>
        </w:rPr>
      </w:pPr>
      <w:r>
        <w:rPr>
          <w:rFonts w:hint="eastAsia" w:hAnsi="宋体"/>
          <w:spacing w:val="-4"/>
          <w:sz w:val="24"/>
          <w:szCs w:val="24"/>
        </w:rPr>
        <w:t>陆河</w:t>
      </w:r>
      <w:r>
        <w:rPr>
          <w:rFonts w:hAnsi="宋体"/>
          <w:spacing w:val="-4"/>
          <w:sz w:val="24"/>
          <w:szCs w:val="24"/>
        </w:rPr>
        <w:t>抽水蓄能电站工程建设征地范围主要包括水库淹没影响区和枢纽工程建设区。</w:t>
      </w:r>
    </w:p>
    <w:p>
      <w:pPr>
        <w:pStyle w:val="4"/>
      </w:pPr>
      <w:bookmarkStart w:id="54" w:name="_Toc85632434"/>
      <w:bookmarkStart w:id="55" w:name="_Toc85487679"/>
      <w:bookmarkStart w:id="56" w:name="_Toc85660202"/>
      <w:r>
        <w:t>3.1.1  水库淹没影响区</w:t>
      </w:r>
      <w:bookmarkEnd w:id="54"/>
      <w:bookmarkEnd w:id="55"/>
      <w:bookmarkEnd w:id="56"/>
    </w:p>
    <w:p>
      <w:pPr>
        <w:pStyle w:val="5"/>
        <w:snapToGrid w:val="0"/>
      </w:pPr>
      <w:r>
        <w:t>3.1.1.1  水库淹没区</w:t>
      </w:r>
    </w:p>
    <w:p>
      <w:pPr>
        <w:overflowPunct w:val="0"/>
        <w:autoSpaceDE w:val="0"/>
        <w:autoSpaceDN w:val="0"/>
        <w:adjustRightInd w:val="0"/>
        <w:spacing w:line="480" w:lineRule="exact"/>
        <w:ind w:firstLine="480" w:firstLineChars="200"/>
        <w:rPr>
          <w:rFonts w:hAnsi="宋体"/>
          <w:sz w:val="24"/>
        </w:rPr>
      </w:pPr>
      <w:r>
        <w:rPr>
          <w:rFonts w:hint="eastAsia" w:hAnsi="宋体"/>
          <w:sz w:val="24"/>
        </w:rPr>
        <w:t>水库淹没区是由水库正常蓄水位以下的区域及水库正常蓄水位以上受水库洪水回水、风浪和船行波、冰塞壅水等临时淹没的区域的外包线确定。</w:t>
      </w:r>
    </w:p>
    <w:p>
      <w:pPr>
        <w:overflowPunct w:val="0"/>
        <w:autoSpaceDE w:val="0"/>
        <w:autoSpaceDN w:val="0"/>
        <w:adjustRightInd w:val="0"/>
        <w:spacing w:line="480" w:lineRule="exact"/>
        <w:ind w:firstLine="480" w:firstLineChars="200"/>
        <w:rPr>
          <w:rFonts w:hAnsi="宋体"/>
          <w:sz w:val="24"/>
        </w:rPr>
      </w:pPr>
      <w:r>
        <w:rPr>
          <w:rFonts w:hint="eastAsia" w:hAnsi="宋体"/>
          <w:sz w:val="24"/>
        </w:rPr>
        <w:t>a) 设计洪水标准</w:t>
      </w:r>
    </w:p>
    <w:p>
      <w:pPr>
        <w:overflowPunct w:val="0"/>
        <w:autoSpaceDE w:val="0"/>
        <w:autoSpaceDN w:val="0"/>
        <w:adjustRightInd w:val="0"/>
        <w:spacing w:line="480" w:lineRule="exact"/>
        <w:ind w:firstLine="480" w:firstLineChars="200"/>
        <w:rPr>
          <w:rFonts w:hAnsi="宋体"/>
          <w:sz w:val="24"/>
        </w:rPr>
      </w:pPr>
      <w:r>
        <w:rPr>
          <w:rFonts w:hint="eastAsia" w:hAnsi="宋体"/>
          <w:sz w:val="24"/>
        </w:rPr>
        <w:t>根据NB/T 10338-2019《水电工程建设征地处理范围界定规范》及GB</w:t>
      </w:r>
      <w:r>
        <w:rPr>
          <w:rFonts w:hAnsi="宋体"/>
          <w:sz w:val="24"/>
        </w:rPr>
        <w:t xml:space="preserve"> </w:t>
      </w:r>
      <w:r>
        <w:rPr>
          <w:rFonts w:hint="eastAsia" w:hAnsi="宋体"/>
          <w:sz w:val="24"/>
        </w:rPr>
        <w:t>50201-2014《防洪标准》和相关专业项目技术标准，水库淹没对象处理设计洪水标准如下：</w:t>
      </w:r>
    </w:p>
    <w:p>
      <w:pPr>
        <w:overflowPunct w:val="0"/>
        <w:autoSpaceDE w:val="0"/>
        <w:autoSpaceDN w:val="0"/>
        <w:adjustRightInd w:val="0"/>
        <w:spacing w:line="480" w:lineRule="exact"/>
        <w:ind w:firstLine="480" w:firstLineChars="200"/>
        <w:rPr>
          <w:rFonts w:hAnsi="宋体"/>
          <w:sz w:val="24"/>
        </w:rPr>
      </w:pPr>
      <w:r>
        <w:rPr>
          <w:rFonts w:hint="eastAsia" w:hAnsi="宋体"/>
          <w:sz w:val="24"/>
        </w:rPr>
        <w:t>1) 耕地、园地的设计洪水标准为5年一遇(P=20%)；</w:t>
      </w:r>
    </w:p>
    <w:p>
      <w:pPr>
        <w:overflowPunct w:val="0"/>
        <w:autoSpaceDE w:val="0"/>
        <w:autoSpaceDN w:val="0"/>
        <w:adjustRightInd w:val="0"/>
        <w:spacing w:line="480" w:lineRule="exact"/>
        <w:ind w:firstLine="480" w:firstLineChars="200"/>
        <w:rPr>
          <w:rFonts w:hAnsi="宋体"/>
          <w:sz w:val="24"/>
        </w:rPr>
      </w:pPr>
      <w:r>
        <w:rPr>
          <w:rFonts w:hint="eastAsia" w:hAnsi="宋体"/>
          <w:sz w:val="24"/>
        </w:rPr>
        <w:t>2) 各类林地、草地、未利用地，设计洪水标准为正常蓄水位；</w:t>
      </w:r>
    </w:p>
    <w:p>
      <w:pPr>
        <w:overflowPunct w:val="0"/>
        <w:autoSpaceDE w:val="0"/>
        <w:autoSpaceDN w:val="0"/>
        <w:adjustRightInd w:val="0"/>
        <w:spacing w:line="480" w:lineRule="exact"/>
        <w:ind w:firstLine="480" w:firstLineChars="200"/>
        <w:rPr>
          <w:rFonts w:hAnsi="宋体"/>
          <w:sz w:val="24"/>
        </w:rPr>
      </w:pPr>
      <w:r>
        <w:rPr>
          <w:rFonts w:hint="eastAsia" w:hAnsi="宋体"/>
          <w:sz w:val="24"/>
        </w:rPr>
        <w:t>3) 农村居民点、房屋及附属设施，设计洪水标准为20年一遇(P=5%)；</w:t>
      </w:r>
    </w:p>
    <w:p>
      <w:pPr>
        <w:overflowPunct w:val="0"/>
        <w:autoSpaceDE w:val="0"/>
        <w:autoSpaceDN w:val="0"/>
        <w:adjustRightInd w:val="0"/>
        <w:spacing w:line="480" w:lineRule="exact"/>
        <w:ind w:firstLine="480" w:firstLineChars="200"/>
        <w:rPr>
          <w:rFonts w:hAnsi="宋体"/>
          <w:sz w:val="24"/>
        </w:rPr>
      </w:pPr>
      <w:r>
        <w:rPr>
          <w:rFonts w:hint="eastAsia" w:hAnsi="宋体"/>
          <w:sz w:val="24"/>
        </w:rPr>
        <w:t>4) 专业项目：根据GB</w:t>
      </w:r>
      <w:r>
        <w:rPr>
          <w:rFonts w:hAnsi="宋体"/>
          <w:sz w:val="24"/>
        </w:rPr>
        <w:t xml:space="preserve"> </w:t>
      </w:r>
      <w:r>
        <w:rPr>
          <w:rFonts w:hint="eastAsia" w:hAnsi="宋体"/>
          <w:sz w:val="24"/>
        </w:rPr>
        <w:t>50201-2014《防洪标准》和相关专业项目技术标准确定设计洪水标准，GB</w:t>
      </w:r>
      <w:r>
        <w:rPr>
          <w:rFonts w:hAnsi="宋体"/>
          <w:sz w:val="24"/>
        </w:rPr>
        <w:t xml:space="preserve"> </w:t>
      </w:r>
      <w:r>
        <w:rPr>
          <w:rFonts w:hint="eastAsia" w:hAnsi="宋体"/>
          <w:sz w:val="24"/>
        </w:rPr>
        <w:t>50201-2014《防洪标准》和相关专业项目技术标准无规定的如农村道路、机耕道、四级公路、水利、电力、电信、文物古迹、小水电站、文教卫设施等及企事业单位等专项设施设计洪水标准为20年一遇(P=5%)；</w:t>
      </w:r>
    </w:p>
    <w:p>
      <w:pPr>
        <w:overflowPunct w:val="0"/>
        <w:autoSpaceDE w:val="0"/>
        <w:autoSpaceDN w:val="0"/>
        <w:adjustRightInd w:val="0"/>
        <w:spacing w:line="480" w:lineRule="exact"/>
        <w:ind w:firstLine="480" w:firstLineChars="200"/>
        <w:rPr>
          <w:rFonts w:hAnsi="宋体"/>
          <w:sz w:val="24"/>
        </w:rPr>
      </w:pPr>
      <w:r>
        <w:rPr>
          <w:rFonts w:hint="eastAsia" w:hAnsi="宋体"/>
          <w:sz w:val="24"/>
        </w:rPr>
        <w:t>5) 水库泥沙淤积年限考虑20年。</w:t>
      </w:r>
    </w:p>
    <w:p>
      <w:pPr>
        <w:overflowPunct w:val="0"/>
        <w:autoSpaceDE w:val="0"/>
        <w:autoSpaceDN w:val="0"/>
        <w:adjustRightInd w:val="0"/>
        <w:spacing w:line="480" w:lineRule="exact"/>
        <w:ind w:firstLine="480" w:firstLineChars="200"/>
        <w:rPr>
          <w:rFonts w:hAnsi="宋体"/>
          <w:sz w:val="24"/>
        </w:rPr>
      </w:pPr>
      <w:r>
        <w:rPr>
          <w:rFonts w:hint="eastAsia" w:hAnsi="宋体"/>
          <w:sz w:val="24"/>
        </w:rPr>
        <w:t>b) 安全超高</w:t>
      </w:r>
    </w:p>
    <w:p>
      <w:pPr>
        <w:overflowPunct w:val="0"/>
        <w:autoSpaceDE w:val="0"/>
        <w:autoSpaceDN w:val="0"/>
        <w:adjustRightInd w:val="0"/>
        <w:spacing w:line="480" w:lineRule="exact"/>
        <w:ind w:firstLine="480" w:firstLineChars="200"/>
        <w:rPr>
          <w:rFonts w:hAnsi="宋体"/>
          <w:sz w:val="24"/>
        </w:rPr>
      </w:pPr>
      <w:r>
        <w:rPr>
          <w:rFonts w:hint="eastAsia" w:hAnsi="宋体"/>
          <w:sz w:val="24"/>
        </w:rPr>
        <w:t>从安全角度出发，考虑风浪爬高(0.41m)等因素影响，耕地、园地水库安全超高取0.5m，农村居民、房屋及附属设施、专业项目等水库安全超高取1.0m。</w:t>
      </w:r>
    </w:p>
    <w:p>
      <w:pPr>
        <w:overflowPunct w:val="0"/>
        <w:autoSpaceDE w:val="0"/>
        <w:autoSpaceDN w:val="0"/>
        <w:adjustRightInd w:val="0"/>
        <w:spacing w:line="480" w:lineRule="exact"/>
        <w:ind w:firstLine="480" w:firstLineChars="200"/>
        <w:rPr>
          <w:rFonts w:hAnsi="宋体"/>
          <w:sz w:val="24"/>
        </w:rPr>
      </w:pPr>
      <w:r>
        <w:rPr>
          <w:rFonts w:hint="eastAsia" w:hAnsi="宋体"/>
          <w:sz w:val="24"/>
        </w:rPr>
        <w:t>c) 水库淹没范围确定原则</w:t>
      </w:r>
    </w:p>
    <w:p>
      <w:pPr>
        <w:overflowPunct w:val="0"/>
        <w:autoSpaceDE w:val="0"/>
        <w:autoSpaceDN w:val="0"/>
        <w:adjustRightInd w:val="0"/>
        <w:spacing w:line="480" w:lineRule="exact"/>
        <w:ind w:firstLine="480" w:firstLineChars="200"/>
        <w:rPr>
          <w:rFonts w:hAnsi="宋体"/>
          <w:sz w:val="24"/>
        </w:rPr>
      </w:pPr>
      <w:r>
        <w:rPr>
          <w:rFonts w:hint="eastAsia" w:hAnsi="宋体"/>
          <w:sz w:val="24"/>
        </w:rPr>
        <w:t>1) 农村居民、房屋及附属设施、一般专项设施等，按正常蓄水位加1m接超过该水位的20年一遇洪水回水位确定淹没处理范围。</w:t>
      </w:r>
    </w:p>
    <w:p>
      <w:pPr>
        <w:overflowPunct w:val="0"/>
        <w:autoSpaceDE w:val="0"/>
        <w:autoSpaceDN w:val="0"/>
        <w:adjustRightInd w:val="0"/>
        <w:spacing w:line="480" w:lineRule="exact"/>
        <w:ind w:firstLine="480" w:firstLineChars="200"/>
        <w:rPr>
          <w:rFonts w:hAnsi="宋体"/>
          <w:sz w:val="24"/>
        </w:rPr>
      </w:pPr>
      <w:r>
        <w:rPr>
          <w:rFonts w:hint="eastAsia" w:hAnsi="宋体"/>
          <w:sz w:val="24"/>
        </w:rPr>
        <w:t>2) 耕地、园地按正常蓄水位加0.5m接超过该水位的5年一遇洪水回水位确定淹没处理范围。</w:t>
      </w:r>
    </w:p>
    <w:p>
      <w:pPr>
        <w:overflowPunct w:val="0"/>
        <w:autoSpaceDE w:val="0"/>
        <w:autoSpaceDN w:val="0"/>
        <w:adjustRightInd w:val="0"/>
        <w:spacing w:line="480" w:lineRule="exact"/>
        <w:ind w:firstLine="480" w:firstLineChars="200"/>
        <w:rPr>
          <w:sz w:val="24"/>
        </w:rPr>
      </w:pPr>
      <w:r>
        <w:rPr>
          <w:rFonts w:hint="eastAsia" w:hAnsi="宋体"/>
          <w:sz w:val="24"/>
        </w:rPr>
        <w:t xml:space="preserve">3) 各类林地、草地、未利用地，按正常蓄水位确定淹没处理范围。 </w:t>
      </w:r>
      <w:r>
        <w:rPr>
          <w:rFonts w:hAnsi="宋体"/>
          <w:sz w:val="24"/>
        </w:rPr>
        <w:t>水库淹没处理范围</w:t>
      </w:r>
      <w:r>
        <w:rPr>
          <w:rFonts w:hint="eastAsia" w:hAnsi="宋体"/>
          <w:sz w:val="24"/>
        </w:rPr>
        <w:t>。</w:t>
      </w:r>
    </w:p>
    <w:p>
      <w:pPr>
        <w:numPr>
          <w:ilvl w:val="0"/>
          <w:numId w:val="0"/>
        </w:numPr>
        <w:overflowPunct w:val="0"/>
        <w:autoSpaceDE w:val="0"/>
        <w:autoSpaceDN w:val="0"/>
        <w:adjustRightInd w:val="0"/>
        <w:spacing w:line="480" w:lineRule="exact"/>
        <w:ind w:left="482" w:firstLine="0"/>
        <w:rPr>
          <w:sz w:val="24"/>
        </w:rPr>
      </w:pPr>
      <w:r>
        <w:rPr>
          <w:rFonts w:hint="eastAsia" w:hAnsi="宋体"/>
          <w:sz w:val="24"/>
        </w:rPr>
        <w:t>d</w:t>
      </w:r>
      <w:r>
        <w:rPr>
          <w:rFonts w:hAnsi="宋体"/>
          <w:sz w:val="24"/>
        </w:rPr>
        <w:t>) 上水库淹没处理范围</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上水库位于陆河县新田镇坪天栋西面的下坪田水库，上水库流域面积小、水面宽广、河道距离短且坡降陡，水库形态呈盆状。结合库盆条件和河道特性，上水库建成后的水面四周均被大坝和山体围绕，库内各冲沟的平均坡降在10%~15%之间，远大于临界坡降，洪水时为急流状态，不会产生回水上延。因此，上水库不进行回水计算，库区P=5%、20%洪水的回水曲线即坝前最高水位的水平线。</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经调洪计算，推荐方案P=5%、20%频率洪水坝前最高水位分别为852.18m(壅高值大于1m)、和851.75m(壅高值大于0.5m)上水库淹没处理范围如下：</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1) 农村居民、房屋及附属设施、一般专项设施等，按P=5%频率洪水坝前最高水位(852.18m)确定淹没处理范围。</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2) 耕地、园地按P=20%频率洪水坝前最高水位(851.75m)确定淹没处理范围。</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3) 各类林地、草地、未利用地，按正常蓄水位851m确定淹没处理范围。</w:t>
      </w:r>
    </w:p>
    <w:p>
      <w:pPr>
        <w:overflowPunct w:val="0"/>
        <w:autoSpaceDE w:val="0"/>
        <w:autoSpaceDN w:val="0"/>
        <w:adjustRightInd w:val="0"/>
        <w:spacing w:line="480" w:lineRule="exact"/>
        <w:ind w:firstLine="480" w:firstLineChars="200"/>
        <w:rPr>
          <w:color w:val="000000"/>
          <w:sz w:val="24"/>
        </w:rPr>
      </w:pPr>
      <w:r>
        <w:rPr>
          <w:rFonts w:hint="eastAsia" w:hAnsi="宋体"/>
          <w:color w:val="000000"/>
          <w:sz w:val="24"/>
        </w:rPr>
        <w:t>4) 专业项目：项目淹没影响涉及的水利、电力、通信、交通等专项设施，按P=5%频率洪水坝前最高水位(852.18m)确定淹没处理范围。</w:t>
      </w:r>
    </w:p>
    <w:p>
      <w:pPr>
        <w:numPr>
          <w:ilvl w:val="0"/>
          <w:numId w:val="0"/>
        </w:numPr>
        <w:overflowPunct w:val="0"/>
        <w:autoSpaceDE w:val="0"/>
        <w:autoSpaceDN w:val="0"/>
        <w:adjustRightInd w:val="0"/>
        <w:spacing w:line="480" w:lineRule="exact"/>
        <w:ind w:left="480" w:firstLine="0" w:firstLineChars="0"/>
        <w:rPr>
          <w:color w:val="000000"/>
          <w:sz w:val="24"/>
        </w:rPr>
      </w:pPr>
      <w:r>
        <w:rPr>
          <w:rFonts w:hAnsi="宋体"/>
          <w:color w:val="000000"/>
          <w:sz w:val="24"/>
        </w:rPr>
        <w:t>e) 下水库淹没处理范围</w:t>
      </w:r>
    </w:p>
    <w:p>
      <w:pPr>
        <w:overflowPunct w:val="0"/>
        <w:autoSpaceDE w:val="0"/>
        <w:autoSpaceDN w:val="0"/>
        <w:adjustRightInd w:val="0"/>
        <w:spacing w:line="480" w:lineRule="exact"/>
        <w:ind w:firstLine="480" w:firstLineChars="200"/>
        <w:rPr>
          <w:color w:val="000000"/>
          <w:sz w:val="24"/>
        </w:rPr>
      </w:pPr>
      <w:r>
        <w:rPr>
          <w:rFonts w:hint="eastAsia"/>
          <w:color w:val="000000"/>
          <w:sz w:val="24"/>
        </w:rPr>
        <w:t>下库位于激石溪村，地形开阔，地势平坦，专业项目和耕地比较集中。下水库淹没处理范围如下：</w:t>
      </w:r>
    </w:p>
    <w:p>
      <w:pPr>
        <w:overflowPunct w:val="0"/>
        <w:autoSpaceDE w:val="0"/>
        <w:autoSpaceDN w:val="0"/>
        <w:adjustRightInd w:val="0"/>
        <w:spacing w:line="480" w:lineRule="exact"/>
        <w:ind w:firstLine="480" w:firstLineChars="200"/>
        <w:rPr>
          <w:color w:val="000000"/>
          <w:sz w:val="24"/>
        </w:rPr>
      </w:pPr>
      <w:r>
        <w:rPr>
          <w:rFonts w:hint="eastAsia"/>
          <w:color w:val="000000"/>
          <w:sz w:val="24"/>
        </w:rPr>
        <w:t>1) 农村居民、房屋及附属设施、一般专项设施等，按正常蓄水位加1m(232m)与20年一遇洪水回水组成的外包线确定淹没处理范围。</w:t>
      </w:r>
    </w:p>
    <w:p>
      <w:pPr>
        <w:overflowPunct w:val="0"/>
        <w:autoSpaceDE w:val="0"/>
        <w:autoSpaceDN w:val="0"/>
        <w:adjustRightInd w:val="0"/>
        <w:spacing w:line="480" w:lineRule="exact"/>
        <w:ind w:firstLine="480" w:firstLineChars="200"/>
        <w:rPr>
          <w:color w:val="000000"/>
          <w:sz w:val="24"/>
        </w:rPr>
      </w:pPr>
      <w:r>
        <w:rPr>
          <w:rFonts w:hint="eastAsia"/>
          <w:color w:val="000000"/>
          <w:sz w:val="24"/>
        </w:rPr>
        <w:t>2) 耕地、园地，按正常蓄水位加0.5m(232.5m)与5年一遇洪水回水组成的外包线确定淹没处理范围。</w:t>
      </w:r>
    </w:p>
    <w:p>
      <w:pPr>
        <w:overflowPunct w:val="0"/>
        <w:autoSpaceDE w:val="0"/>
        <w:autoSpaceDN w:val="0"/>
        <w:adjustRightInd w:val="0"/>
        <w:spacing w:line="480" w:lineRule="exact"/>
        <w:ind w:firstLine="480" w:firstLineChars="200"/>
        <w:rPr>
          <w:color w:val="000000"/>
          <w:sz w:val="24"/>
        </w:rPr>
      </w:pPr>
      <w:r>
        <w:rPr>
          <w:rFonts w:hint="eastAsia"/>
          <w:color w:val="000000"/>
          <w:sz w:val="24"/>
        </w:rPr>
        <w:t>3) 各类林地、草地、未利用地，按正常蓄水位232m确定淹没处理范围。</w:t>
      </w:r>
    </w:p>
    <w:p>
      <w:pPr>
        <w:overflowPunct w:val="0"/>
        <w:autoSpaceDE w:val="0"/>
        <w:autoSpaceDN w:val="0"/>
        <w:adjustRightInd w:val="0"/>
        <w:spacing w:line="480" w:lineRule="exact"/>
        <w:ind w:firstLine="480" w:firstLineChars="200"/>
        <w:rPr>
          <w:color w:val="000000"/>
          <w:sz w:val="24"/>
        </w:rPr>
      </w:pPr>
      <w:r>
        <w:rPr>
          <w:rFonts w:hint="eastAsia"/>
          <w:color w:val="000000"/>
          <w:sz w:val="24"/>
        </w:rPr>
        <w:t>4) 根据《水电工程建设征地处理范围界定规范》(NB/T 10338-2019)，以设计洪水回水水面线与同频率天然洪水水面线差值为0.3m处的计算断面为水库回水末端断面，末端断面水平延伸至天然多年平均流量水面线相交处为处理终点。</w:t>
      </w:r>
    </w:p>
    <w:p>
      <w:pPr>
        <w:overflowPunct w:val="0"/>
        <w:autoSpaceDE w:val="0"/>
        <w:autoSpaceDN w:val="0"/>
        <w:adjustRightInd w:val="0"/>
        <w:spacing w:line="480" w:lineRule="exact"/>
        <w:ind w:firstLine="480" w:firstLineChars="200"/>
        <w:rPr>
          <w:rFonts w:hAnsi="宋体"/>
          <w:color w:val="000000"/>
          <w:kern w:val="0"/>
          <w:sz w:val="24"/>
        </w:rPr>
      </w:pPr>
      <w:r>
        <w:rPr>
          <w:rFonts w:hint="eastAsia" w:hAnsi="宋体"/>
          <w:color w:val="000000"/>
          <w:kern w:val="0"/>
          <w:sz w:val="24"/>
        </w:rPr>
        <w:t>陆河</w:t>
      </w:r>
      <w:r>
        <w:rPr>
          <w:rFonts w:hAnsi="宋体"/>
          <w:color w:val="000000"/>
          <w:kern w:val="0"/>
          <w:sz w:val="24"/>
        </w:rPr>
        <w:t>抽水蓄能电站下水库淹没范围线详见表</w:t>
      </w:r>
      <w:r>
        <w:rPr>
          <w:color w:val="000000"/>
          <w:kern w:val="0"/>
          <w:sz w:val="24"/>
        </w:rPr>
        <w:t>3.1.1-1</w:t>
      </w:r>
      <w:r>
        <w:rPr>
          <w:rFonts w:hAnsi="宋体"/>
          <w:color w:val="000000"/>
          <w:kern w:val="0"/>
          <w:sz w:val="24"/>
        </w:rPr>
        <w:t>。</w:t>
      </w:r>
    </w:p>
    <w:p>
      <w:pPr>
        <w:overflowPunct w:val="0"/>
        <w:autoSpaceDE w:val="0"/>
        <w:autoSpaceDN w:val="0"/>
        <w:adjustRightInd w:val="0"/>
        <w:spacing w:line="480" w:lineRule="exact"/>
        <w:ind w:firstLine="480" w:firstLineChars="200"/>
        <w:rPr>
          <w:rFonts w:hAnsi="宋体"/>
          <w:color w:val="000000"/>
          <w:kern w:val="0"/>
          <w:sz w:val="24"/>
        </w:rPr>
        <w:sectPr>
          <w:footerReference r:id="rId6" w:type="default"/>
          <w:pgSz w:w="11906" w:h="16838"/>
          <w:pgMar w:top="1588" w:right="1565" w:bottom="1531" w:left="1565" w:header="1134" w:footer="1247" w:gutter="0"/>
          <w:pgNumType w:start="1"/>
          <w:cols w:space="720" w:num="1"/>
          <w:docGrid w:linePitch="312" w:charSpace="0"/>
        </w:sectPr>
      </w:pPr>
    </w:p>
    <w:p>
      <w:pPr>
        <w:pStyle w:val="517"/>
        <w:rPr>
          <w:color w:val="000000"/>
        </w:rPr>
      </w:pPr>
      <w:r>
        <w:rPr>
          <w:color w:val="000000"/>
        </w:rPr>
        <w:t>表3.1.1-1</w:t>
      </w:r>
      <w:r>
        <w:rPr>
          <w:rFonts w:hint="eastAsia"/>
          <w:color w:val="000000"/>
        </w:rPr>
        <w:t xml:space="preserve">  陆河</w:t>
      </w:r>
      <w:r>
        <w:rPr>
          <w:color w:val="000000"/>
        </w:rPr>
        <w:t>抽水蓄能电站下水库</w:t>
      </w:r>
      <w:r>
        <w:rPr>
          <w:rFonts w:hint="eastAsia"/>
          <w:color w:val="000000"/>
        </w:rPr>
        <w:t>各频率</w:t>
      </w:r>
      <w:r>
        <w:rPr>
          <w:color w:val="000000"/>
        </w:rPr>
        <w:t>回水计算成果</w:t>
      </w:r>
    </w:p>
    <w:tbl>
      <w:tblPr>
        <w:tblStyle w:val="79"/>
        <w:tblW w:w="13646"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17"/>
        <w:gridCol w:w="1042"/>
        <w:gridCol w:w="1512"/>
        <w:gridCol w:w="1244"/>
        <w:gridCol w:w="1039"/>
        <w:gridCol w:w="1512"/>
        <w:gridCol w:w="1039"/>
        <w:gridCol w:w="1046"/>
        <w:gridCol w:w="1122"/>
        <w:gridCol w:w="1122"/>
        <w:gridCol w:w="105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restart"/>
            <w:noWrap/>
            <w:vAlign w:val="center"/>
          </w:tcPr>
          <w:p>
            <w:pPr>
              <w:widowControl/>
              <w:adjustRightInd w:val="0"/>
              <w:snapToGrid w:val="0"/>
              <w:ind w:left="-105" w:leftChars="-50" w:right="-105" w:rightChars="-50"/>
              <w:jc w:val="center"/>
              <w:textAlignment w:val="center"/>
            </w:pPr>
            <w:r>
              <w:rPr>
                <w:rFonts w:hAnsi="宋体"/>
                <w:kern w:val="0"/>
                <w:lang w:bidi="ar"/>
              </w:rPr>
              <w:t>序号</w:t>
            </w:r>
          </w:p>
        </w:tc>
        <w:tc>
          <w:tcPr>
            <w:tcW w:w="1042" w:type="dxa"/>
            <w:vMerge w:val="restart"/>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断面</w:t>
            </w:r>
          </w:p>
          <w:p>
            <w:pPr>
              <w:widowControl/>
              <w:adjustRightInd w:val="0"/>
              <w:snapToGrid w:val="0"/>
              <w:ind w:left="-105" w:leftChars="-50" w:right="-105" w:rightChars="-50"/>
              <w:jc w:val="center"/>
              <w:textAlignment w:val="center"/>
            </w:pPr>
            <w:r>
              <w:rPr>
                <w:rFonts w:hAnsi="宋体"/>
                <w:kern w:val="0"/>
                <w:lang w:bidi="ar"/>
              </w:rPr>
              <w:t>间距</w:t>
            </w:r>
          </w:p>
        </w:tc>
        <w:tc>
          <w:tcPr>
            <w:tcW w:w="1512" w:type="dxa"/>
            <w:vMerge w:val="restart"/>
            <w:noWrap/>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距坝</w:t>
            </w:r>
          </w:p>
          <w:p>
            <w:pPr>
              <w:widowControl/>
              <w:adjustRightInd w:val="0"/>
              <w:snapToGrid w:val="0"/>
              <w:ind w:left="-105" w:leftChars="-50" w:right="-105" w:rightChars="-50"/>
              <w:jc w:val="center"/>
              <w:textAlignment w:val="center"/>
            </w:pPr>
            <w:r>
              <w:rPr>
                <w:rFonts w:hAnsi="宋体"/>
                <w:kern w:val="0"/>
                <w:lang w:bidi="ar"/>
              </w:rPr>
              <w:t>里程</w:t>
            </w:r>
          </w:p>
        </w:tc>
        <w:tc>
          <w:tcPr>
            <w:tcW w:w="9175" w:type="dxa"/>
            <w:gridSpan w:val="8"/>
            <w:noWrap/>
            <w:vAlign w:val="center"/>
          </w:tcPr>
          <w:p>
            <w:pPr>
              <w:widowControl/>
              <w:adjustRightInd w:val="0"/>
              <w:snapToGrid w:val="0"/>
              <w:ind w:left="-105" w:leftChars="-50" w:right="-105" w:rightChars="-50"/>
              <w:jc w:val="center"/>
              <w:textAlignment w:val="center"/>
            </w:pPr>
            <w:r>
              <w:rPr>
                <w:rFonts w:hAnsi="宋体"/>
                <w:kern w:val="0"/>
                <w:lang w:bidi="ar"/>
              </w:rPr>
              <w:t>推荐方案回水淹没计算成果及淹没处理范围线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adjustRightInd w:val="0"/>
              <w:snapToGrid w:val="0"/>
              <w:ind w:left="-105" w:leftChars="-50" w:right="-105" w:rightChars="-50"/>
              <w:jc w:val="center"/>
            </w:pPr>
          </w:p>
        </w:tc>
        <w:tc>
          <w:tcPr>
            <w:tcW w:w="1042" w:type="dxa"/>
            <w:vMerge w:val="continue"/>
            <w:vAlign w:val="center"/>
          </w:tcPr>
          <w:p>
            <w:pPr>
              <w:adjustRightInd w:val="0"/>
              <w:snapToGrid w:val="0"/>
              <w:ind w:left="-105" w:leftChars="-50" w:right="-105" w:rightChars="-50"/>
              <w:jc w:val="center"/>
            </w:pPr>
          </w:p>
        </w:tc>
        <w:tc>
          <w:tcPr>
            <w:tcW w:w="1512" w:type="dxa"/>
            <w:vMerge w:val="continue"/>
            <w:noWrap/>
            <w:vAlign w:val="center"/>
          </w:tcPr>
          <w:p>
            <w:pPr>
              <w:adjustRightInd w:val="0"/>
              <w:snapToGrid w:val="0"/>
              <w:ind w:left="-105" w:leftChars="-50" w:right="-105" w:rightChars="-50"/>
              <w:jc w:val="center"/>
            </w:pPr>
          </w:p>
        </w:tc>
        <w:tc>
          <w:tcPr>
            <w:tcW w:w="2283" w:type="dxa"/>
            <w:gridSpan w:val="2"/>
            <w:noWrap/>
            <w:vAlign w:val="center"/>
          </w:tcPr>
          <w:p>
            <w:pPr>
              <w:widowControl/>
              <w:adjustRightInd w:val="0"/>
              <w:snapToGrid w:val="0"/>
              <w:ind w:left="-105" w:leftChars="-50" w:right="-105" w:rightChars="-50"/>
              <w:jc w:val="center"/>
              <w:textAlignment w:val="center"/>
            </w:pPr>
            <w:r>
              <w:rPr>
                <w:rFonts w:hAnsi="宋体"/>
                <w:kern w:val="0"/>
                <w:lang w:bidi="ar"/>
              </w:rPr>
              <w:t>多年平均</w:t>
            </w:r>
          </w:p>
        </w:tc>
        <w:tc>
          <w:tcPr>
            <w:tcW w:w="3597" w:type="dxa"/>
            <w:gridSpan w:val="3"/>
            <w:noWrap/>
            <w:vAlign w:val="center"/>
          </w:tcPr>
          <w:p>
            <w:pPr>
              <w:widowControl/>
              <w:adjustRightInd w:val="0"/>
              <w:snapToGrid w:val="0"/>
              <w:ind w:left="-105" w:leftChars="-50" w:right="-105" w:rightChars="-50"/>
              <w:jc w:val="center"/>
              <w:textAlignment w:val="center"/>
            </w:pPr>
            <w:r>
              <w:rPr>
                <w:kern w:val="0"/>
                <w:lang w:bidi="ar"/>
              </w:rPr>
              <w:t>P=5%</w:t>
            </w:r>
          </w:p>
        </w:tc>
        <w:tc>
          <w:tcPr>
            <w:tcW w:w="3295" w:type="dxa"/>
            <w:gridSpan w:val="3"/>
            <w:noWrap/>
            <w:vAlign w:val="center"/>
          </w:tcPr>
          <w:p>
            <w:pPr>
              <w:widowControl/>
              <w:adjustRightInd w:val="0"/>
              <w:snapToGrid w:val="0"/>
              <w:ind w:left="-105" w:leftChars="-50" w:right="-105" w:rightChars="-50"/>
              <w:jc w:val="center"/>
              <w:textAlignment w:val="center"/>
            </w:pPr>
            <w:r>
              <w:rPr>
                <w:kern w:val="0"/>
                <w:lang w:bidi="ar"/>
              </w:rPr>
              <w:t>P=20%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adjustRightInd w:val="0"/>
              <w:snapToGrid w:val="0"/>
              <w:ind w:left="-105" w:leftChars="-50" w:right="-105" w:rightChars="-50"/>
              <w:jc w:val="center"/>
            </w:pPr>
          </w:p>
        </w:tc>
        <w:tc>
          <w:tcPr>
            <w:tcW w:w="1042" w:type="dxa"/>
            <w:vMerge w:val="continue"/>
            <w:vAlign w:val="center"/>
          </w:tcPr>
          <w:p>
            <w:pPr>
              <w:adjustRightInd w:val="0"/>
              <w:snapToGrid w:val="0"/>
              <w:ind w:left="-105" w:leftChars="-50" w:right="-105" w:rightChars="-50"/>
              <w:jc w:val="center"/>
            </w:pPr>
          </w:p>
        </w:tc>
        <w:tc>
          <w:tcPr>
            <w:tcW w:w="1512" w:type="dxa"/>
            <w:vMerge w:val="continue"/>
            <w:noWrap/>
            <w:vAlign w:val="center"/>
          </w:tcPr>
          <w:p>
            <w:pPr>
              <w:adjustRightInd w:val="0"/>
              <w:snapToGrid w:val="0"/>
              <w:ind w:left="-105" w:leftChars="-50" w:right="-105" w:rightChars="-50"/>
              <w:jc w:val="center"/>
            </w:pPr>
          </w:p>
        </w:tc>
        <w:tc>
          <w:tcPr>
            <w:tcW w:w="1244"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多年平均</w:t>
            </w:r>
          </w:p>
          <w:p>
            <w:pPr>
              <w:widowControl/>
              <w:adjustRightInd w:val="0"/>
              <w:snapToGrid w:val="0"/>
              <w:ind w:left="-105" w:leftChars="-50" w:right="-105" w:rightChars="-50"/>
              <w:jc w:val="center"/>
              <w:textAlignment w:val="center"/>
            </w:pPr>
            <w:r>
              <w:rPr>
                <w:rFonts w:hAnsi="宋体"/>
                <w:kern w:val="0"/>
                <w:lang w:bidi="ar"/>
              </w:rPr>
              <w:t>水面线</w:t>
            </w:r>
          </w:p>
        </w:tc>
        <w:tc>
          <w:tcPr>
            <w:tcW w:w="1039"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林草地</w:t>
            </w:r>
          </w:p>
          <w:p>
            <w:pPr>
              <w:widowControl/>
              <w:adjustRightInd w:val="0"/>
              <w:snapToGrid w:val="0"/>
              <w:ind w:left="-105" w:leftChars="-50" w:right="-105" w:rightChars="-50"/>
              <w:jc w:val="center"/>
              <w:textAlignment w:val="center"/>
            </w:pPr>
            <w:r>
              <w:rPr>
                <w:rFonts w:hAnsi="宋体"/>
                <w:kern w:val="0"/>
                <w:lang w:bidi="ar"/>
              </w:rPr>
              <w:t>征收线</w:t>
            </w:r>
          </w:p>
        </w:tc>
        <w:tc>
          <w:tcPr>
            <w:tcW w:w="1512"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天然</w:t>
            </w:r>
          </w:p>
          <w:p>
            <w:pPr>
              <w:widowControl/>
              <w:adjustRightInd w:val="0"/>
              <w:snapToGrid w:val="0"/>
              <w:ind w:left="-105" w:leftChars="-50" w:right="-105" w:rightChars="-50"/>
              <w:jc w:val="center"/>
              <w:textAlignment w:val="center"/>
            </w:pPr>
            <w:r>
              <w:rPr>
                <w:rFonts w:hAnsi="宋体"/>
                <w:kern w:val="0"/>
                <w:lang w:bidi="ar"/>
              </w:rPr>
              <w:t>水面线</w:t>
            </w:r>
          </w:p>
        </w:tc>
        <w:tc>
          <w:tcPr>
            <w:tcW w:w="1039" w:type="dxa"/>
            <w:vAlign w:val="center"/>
          </w:tcPr>
          <w:p>
            <w:pPr>
              <w:widowControl/>
              <w:adjustRightInd w:val="0"/>
              <w:snapToGrid w:val="0"/>
              <w:ind w:left="-105" w:leftChars="-50" w:right="-105" w:rightChars="-50"/>
              <w:jc w:val="center"/>
              <w:textAlignment w:val="center"/>
            </w:pPr>
            <w:r>
              <w:rPr>
                <w:rFonts w:hAnsi="宋体"/>
                <w:kern w:val="0"/>
                <w:lang w:bidi="ar"/>
              </w:rPr>
              <w:t>回水线</w:t>
            </w:r>
          </w:p>
        </w:tc>
        <w:tc>
          <w:tcPr>
            <w:tcW w:w="1046"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居民</w:t>
            </w:r>
          </w:p>
          <w:p>
            <w:pPr>
              <w:widowControl/>
              <w:adjustRightInd w:val="0"/>
              <w:snapToGrid w:val="0"/>
              <w:ind w:left="-105" w:leftChars="-50" w:right="-105" w:rightChars="-50"/>
              <w:jc w:val="center"/>
              <w:textAlignment w:val="center"/>
            </w:pPr>
            <w:r>
              <w:rPr>
                <w:rFonts w:hAnsi="宋体"/>
                <w:kern w:val="0"/>
                <w:lang w:bidi="ar"/>
              </w:rPr>
              <w:t>迁移线</w:t>
            </w:r>
          </w:p>
        </w:tc>
        <w:tc>
          <w:tcPr>
            <w:tcW w:w="1122"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天然</w:t>
            </w:r>
          </w:p>
          <w:p>
            <w:pPr>
              <w:widowControl/>
              <w:adjustRightInd w:val="0"/>
              <w:snapToGrid w:val="0"/>
              <w:ind w:left="-105" w:leftChars="-50" w:right="-105" w:rightChars="-50"/>
              <w:jc w:val="center"/>
              <w:textAlignment w:val="center"/>
            </w:pPr>
            <w:r>
              <w:rPr>
                <w:rFonts w:hAnsi="宋体"/>
                <w:kern w:val="0"/>
                <w:lang w:bidi="ar"/>
              </w:rPr>
              <w:t>水面线</w:t>
            </w:r>
          </w:p>
        </w:tc>
        <w:tc>
          <w:tcPr>
            <w:tcW w:w="1122" w:type="dxa"/>
            <w:vAlign w:val="center"/>
          </w:tcPr>
          <w:p>
            <w:pPr>
              <w:widowControl/>
              <w:adjustRightInd w:val="0"/>
              <w:snapToGrid w:val="0"/>
              <w:ind w:left="-105" w:leftChars="-50" w:right="-105" w:rightChars="-50"/>
              <w:jc w:val="center"/>
              <w:textAlignment w:val="center"/>
            </w:pPr>
            <w:r>
              <w:rPr>
                <w:rFonts w:hAnsi="宋体"/>
                <w:kern w:val="0"/>
                <w:lang w:bidi="ar"/>
              </w:rPr>
              <w:t>回水线</w:t>
            </w:r>
          </w:p>
        </w:tc>
        <w:tc>
          <w:tcPr>
            <w:tcW w:w="1051"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耕园地</w:t>
            </w:r>
          </w:p>
          <w:p>
            <w:pPr>
              <w:widowControl/>
              <w:adjustRightInd w:val="0"/>
              <w:snapToGrid w:val="0"/>
              <w:ind w:left="-105" w:leftChars="-50" w:right="-105" w:rightChars="-50"/>
              <w:jc w:val="center"/>
              <w:textAlignment w:val="center"/>
            </w:pPr>
            <w:r>
              <w:rPr>
                <w:rFonts w:hAnsi="宋体"/>
                <w:kern w:val="0"/>
                <w:lang w:bidi="ar"/>
              </w:rPr>
              <w:t>征收线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jc w:val="center"/>
            </w:pPr>
          </w:p>
        </w:tc>
        <w:tc>
          <w:tcPr>
            <w:tcW w:w="1042" w:type="dxa"/>
            <w:vAlign w:val="center"/>
          </w:tcPr>
          <w:p>
            <w:pPr>
              <w:widowControl/>
              <w:jc w:val="center"/>
              <w:textAlignment w:val="center"/>
            </w:pPr>
            <w:r>
              <w:rPr>
                <w:kern w:val="0"/>
                <w:lang w:bidi="ar"/>
              </w:rPr>
              <w:t>m</w:t>
            </w:r>
          </w:p>
        </w:tc>
        <w:tc>
          <w:tcPr>
            <w:tcW w:w="1512" w:type="dxa"/>
            <w:vAlign w:val="center"/>
          </w:tcPr>
          <w:p>
            <w:pPr>
              <w:widowControl/>
              <w:jc w:val="center"/>
              <w:textAlignment w:val="center"/>
            </w:pPr>
            <w:r>
              <w:rPr>
                <w:kern w:val="0"/>
                <w:lang w:bidi="ar"/>
              </w:rPr>
              <w:t>m</w:t>
            </w:r>
          </w:p>
        </w:tc>
        <w:tc>
          <w:tcPr>
            <w:tcW w:w="1244" w:type="dxa"/>
            <w:vAlign w:val="center"/>
          </w:tcPr>
          <w:p>
            <w:pPr>
              <w:widowControl/>
              <w:jc w:val="center"/>
              <w:textAlignment w:val="center"/>
            </w:pPr>
            <w:r>
              <w:rPr>
                <w:kern w:val="0"/>
                <w:lang w:bidi="ar"/>
              </w:rPr>
              <w:t>m</w:t>
            </w:r>
          </w:p>
        </w:tc>
        <w:tc>
          <w:tcPr>
            <w:tcW w:w="1039" w:type="dxa"/>
            <w:vAlign w:val="center"/>
          </w:tcPr>
          <w:p>
            <w:pPr>
              <w:widowControl/>
              <w:jc w:val="center"/>
              <w:textAlignment w:val="center"/>
            </w:pPr>
            <w:r>
              <w:rPr>
                <w:kern w:val="0"/>
                <w:lang w:bidi="ar"/>
              </w:rPr>
              <w:t>m</w:t>
            </w:r>
          </w:p>
        </w:tc>
        <w:tc>
          <w:tcPr>
            <w:tcW w:w="1512" w:type="dxa"/>
            <w:vAlign w:val="center"/>
          </w:tcPr>
          <w:p>
            <w:pPr>
              <w:widowControl/>
              <w:jc w:val="center"/>
              <w:textAlignment w:val="center"/>
            </w:pPr>
            <w:r>
              <w:rPr>
                <w:kern w:val="0"/>
                <w:lang w:bidi="ar"/>
              </w:rPr>
              <w:t>m</w:t>
            </w:r>
          </w:p>
        </w:tc>
        <w:tc>
          <w:tcPr>
            <w:tcW w:w="1039" w:type="dxa"/>
            <w:vAlign w:val="center"/>
          </w:tcPr>
          <w:p>
            <w:pPr>
              <w:widowControl/>
              <w:jc w:val="center"/>
              <w:textAlignment w:val="center"/>
            </w:pPr>
            <w:r>
              <w:rPr>
                <w:kern w:val="0"/>
                <w:lang w:bidi="ar"/>
              </w:rPr>
              <w:t>m</w:t>
            </w:r>
          </w:p>
        </w:tc>
        <w:tc>
          <w:tcPr>
            <w:tcW w:w="1046" w:type="dxa"/>
            <w:vAlign w:val="center"/>
          </w:tcPr>
          <w:p>
            <w:pPr>
              <w:widowControl/>
              <w:jc w:val="center"/>
              <w:textAlignment w:val="center"/>
            </w:pPr>
            <w:r>
              <w:rPr>
                <w:kern w:val="0"/>
                <w:lang w:bidi="ar"/>
              </w:rPr>
              <w:t>m</w:t>
            </w:r>
          </w:p>
        </w:tc>
        <w:tc>
          <w:tcPr>
            <w:tcW w:w="1122" w:type="dxa"/>
            <w:vAlign w:val="center"/>
          </w:tcPr>
          <w:p>
            <w:pPr>
              <w:widowControl/>
              <w:jc w:val="center"/>
              <w:textAlignment w:val="center"/>
            </w:pPr>
            <w:r>
              <w:rPr>
                <w:kern w:val="0"/>
                <w:lang w:bidi="ar"/>
              </w:rPr>
              <w:t>m</w:t>
            </w:r>
          </w:p>
        </w:tc>
        <w:tc>
          <w:tcPr>
            <w:tcW w:w="1122" w:type="dxa"/>
            <w:vAlign w:val="center"/>
          </w:tcPr>
          <w:p>
            <w:pPr>
              <w:widowControl/>
              <w:jc w:val="center"/>
              <w:textAlignment w:val="center"/>
            </w:pPr>
            <w:r>
              <w:rPr>
                <w:kern w:val="0"/>
                <w:lang w:bidi="ar"/>
              </w:rPr>
              <w:t>m</w:t>
            </w:r>
          </w:p>
        </w:tc>
        <w:tc>
          <w:tcPr>
            <w:tcW w:w="1051" w:type="dxa"/>
            <w:vAlign w:val="center"/>
          </w:tcPr>
          <w:p>
            <w:pPr>
              <w:widowControl/>
              <w:jc w:val="center"/>
              <w:textAlignment w:val="center"/>
            </w:pPr>
            <w:r>
              <w:rPr>
                <w:kern w:val="0"/>
                <w:lang w:bidi="ar"/>
              </w:rPr>
              <w:t>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1</w:t>
            </w:r>
          </w:p>
        </w:tc>
        <w:tc>
          <w:tcPr>
            <w:tcW w:w="1042" w:type="dxa"/>
            <w:vAlign w:val="center"/>
          </w:tcPr>
          <w:p>
            <w:pPr>
              <w:widowControl/>
              <w:ind w:left="-105" w:leftChars="-50" w:right="-105" w:rightChars="-50"/>
              <w:jc w:val="center"/>
              <w:textAlignment w:val="center"/>
            </w:pPr>
            <w:r>
              <w:rPr>
                <w:kern w:val="0"/>
                <w:lang w:bidi="ar"/>
              </w:rPr>
              <w:t>0</w:t>
            </w:r>
          </w:p>
        </w:tc>
        <w:tc>
          <w:tcPr>
            <w:tcW w:w="1512" w:type="dxa"/>
            <w:noWrap/>
            <w:vAlign w:val="center"/>
          </w:tcPr>
          <w:p>
            <w:pPr>
              <w:widowControl/>
              <w:ind w:left="-105" w:leftChars="-50" w:right="-105" w:rightChars="-50"/>
              <w:jc w:val="center"/>
              <w:textAlignment w:val="center"/>
            </w:pPr>
            <w:r>
              <w:rPr>
                <w:kern w:val="0"/>
                <w:lang w:bidi="ar"/>
              </w:rPr>
              <w:t>0</w:t>
            </w:r>
          </w:p>
        </w:tc>
        <w:tc>
          <w:tcPr>
            <w:tcW w:w="1244" w:type="dxa"/>
            <w:noWrap/>
            <w:vAlign w:val="center"/>
          </w:tcPr>
          <w:p>
            <w:pPr>
              <w:widowControl/>
              <w:ind w:left="-105" w:leftChars="-50" w:right="-105" w:rightChars="-50"/>
              <w:jc w:val="center"/>
              <w:textAlignment w:val="center"/>
            </w:pPr>
            <w:r>
              <w:rPr>
                <w:kern w:val="0"/>
                <w:lang w:bidi="ar"/>
              </w:rPr>
              <w:t>162.5</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164.76</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164.33</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2</w:t>
            </w:r>
          </w:p>
        </w:tc>
        <w:tc>
          <w:tcPr>
            <w:tcW w:w="1042" w:type="dxa"/>
            <w:noWrap/>
            <w:vAlign w:val="center"/>
          </w:tcPr>
          <w:p>
            <w:pPr>
              <w:widowControl/>
              <w:ind w:left="-105" w:leftChars="-50" w:right="-105" w:rightChars="-50"/>
              <w:jc w:val="center"/>
              <w:textAlignment w:val="center"/>
            </w:pPr>
            <w:r>
              <w:rPr>
                <w:kern w:val="0"/>
                <w:lang w:bidi="ar"/>
              </w:rPr>
              <w:t>118.55</w:t>
            </w:r>
          </w:p>
        </w:tc>
        <w:tc>
          <w:tcPr>
            <w:tcW w:w="1512" w:type="dxa"/>
            <w:noWrap/>
            <w:vAlign w:val="center"/>
          </w:tcPr>
          <w:p>
            <w:pPr>
              <w:widowControl/>
              <w:ind w:left="-105" w:leftChars="-50" w:right="-105" w:rightChars="-50"/>
              <w:jc w:val="center"/>
              <w:textAlignment w:val="center"/>
            </w:pPr>
            <w:r>
              <w:rPr>
                <w:kern w:val="0"/>
                <w:lang w:bidi="ar"/>
              </w:rPr>
              <w:t>118.55</w:t>
            </w:r>
          </w:p>
        </w:tc>
        <w:tc>
          <w:tcPr>
            <w:tcW w:w="1244" w:type="dxa"/>
            <w:noWrap/>
            <w:vAlign w:val="center"/>
          </w:tcPr>
          <w:p>
            <w:pPr>
              <w:widowControl/>
              <w:ind w:left="-105" w:leftChars="-50" w:right="-105" w:rightChars="-50"/>
              <w:jc w:val="center"/>
              <w:textAlignment w:val="center"/>
            </w:pPr>
            <w:r>
              <w:rPr>
                <w:kern w:val="0"/>
                <w:lang w:bidi="ar"/>
              </w:rPr>
              <w:t>168.23</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170.86</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170.59</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3</w:t>
            </w:r>
          </w:p>
        </w:tc>
        <w:tc>
          <w:tcPr>
            <w:tcW w:w="1042" w:type="dxa"/>
            <w:noWrap/>
            <w:vAlign w:val="center"/>
          </w:tcPr>
          <w:p>
            <w:pPr>
              <w:widowControl/>
              <w:ind w:left="-105" w:leftChars="-50" w:right="-105" w:rightChars="-50"/>
              <w:jc w:val="center"/>
              <w:textAlignment w:val="center"/>
            </w:pPr>
            <w:r>
              <w:rPr>
                <w:kern w:val="0"/>
                <w:lang w:bidi="ar"/>
              </w:rPr>
              <w:t>81.71</w:t>
            </w:r>
          </w:p>
        </w:tc>
        <w:tc>
          <w:tcPr>
            <w:tcW w:w="1512" w:type="dxa"/>
            <w:noWrap/>
            <w:vAlign w:val="center"/>
          </w:tcPr>
          <w:p>
            <w:pPr>
              <w:widowControl/>
              <w:ind w:left="-105" w:leftChars="-50" w:right="-105" w:rightChars="-50"/>
              <w:jc w:val="center"/>
              <w:textAlignment w:val="center"/>
            </w:pPr>
            <w:r>
              <w:rPr>
                <w:kern w:val="0"/>
                <w:lang w:bidi="ar"/>
              </w:rPr>
              <w:t>200.26</w:t>
            </w:r>
          </w:p>
        </w:tc>
        <w:tc>
          <w:tcPr>
            <w:tcW w:w="1244" w:type="dxa"/>
            <w:noWrap/>
            <w:vAlign w:val="center"/>
          </w:tcPr>
          <w:p>
            <w:pPr>
              <w:widowControl/>
              <w:ind w:left="-105" w:leftChars="-50" w:right="-105" w:rightChars="-50"/>
              <w:jc w:val="center"/>
              <w:textAlignment w:val="center"/>
            </w:pPr>
            <w:r>
              <w:rPr>
                <w:kern w:val="0"/>
                <w:lang w:bidi="ar"/>
              </w:rPr>
              <w:t>171.06</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173.89</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173.54</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4</w:t>
            </w:r>
          </w:p>
        </w:tc>
        <w:tc>
          <w:tcPr>
            <w:tcW w:w="1042" w:type="dxa"/>
            <w:noWrap/>
            <w:vAlign w:val="center"/>
          </w:tcPr>
          <w:p>
            <w:pPr>
              <w:widowControl/>
              <w:ind w:left="-105" w:leftChars="-50" w:right="-105" w:rightChars="-50"/>
              <w:jc w:val="center"/>
              <w:textAlignment w:val="center"/>
            </w:pPr>
            <w:r>
              <w:rPr>
                <w:kern w:val="0"/>
                <w:lang w:bidi="ar"/>
              </w:rPr>
              <w:t>90.35</w:t>
            </w:r>
          </w:p>
        </w:tc>
        <w:tc>
          <w:tcPr>
            <w:tcW w:w="1512" w:type="dxa"/>
            <w:noWrap/>
            <w:vAlign w:val="center"/>
          </w:tcPr>
          <w:p>
            <w:pPr>
              <w:widowControl/>
              <w:ind w:left="-105" w:leftChars="-50" w:right="-105" w:rightChars="-50"/>
              <w:jc w:val="center"/>
              <w:textAlignment w:val="center"/>
            </w:pPr>
            <w:r>
              <w:rPr>
                <w:kern w:val="0"/>
                <w:lang w:bidi="ar"/>
              </w:rPr>
              <w:t>290.61</w:t>
            </w:r>
          </w:p>
        </w:tc>
        <w:tc>
          <w:tcPr>
            <w:tcW w:w="1244" w:type="dxa"/>
            <w:noWrap/>
            <w:vAlign w:val="center"/>
          </w:tcPr>
          <w:p>
            <w:pPr>
              <w:widowControl/>
              <w:ind w:left="-105" w:leftChars="-50" w:right="-105" w:rightChars="-50"/>
              <w:jc w:val="center"/>
              <w:textAlignment w:val="center"/>
            </w:pPr>
            <w:r>
              <w:rPr>
                <w:kern w:val="0"/>
                <w:lang w:bidi="ar"/>
              </w:rPr>
              <w:t>174.41</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176.96</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176.67</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5</w:t>
            </w:r>
          </w:p>
        </w:tc>
        <w:tc>
          <w:tcPr>
            <w:tcW w:w="1042" w:type="dxa"/>
            <w:noWrap/>
            <w:vAlign w:val="center"/>
          </w:tcPr>
          <w:p>
            <w:pPr>
              <w:widowControl/>
              <w:ind w:left="-105" w:leftChars="-50" w:right="-105" w:rightChars="-50"/>
              <w:jc w:val="center"/>
              <w:textAlignment w:val="center"/>
            </w:pPr>
            <w:r>
              <w:rPr>
                <w:kern w:val="0"/>
                <w:lang w:bidi="ar"/>
              </w:rPr>
              <w:t>89.76</w:t>
            </w:r>
          </w:p>
        </w:tc>
        <w:tc>
          <w:tcPr>
            <w:tcW w:w="1512" w:type="dxa"/>
            <w:noWrap/>
            <w:vAlign w:val="center"/>
          </w:tcPr>
          <w:p>
            <w:pPr>
              <w:widowControl/>
              <w:ind w:left="-105" w:leftChars="-50" w:right="-105" w:rightChars="-50"/>
              <w:jc w:val="center"/>
              <w:textAlignment w:val="center"/>
            </w:pPr>
            <w:r>
              <w:rPr>
                <w:kern w:val="0"/>
                <w:lang w:bidi="ar"/>
              </w:rPr>
              <w:t>380.37</w:t>
            </w:r>
          </w:p>
        </w:tc>
        <w:tc>
          <w:tcPr>
            <w:tcW w:w="1244" w:type="dxa"/>
            <w:noWrap/>
            <w:vAlign w:val="center"/>
          </w:tcPr>
          <w:p>
            <w:pPr>
              <w:widowControl/>
              <w:ind w:left="-105" w:leftChars="-50" w:right="-105" w:rightChars="-50"/>
              <w:jc w:val="center"/>
              <w:textAlignment w:val="center"/>
            </w:pPr>
            <w:r>
              <w:rPr>
                <w:kern w:val="0"/>
                <w:lang w:bidi="ar"/>
              </w:rPr>
              <w:t>180.01</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182.04</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181.71</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6</w:t>
            </w:r>
          </w:p>
        </w:tc>
        <w:tc>
          <w:tcPr>
            <w:tcW w:w="1042" w:type="dxa"/>
            <w:noWrap/>
            <w:vAlign w:val="center"/>
          </w:tcPr>
          <w:p>
            <w:pPr>
              <w:widowControl/>
              <w:ind w:left="-105" w:leftChars="-50" w:right="-105" w:rightChars="-50"/>
              <w:jc w:val="center"/>
              <w:textAlignment w:val="center"/>
            </w:pPr>
            <w:r>
              <w:rPr>
                <w:kern w:val="0"/>
                <w:lang w:bidi="ar"/>
              </w:rPr>
              <w:t>84.12</w:t>
            </w:r>
          </w:p>
        </w:tc>
        <w:tc>
          <w:tcPr>
            <w:tcW w:w="1512" w:type="dxa"/>
            <w:noWrap/>
            <w:vAlign w:val="center"/>
          </w:tcPr>
          <w:p>
            <w:pPr>
              <w:widowControl/>
              <w:ind w:left="-105" w:leftChars="-50" w:right="-105" w:rightChars="-50"/>
              <w:jc w:val="center"/>
              <w:textAlignment w:val="center"/>
            </w:pPr>
            <w:r>
              <w:rPr>
                <w:kern w:val="0"/>
                <w:lang w:bidi="ar"/>
              </w:rPr>
              <w:t>464.49</w:t>
            </w:r>
          </w:p>
        </w:tc>
        <w:tc>
          <w:tcPr>
            <w:tcW w:w="1244" w:type="dxa"/>
            <w:noWrap/>
            <w:vAlign w:val="center"/>
          </w:tcPr>
          <w:p>
            <w:pPr>
              <w:widowControl/>
              <w:ind w:left="-105" w:leftChars="-50" w:right="-105" w:rightChars="-50"/>
              <w:jc w:val="center"/>
              <w:textAlignment w:val="center"/>
            </w:pPr>
            <w:r>
              <w:rPr>
                <w:kern w:val="0"/>
                <w:lang w:bidi="ar"/>
              </w:rPr>
              <w:t>182.5</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185.32</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184.97</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7</w:t>
            </w:r>
          </w:p>
        </w:tc>
        <w:tc>
          <w:tcPr>
            <w:tcW w:w="1042" w:type="dxa"/>
            <w:noWrap/>
            <w:vAlign w:val="center"/>
          </w:tcPr>
          <w:p>
            <w:pPr>
              <w:widowControl/>
              <w:ind w:left="-105" w:leftChars="-50" w:right="-105" w:rightChars="-50"/>
              <w:jc w:val="center"/>
              <w:textAlignment w:val="center"/>
            </w:pPr>
            <w:r>
              <w:rPr>
                <w:kern w:val="0"/>
                <w:lang w:bidi="ar"/>
              </w:rPr>
              <w:t>118.01</w:t>
            </w:r>
          </w:p>
        </w:tc>
        <w:tc>
          <w:tcPr>
            <w:tcW w:w="1512" w:type="dxa"/>
            <w:noWrap/>
            <w:vAlign w:val="center"/>
          </w:tcPr>
          <w:p>
            <w:pPr>
              <w:widowControl/>
              <w:ind w:left="-105" w:leftChars="-50" w:right="-105" w:rightChars="-50"/>
              <w:jc w:val="center"/>
              <w:textAlignment w:val="center"/>
            </w:pPr>
            <w:r>
              <w:rPr>
                <w:kern w:val="0"/>
                <w:lang w:bidi="ar"/>
              </w:rPr>
              <w:t>582.5</w:t>
            </w:r>
          </w:p>
        </w:tc>
        <w:tc>
          <w:tcPr>
            <w:tcW w:w="1244" w:type="dxa"/>
            <w:noWrap/>
            <w:vAlign w:val="center"/>
          </w:tcPr>
          <w:p>
            <w:pPr>
              <w:widowControl/>
              <w:ind w:left="-105" w:leftChars="-50" w:right="-105" w:rightChars="-50"/>
              <w:jc w:val="center"/>
              <w:textAlignment w:val="center"/>
            </w:pPr>
            <w:r>
              <w:rPr>
                <w:kern w:val="0"/>
                <w:lang w:bidi="ar"/>
              </w:rPr>
              <w:t>190.7</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192.86</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192.51</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8</w:t>
            </w:r>
          </w:p>
        </w:tc>
        <w:tc>
          <w:tcPr>
            <w:tcW w:w="1042" w:type="dxa"/>
            <w:noWrap/>
            <w:vAlign w:val="center"/>
          </w:tcPr>
          <w:p>
            <w:pPr>
              <w:widowControl/>
              <w:ind w:left="-105" w:leftChars="-50" w:right="-105" w:rightChars="-50"/>
              <w:jc w:val="center"/>
              <w:textAlignment w:val="center"/>
            </w:pPr>
            <w:r>
              <w:rPr>
                <w:kern w:val="0"/>
                <w:lang w:bidi="ar"/>
              </w:rPr>
              <w:t>96.25</w:t>
            </w:r>
          </w:p>
        </w:tc>
        <w:tc>
          <w:tcPr>
            <w:tcW w:w="1512" w:type="dxa"/>
            <w:noWrap/>
            <w:vAlign w:val="center"/>
          </w:tcPr>
          <w:p>
            <w:pPr>
              <w:widowControl/>
              <w:ind w:left="-105" w:leftChars="-50" w:right="-105" w:rightChars="-50"/>
              <w:jc w:val="center"/>
              <w:textAlignment w:val="center"/>
            </w:pPr>
            <w:r>
              <w:rPr>
                <w:kern w:val="0"/>
                <w:lang w:bidi="ar"/>
              </w:rPr>
              <w:t>678.75</w:t>
            </w:r>
          </w:p>
        </w:tc>
        <w:tc>
          <w:tcPr>
            <w:tcW w:w="1244" w:type="dxa"/>
            <w:noWrap/>
            <w:vAlign w:val="center"/>
          </w:tcPr>
          <w:p>
            <w:pPr>
              <w:widowControl/>
              <w:ind w:left="-105" w:leftChars="-50" w:right="-105" w:rightChars="-50"/>
              <w:jc w:val="center"/>
              <w:textAlignment w:val="center"/>
            </w:pPr>
            <w:r>
              <w:rPr>
                <w:kern w:val="0"/>
                <w:lang w:bidi="ar"/>
              </w:rPr>
              <w:t>195.01</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197.04</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196.83</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9</w:t>
            </w:r>
          </w:p>
        </w:tc>
        <w:tc>
          <w:tcPr>
            <w:tcW w:w="1042" w:type="dxa"/>
            <w:noWrap/>
            <w:vAlign w:val="center"/>
          </w:tcPr>
          <w:p>
            <w:pPr>
              <w:widowControl/>
              <w:ind w:left="-105" w:leftChars="-50" w:right="-105" w:rightChars="-50"/>
              <w:jc w:val="center"/>
              <w:textAlignment w:val="center"/>
            </w:pPr>
            <w:r>
              <w:rPr>
                <w:kern w:val="0"/>
                <w:lang w:bidi="ar"/>
              </w:rPr>
              <w:t>55.46</w:t>
            </w:r>
          </w:p>
        </w:tc>
        <w:tc>
          <w:tcPr>
            <w:tcW w:w="1512" w:type="dxa"/>
            <w:noWrap/>
            <w:vAlign w:val="center"/>
          </w:tcPr>
          <w:p>
            <w:pPr>
              <w:widowControl/>
              <w:ind w:left="-105" w:leftChars="-50" w:right="-105" w:rightChars="-50"/>
              <w:jc w:val="center"/>
              <w:textAlignment w:val="center"/>
            </w:pPr>
            <w:r>
              <w:rPr>
                <w:kern w:val="0"/>
                <w:lang w:bidi="ar"/>
              </w:rPr>
              <w:t>734.21</w:t>
            </w:r>
          </w:p>
        </w:tc>
        <w:tc>
          <w:tcPr>
            <w:tcW w:w="1244" w:type="dxa"/>
            <w:noWrap/>
            <w:vAlign w:val="center"/>
          </w:tcPr>
          <w:p>
            <w:pPr>
              <w:widowControl/>
              <w:ind w:left="-105" w:leftChars="-50" w:right="-105" w:rightChars="-50"/>
              <w:jc w:val="center"/>
              <w:textAlignment w:val="center"/>
            </w:pPr>
            <w:r>
              <w:rPr>
                <w:kern w:val="0"/>
                <w:lang w:bidi="ar"/>
              </w:rPr>
              <w:t>198.12</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200.57</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200.31</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10</w:t>
            </w:r>
          </w:p>
        </w:tc>
        <w:tc>
          <w:tcPr>
            <w:tcW w:w="1042" w:type="dxa"/>
            <w:noWrap/>
            <w:vAlign w:val="center"/>
          </w:tcPr>
          <w:p>
            <w:pPr>
              <w:widowControl/>
              <w:ind w:left="-105" w:leftChars="-50" w:right="-105" w:rightChars="-50"/>
              <w:jc w:val="center"/>
              <w:textAlignment w:val="center"/>
            </w:pPr>
            <w:r>
              <w:rPr>
                <w:kern w:val="0"/>
                <w:lang w:bidi="ar"/>
              </w:rPr>
              <w:t>44.18</w:t>
            </w:r>
          </w:p>
        </w:tc>
        <w:tc>
          <w:tcPr>
            <w:tcW w:w="1512" w:type="dxa"/>
            <w:noWrap/>
            <w:vAlign w:val="center"/>
          </w:tcPr>
          <w:p>
            <w:pPr>
              <w:widowControl/>
              <w:ind w:left="-105" w:leftChars="-50" w:right="-105" w:rightChars="-50"/>
              <w:jc w:val="center"/>
              <w:textAlignment w:val="center"/>
            </w:pPr>
            <w:r>
              <w:rPr>
                <w:kern w:val="0"/>
                <w:lang w:bidi="ar"/>
              </w:rPr>
              <w:t>778.39</w:t>
            </w:r>
          </w:p>
        </w:tc>
        <w:tc>
          <w:tcPr>
            <w:tcW w:w="1244" w:type="dxa"/>
            <w:noWrap/>
            <w:vAlign w:val="center"/>
          </w:tcPr>
          <w:p>
            <w:pPr>
              <w:widowControl/>
              <w:ind w:left="-105" w:leftChars="-50" w:right="-105" w:rightChars="-50"/>
              <w:jc w:val="center"/>
              <w:textAlignment w:val="center"/>
            </w:pPr>
            <w:r>
              <w:rPr>
                <w:kern w:val="0"/>
                <w:lang w:bidi="ar"/>
              </w:rPr>
              <w:t>200.04</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202.32</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201.98</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11</w:t>
            </w:r>
          </w:p>
        </w:tc>
        <w:tc>
          <w:tcPr>
            <w:tcW w:w="1042" w:type="dxa"/>
            <w:noWrap/>
            <w:vAlign w:val="center"/>
          </w:tcPr>
          <w:p>
            <w:pPr>
              <w:widowControl/>
              <w:ind w:left="-105" w:leftChars="-50" w:right="-105" w:rightChars="-50"/>
              <w:jc w:val="center"/>
              <w:textAlignment w:val="center"/>
            </w:pPr>
            <w:r>
              <w:rPr>
                <w:kern w:val="0"/>
                <w:lang w:bidi="ar"/>
              </w:rPr>
              <w:t>49.81</w:t>
            </w:r>
          </w:p>
        </w:tc>
        <w:tc>
          <w:tcPr>
            <w:tcW w:w="1512" w:type="dxa"/>
            <w:noWrap/>
            <w:vAlign w:val="center"/>
          </w:tcPr>
          <w:p>
            <w:pPr>
              <w:widowControl/>
              <w:ind w:left="-105" w:leftChars="-50" w:right="-105" w:rightChars="-50"/>
              <w:jc w:val="center"/>
              <w:textAlignment w:val="center"/>
            </w:pPr>
            <w:r>
              <w:rPr>
                <w:kern w:val="0"/>
                <w:lang w:bidi="ar"/>
              </w:rPr>
              <w:t>828.2</w:t>
            </w:r>
          </w:p>
        </w:tc>
        <w:tc>
          <w:tcPr>
            <w:tcW w:w="1244" w:type="dxa"/>
            <w:noWrap/>
            <w:vAlign w:val="center"/>
          </w:tcPr>
          <w:p>
            <w:pPr>
              <w:widowControl/>
              <w:ind w:left="-105" w:leftChars="-50" w:right="-105" w:rightChars="-50"/>
              <w:jc w:val="center"/>
              <w:textAlignment w:val="center"/>
            </w:pPr>
            <w:r>
              <w:rPr>
                <w:kern w:val="0"/>
                <w:lang w:bidi="ar"/>
              </w:rPr>
              <w:t>206.06</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208.3</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208.02</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bl>
    <w:p>
      <w:pPr>
        <w:pStyle w:val="517"/>
        <w:rPr>
          <w:color w:val="000000"/>
        </w:rPr>
      </w:pPr>
      <w:r>
        <w:br w:type="page"/>
      </w:r>
      <w:r>
        <w:rPr>
          <w:color w:val="000000"/>
        </w:rPr>
        <w:t>表3.1.1-1</w:t>
      </w:r>
      <w:r>
        <w:rPr>
          <w:rFonts w:hint="eastAsia"/>
          <w:color w:val="000000"/>
        </w:rPr>
        <w:t>(续)</w:t>
      </w:r>
      <w:r>
        <w:rPr>
          <w:color w:val="000000"/>
        </w:rPr>
        <w:t xml:space="preserve"> </w:t>
      </w:r>
    </w:p>
    <w:tbl>
      <w:tblPr>
        <w:tblStyle w:val="79"/>
        <w:tblW w:w="13646"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17"/>
        <w:gridCol w:w="1042"/>
        <w:gridCol w:w="1512"/>
        <w:gridCol w:w="1244"/>
        <w:gridCol w:w="1039"/>
        <w:gridCol w:w="1512"/>
        <w:gridCol w:w="1039"/>
        <w:gridCol w:w="1046"/>
        <w:gridCol w:w="1122"/>
        <w:gridCol w:w="1122"/>
        <w:gridCol w:w="105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restart"/>
            <w:noWrap/>
            <w:vAlign w:val="center"/>
          </w:tcPr>
          <w:p>
            <w:pPr>
              <w:widowControl/>
              <w:adjustRightInd w:val="0"/>
              <w:snapToGrid w:val="0"/>
              <w:ind w:left="-105" w:leftChars="-50" w:right="-105" w:rightChars="-50"/>
              <w:jc w:val="center"/>
              <w:textAlignment w:val="center"/>
            </w:pPr>
            <w:r>
              <w:rPr>
                <w:rFonts w:hAnsi="宋体"/>
                <w:kern w:val="0"/>
                <w:lang w:bidi="ar"/>
              </w:rPr>
              <w:t>序号</w:t>
            </w:r>
          </w:p>
        </w:tc>
        <w:tc>
          <w:tcPr>
            <w:tcW w:w="1042" w:type="dxa"/>
            <w:vMerge w:val="restart"/>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断面</w:t>
            </w:r>
          </w:p>
          <w:p>
            <w:pPr>
              <w:widowControl/>
              <w:adjustRightInd w:val="0"/>
              <w:snapToGrid w:val="0"/>
              <w:ind w:left="-105" w:leftChars="-50" w:right="-105" w:rightChars="-50"/>
              <w:jc w:val="center"/>
              <w:textAlignment w:val="center"/>
            </w:pPr>
            <w:r>
              <w:rPr>
                <w:rFonts w:hAnsi="宋体"/>
                <w:kern w:val="0"/>
                <w:lang w:bidi="ar"/>
              </w:rPr>
              <w:t>间距</w:t>
            </w:r>
          </w:p>
        </w:tc>
        <w:tc>
          <w:tcPr>
            <w:tcW w:w="1512" w:type="dxa"/>
            <w:vMerge w:val="restart"/>
            <w:noWrap/>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距坝</w:t>
            </w:r>
          </w:p>
          <w:p>
            <w:pPr>
              <w:widowControl/>
              <w:adjustRightInd w:val="0"/>
              <w:snapToGrid w:val="0"/>
              <w:ind w:left="-105" w:leftChars="-50" w:right="-105" w:rightChars="-50"/>
              <w:jc w:val="center"/>
              <w:textAlignment w:val="center"/>
            </w:pPr>
            <w:r>
              <w:rPr>
                <w:rFonts w:hAnsi="宋体"/>
                <w:kern w:val="0"/>
                <w:lang w:bidi="ar"/>
              </w:rPr>
              <w:t>里程</w:t>
            </w:r>
          </w:p>
        </w:tc>
        <w:tc>
          <w:tcPr>
            <w:tcW w:w="9175" w:type="dxa"/>
            <w:gridSpan w:val="8"/>
            <w:noWrap/>
            <w:vAlign w:val="center"/>
          </w:tcPr>
          <w:p>
            <w:pPr>
              <w:widowControl/>
              <w:adjustRightInd w:val="0"/>
              <w:snapToGrid w:val="0"/>
              <w:ind w:left="-105" w:leftChars="-50" w:right="-105" w:rightChars="-50"/>
              <w:jc w:val="center"/>
              <w:textAlignment w:val="center"/>
            </w:pPr>
            <w:r>
              <w:rPr>
                <w:rFonts w:hAnsi="宋体"/>
                <w:kern w:val="0"/>
                <w:lang w:bidi="ar"/>
              </w:rPr>
              <w:t>推荐方案回水淹没计算成果及淹没处理范围线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adjustRightInd w:val="0"/>
              <w:snapToGrid w:val="0"/>
              <w:ind w:left="-105" w:leftChars="-50" w:right="-105" w:rightChars="-50"/>
              <w:jc w:val="center"/>
            </w:pPr>
          </w:p>
        </w:tc>
        <w:tc>
          <w:tcPr>
            <w:tcW w:w="1042" w:type="dxa"/>
            <w:vMerge w:val="continue"/>
            <w:vAlign w:val="center"/>
          </w:tcPr>
          <w:p>
            <w:pPr>
              <w:adjustRightInd w:val="0"/>
              <w:snapToGrid w:val="0"/>
              <w:ind w:left="-105" w:leftChars="-50" w:right="-105" w:rightChars="-50"/>
              <w:jc w:val="center"/>
            </w:pPr>
          </w:p>
        </w:tc>
        <w:tc>
          <w:tcPr>
            <w:tcW w:w="1512" w:type="dxa"/>
            <w:vMerge w:val="continue"/>
            <w:noWrap/>
            <w:vAlign w:val="center"/>
          </w:tcPr>
          <w:p>
            <w:pPr>
              <w:adjustRightInd w:val="0"/>
              <w:snapToGrid w:val="0"/>
              <w:ind w:left="-105" w:leftChars="-50" w:right="-105" w:rightChars="-50"/>
              <w:jc w:val="center"/>
            </w:pPr>
          </w:p>
        </w:tc>
        <w:tc>
          <w:tcPr>
            <w:tcW w:w="2283" w:type="dxa"/>
            <w:gridSpan w:val="2"/>
            <w:noWrap/>
            <w:vAlign w:val="center"/>
          </w:tcPr>
          <w:p>
            <w:pPr>
              <w:widowControl/>
              <w:adjustRightInd w:val="0"/>
              <w:snapToGrid w:val="0"/>
              <w:ind w:left="-105" w:leftChars="-50" w:right="-105" w:rightChars="-50"/>
              <w:jc w:val="center"/>
              <w:textAlignment w:val="center"/>
            </w:pPr>
            <w:r>
              <w:rPr>
                <w:rFonts w:hAnsi="宋体"/>
                <w:kern w:val="0"/>
                <w:lang w:bidi="ar"/>
              </w:rPr>
              <w:t>多年平均</w:t>
            </w:r>
          </w:p>
        </w:tc>
        <w:tc>
          <w:tcPr>
            <w:tcW w:w="3597" w:type="dxa"/>
            <w:gridSpan w:val="3"/>
            <w:noWrap/>
            <w:vAlign w:val="center"/>
          </w:tcPr>
          <w:p>
            <w:pPr>
              <w:widowControl/>
              <w:adjustRightInd w:val="0"/>
              <w:snapToGrid w:val="0"/>
              <w:ind w:left="-105" w:leftChars="-50" w:right="-105" w:rightChars="-50"/>
              <w:jc w:val="center"/>
              <w:textAlignment w:val="center"/>
            </w:pPr>
            <w:r>
              <w:rPr>
                <w:kern w:val="0"/>
                <w:lang w:bidi="ar"/>
              </w:rPr>
              <w:t>P=5%</w:t>
            </w:r>
          </w:p>
        </w:tc>
        <w:tc>
          <w:tcPr>
            <w:tcW w:w="3295" w:type="dxa"/>
            <w:gridSpan w:val="3"/>
            <w:noWrap/>
            <w:vAlign w:val="center"/>
          </w:tcPr>
          <w:p>
            <w:pPr>
              <w:widowControl/>
              <w:adjustRightInd w:val="0"/>
              <w:snapToGrid w:val="0"/>
              <w:ind w:left="-105" w:leftChars="-50" w:right="-105" w:rightChars="-50"/>
              <w:jc w:val="center"/>
              <w:textAlignment w:val="center"/>
            </w:pPr>
            <w:r>
              <w:rPr>
                <w:kern w:val="0"/>
                <w:lang w:bidi="ar"/>
              </w:rPr>
              <w:t>P=20%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adjustRightInd w:val="0"/>
              <w:snapToGrid w:val="0"/>
              <w:ind w:left="-105" w:leftChars="-50" w:right="-105" w:rightChars="-50"/>
              <w:jc w:val="center"/>
            </w:pPr>
          </w:p>
        </w:tc>
        <w:tc>
          <w:tcPr>
            <w:tcW w:w="1042" w:type="dxa"/>
            <w:vMerge w:val="continue"/>
            <w:vAlign w:val="center"/>
          </w:tcPr>
          <w:p>
            <w:pPr>
              <w:adjustRightInd w:val="0"/>
              <w:snapToGrid w:val="0"/>
              <w:ind w:left="-105" w:leftChars="-50" w:right="-105" w:rightChars="-50"/>
              <w:jc w:val="center"/>
            </w:pPr>
          </w:p>
        </w:tc>
        <w:tc>
          <w:tcPr>
            <w:tcW w:w="1512" w:type="dxa"/>
            <w:vMerge w:val="continue"/>
            <w:noWrap/>
            <w:vAlign w:val="center"/>
          </w:tcPr>
          <w:p>
            <w:pPr>
              <w:adjustRightInd w:val="0"/>
              <w:snapToGrid w:val="0"/>
              <w:ind w:left="-105" w:leftChars="-50" w:right="-105" w:rightChars="-50"/>
              <w:jc w:val="center"/>
            </w:pPr>
          </w:p>
        </w:tc>
        <w:tc>
          <w:tcPr>
            <w:tcW w:w="1244"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多年平均</w:t>
            </w:r>
          </w:p>
          <w:p>
            <w:pPr>
              <w:widowControl/>
              <w:adjustRightInd w:val="0"/>
              <w:snapToGrid w:val="0"/>
              <w:ind w:left="-105" w:leftChars="-50" w:right="-105" w:rightChars="-50"/>
              <w:jc w:val="center"/>
              <w:textAlignment w:val="center"/>
            </w:pPr>
            <w:r>
              <w:rPr>
                <w:rFonts w:hAnsi="宋体"/>
                <w:kern w:val="0"/>
                <w:lang w:bidi="ar"/>
              </w:rPr>
              <w:t>水面线</w:t>
            </w:r>
          </w:p>
        </w:tc>
        <w:tc>
          <w:tcPr>
            <w:tcW w:w="1039"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林草地</w:t>
            </w:r>
          </w:p>
          <w:p>
            <w:pPr>
              <w:widowControl/>
              <w:adjustRightInd w:val="0"/>
              <w:snapToGrid w:val="0"/>
              <w:ind w:left="-105" w:leftChars="-50" w:right="-105" w:rightChars="-50"/>
              <w:jc w:val="center"/>
              <w:textAlignment w:val="center"/>
            </w:pPr>
            <w:r>
              <w:rPr>
                <w:rFonts w:hAnsi="宋体"/>
                <w:kern w:val="0"/>
                <w:lang w:bidi="ar"/>
              </w:rPr>
              <w:t>征收线</w:t>
            </w:r>
          </w:p>
        </w:tc>
        <w:tc>
          <w:tcPr>
            <w:tcW w:w="1512"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天然</w:t>
            </w:r>
          </w:p>
          <w:p>
            <w:pPr>
              <w:widowControl/>
              <w:adjustRightInd w:val="0"/>
              <w:snapToGrid w:val="0"/>
              <w:ind w:left="-105" w:leftChars="-50" w:right="-105" w:rightChars="-50"/>
              <w:jc w:val="center"/>
              <w:textAlignment w:val="center"/>
            </w:pPr>
            <w:r>
              <w:rPr>
                <w:rFonts w:hAnsi="宋体"/>
                <w:kern w:val="0"/>
                <w:lang w:bidi="ar"/>
              </w:rPr>
              <w:t>水面线</w:t>
            </w:r>
          </w:p>
        </w:tc>
        <w:tc>
          <w:tcPr>
            <w:tcW w:w="1039" w:type="dxa"/>
            <w:vAlign w:val="center"/>
          </w:tcPr>
          <w:p>
            <w:pPr>
              <w:widowControl/>
              <w:adjustRightInd w:val="0"/>
              <w:snapToGrid w:val="0"/>
              <w:ind w:left="-105" w:leftChars="-50" w:right="-105" w:rightChars="-50"/>
              <w:jc w:val="center"/>
              <w:textAlignment w:val="center"/>
            </w:pPr>
            <w:r>
              <w:rPr>
                <w:rFonts w:hAnsi="宋体"/>
                <w:kern w:val="0"/>
                <w:lang w:bidi="ar"/>
              </w:rPr>
              <w:t>回水线</w:t>
            </w:r>
          </w:p>
        </w:tc>
        <w:tc>
          <w:tcPr>
            <w:tcW w:w="1046"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居民</w:t>
            </w:r>
          </w:p>
          <w:p>
            <w:pPr>
              <w:widowControl/>
              <w:adjustRightInd w:val="0"/>
              <w:snapToGrid w:val="0"/>
              <w:ind w:left="-105" w:leftChars="-50" w:right="-105" w:rightChars="-50"/>
              <w:jc w:val="center"/>
              <w:textAlignment w:val="center"/>
            </w:pPr>
            <w:r>
              <w:rPr>
                <w:rFonts w:hAnsi="宋体"/>
                <w:kern w:val="0"/>
                <w:lang w:bidi="ar"/>
              </w:rPr>
              <w:t>迁移线</w:t>
            </w:r>
          </w:p>
        </w:tc>
        <w:tc>
          <w:tcPr>
            <w:tcW w:w="1122"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天然</w:t>
            </w:r>
          </w:p>
          <w:p>
            <w:pPr>
              <w:widowControl/>
              <w:adjustRightInd w:val="0"/>
              <w:snapToGrid w:val="0"/>
              <w:ind w:left="-105" w:leftChars="-50" w:right="-105" w:rightChars="-50"/>
              <w:jc w:val="center"/>
              <w:textAlignment w:val="center"/>
            </w:pPr>
            <w:r>
              <w:rPr>
                <w:rFonts w:hAnsi="宋体"/>
                <w:kern w:val="0"/>
                <w:lang w:bidi="ar"/>
              </w:rPr>
              <w:t>水面线</w:t>
            </w:r>
          </w:p>
        </w:tc>
        <w:tc>
          <w:tcPr>
            <w:tcW w:w="1122" w:type="dxa"/>
            <w:vAlign w:val="center"/>
          </w:tcPr>
          <w:p>
            <w:pPr>
              <w:widowControl/>
              <w:adjustRightInd w:val="0"/>
              <w:snapToGrid w:val="0"/>
              <w:ind w:left="-105" w:leftChars="-50" w:right="-105" w:rightChars="-50"/>
              <w:jc w:val="center"/>
              <w:textAlignment w:val="center"/>
            </w:pPr>
            <w:r>
              <w:rPr>
                <w:rFonts w:hAnsi="宋体"/>
                <w:kern w:val="0"/>
                <w:lang w:bidi="ar"/>
              </w:rPr>
              <w:t>回水线</w:t>
            </w:r>
          </w:p>
        </w:tc>
        <w:tc>
          <w:tcPr>
            <w:tcW w:w="1051"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耕园地</w:t>
            </w:r>
          </w:p>
          <w:p>
            <w:pPr>
              <w:widowControl/>
              <w:adjustRightInd w:val="0"/>
              <w:snapToGrid w:val="0"/>
              <w:ind w:left="-105" w:leftChars="-50" w:right="-105" w:rightChars="-50"/>
              <w:jc w:val="center"/>
              <w:textAlignment w:val="center"/>
            </w:pPr>
            <w:r>
              <w:rPr>
                <w:rFonts w:hAnsi="宋体"/>
                <w:kern w:val="0"/>
                <w:lang w:bidi="ar"/>
              </w:rPr>
              <w:t>征收线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jc w:val="center"/>
            </w:pPr>
          </w:p>
        </w:tc>
        <w:tc>
          <w:tcPr>
            <w:tcW w:w="1042" w:type="dxa"/>
            <w:vAlign w:val="center"/>
          </w:tcPr>
          <w:p>
            <w:pPr>
              <w:widowControl/>
              <w:jc w:val="center"/>
              <w:textAlignment w:val="center"/>
            </w:pPr>
            <w:r>
              <w:rPr>
                <w:kern w:val="0"/>
                <w:lang w:bidi="ar"/>
              </w:rPr>
              <w:t>m</w:t>
            </w:r>
          </w:p>
        </w:tc>
        <w:tc>
          <w:tcPr>
            <w:tcW w:w="1512" w:type="dxa"/>
            <w:vAlign w:val="center"/>
          </w:tcPr>
          <w:p>
            <w:pPr>
              <w:widowControl/>
              <w:jc w:val="center"/>
              <w:textAlignment w:val="center"/>
            </w:pPr>
            <w:r>
              <w:rPr>
                <w:kern w:val="0"/>
                <w:lang w:bidi="ar"/>
              </w:rPr>
              <w:t>m</w:t>
            </w:r>
          </w:p>
        </w:tc>
        <w:tc>
          <w:tcPr>
            <w:tcW w:w="1244" w:type="dxa"/>
            <w:vAlign w:val="center"/>
          </w:tcPr>
          <w:p>
            <w:pPr>
              <w:widowControl/>
              <w:jc w:val="center"/>
              <w:textAlignment w:val="center"/>
            </w:pPr>
            <w:r>
              <w:rPr>
                <w:kern w:val="0"/>
                <w:lang w:bidi="ar"/>
              </w:rPr>
              <w:t>m</w:t>
            </w:r>
          </w:p>
        </w:tc>
        <w:tc>
          <w:tcPr>
            <w:tcW w:w="1039" w:type="dxa"/>
            <w:vAlign w:val="center"/>
          </w:tcPr>
          <w:p>
            <w:pPr>
              <w:widowControl/>
              <w:jc w:val="center"/>
              <w:textAlignment w:val="center"/>
            </w:pPr>
            <w:r>
              <w:rPr>
                <w:kern w:val="0"/>
                <w:lang w:bidi="ar"/>
              </w:rPr>
              <w:t>m</w:t>
            </w:r>
          </w:p>
        </w:tc>
        <w:tc>
          <w:tcPr>
            <w:tcW w:w="1512" w:type="dxa"/>
            <w:vAlign w:val="center"/>
          </w:tcPr>
          <w:p>
            <w:pPr>
              <w:widowControl/>
              <w:jc w:val="center"/>
              <w:textAlignment w:val="center"/>
            </w:pPr>
            <w:r>
              <w:rPr>
                <w:kern w:val="0"/>
                <w:lang w:bidi="ar"/>
              </w:rPr>
              <w:t>m</w:t>
            </w:r>
          </w:p>
        </w:tc>
        <w:tc>
          <w:tcPr>
            <w:tcW w:w="1039" w:type="dxa"/>
            <w:vAlign w:val="center"/>
          </w:tcPr>
          <w:p>
            <w:pPr>
              <w:widowControl/>
              <w:jc w:val="center"/>
              <w:textAlignment w:val="center"/>
            </w:pPr>
            <w:r>
              <w:rPr>
                <w:kern w:val="0"/>
                <w:lang w:bidi="ar"/>
              </w:rPr>
              <w:t>m</w:t>
            </w:r>
          </w:p>
        </w:tc>
        <w:tc>
          <w:tcPr>
            <w:tcW w:w="1046" w:type="dxa"/>
            <w:vAlign w:val="center"/>
          </w:tcPr>
          <w:p>
            <w:pPr>
              <w:widowControl/>
              <w:jc w:val="center"/>
              <w:textAlignment w:val="center"/>
            </w:pPr>
            <w:r>
              <w:rPr>
                <w:kern w:val="0"/>
                <w:lang w:bidi="ar"/>
              </w:rPr>
              <w:t>m</w:t>
            </w:r>
          </w:p>
        </w:tc>
        <w:tc>
          <w:tcPr>
            <w:tcW w:w="1122" w:type="dxa"/>
            <w:vAlign w:val="center"/>
          </w:tcPr>
          <w:p>
            <w:pPr>
              <w:widowControl/>
              <w:jc w:val="center"/>
              <w:textAlignment w:val="center"/>
            </w:pPr>
            <w:r>
              <w:rPr>
                <w:kern w:val="0"/>
                <w:lang w:bidi="ar"/>
              </w:rPr>
              <w:t>m</w:t>
            </w:r>
          </w:p>
        </w:tc>
        <w:tc>
          <w:tcPr>
            <w:tcW w:w="1122" w:type="dxa"/>
            <w:vAlign w:val="center"/>
          </w:tcPr>
          <w:p>
            <w:pPr>
              <w:widowControl/>
              <w:jc w:val="center"/>
              <w:textAlignment w:val="center"/>
            </w:pPr>
            <w:r>
              <w:rPr>
                <w:kern w:val="0"/>
                <w:lang w:bidi="ar"/>
              </w:rPr>
              <w:t>m</w:t>
            </w:r>
          </w:p>
        </w:tc>
        <w:tc>
          <w:tcPr>
            <w:tcW w:w="1051" w:type="dxa"/>
            <w:vAlign w:val="center"/>
          </w:tcPr>
          <w:p>
            <w:pPr>
              <w:widowControl/>
              <w:jc w:val="center"/>
              <w:textAlignment w:val="center"/>
            </w:pPr>
            <w:r>
              <w:rPr>
                <w:kern w:val="0"/>
                <w:lang w:bidi="ar"/>
              </w:rPr>
              <w:t>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12</w:t>
            </w:r>
          </w:p>
        </w:tc>
        <w:tc>
          <w:tcPr>
            <w:tcW w:w="1042" w:type="dxa"/>
            <w:noWrap/>
            <w:vAlign w:val="center"/>
          </w:tcPr>
          <w:p>
            <w:pPr>
              <w:widowControl/>
              <w:ind w:left="-105" w:leftChars="-50" w:right="-105" w:rightChars="-50"/>
              <w:jc w:val="center"/>
              <w:textAlignment w:val="center"/>
            </w:pPr>
            <w:r>
              <w:rPr>
                <w:kern w:val="0"/>
                <w:lang w:bidi="ar"/>
              </w:rPr>
              <w:t>45.41</w:t>
            </w:r>
          </w:p>
        </w:tc>
        <w:tc>
          <w:tcPr>
            <w:tcW w:w="1512" w:type="dxa"/>
            <w:noWrap/>
            <w:vAlign w:val="center"/>
          </w:tcPr>
          <w:p>
            <w:pPr>
              <w:widowControl/>
              <w:ind w:left="-105" w:leftChars="-50" w:right="-105" w:rightChars="-50"/>
              <w:jc w:val="center"/>
              <w:textAlignment w:val="center"/>
            </w:pPr>
            <w:r>
              <w:rPr>
                <w:kern w:val="0"/>
                <w:lang w:bidi="ar"/>
              </w:rPr>
              <w:t>873.61</w:t>
            </w:r>
          </w:p>
        </w:tc>
        <w:tc>
          <w:tcPr>
            <w:tcW w:w="1244" w:type="dxa"/>
            <w:noWrap/>
            <w:vAlign w:val="center"/>
          </w:tcPr>
          <w:p>
            <w:pPr>
              <w:widowControl/>
              <w:ind w:left="-105" w:leftChars="-50" w:right="-105" w:rightChars="-50"/>
              <w:jc w:val="center"/>
              <w:textAlignment w:val="center"/>
            </w:pPr>
            <w:r>
              <w:rPr>
                <w:kern w:val="0"/>
                <w:lang w:bidi="ar"/>
              </w:rPr>
              <w:t>210.01</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211.81</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211.48</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13</w:t>
            </w:r>
          </w:p>
        </w:tc>
        <w:tc>
          <w:tcPr>
            <w:tcW w:w="1042" w:type="dxa"/>
            <w:noWrap/>
            <w:vAlign w:val="center"/>
          </w:tcPr>
          <w:p>
            <w:pPr>
              <w:widowControl/>
              <w:ind w:left="-105" w:leftChars="-50" w:right="-105" w:rightChars="-50"/>
              <w:jc w:val="center"/>
              <w:textAlignment w:val="center"/>
            </w:pPr>
            <w:r>
              <w:rPr>
                <w:kern w:val="0"/>
                <w:lang w:bidi="ar"/>
              </w:rPr>
              <w:t>47.96</w:t>
            </w:r>
          </w:p>
        </w:tc>
        <w:tc>
          <w:tcPr>
            <w:tcW w:w="1512" w:type="dxa"/>
            <w:noWrap/>
            <w:vAlign w:val="center"/>
          </w:tcPr>
          <w:p>
            <w:pPr>
              <w:widowControl/>
              <w:ind w:left="-105" w:leftChars="-50" w:right="-105" w:rightChars="-50"/>
              <w:jc w:val="center"/>
              <w:textAlignment w:val="center"/>
            </w:pPr>
            <w:r>
              <w:rPr>
                <w:kern w:val="0"/>
                <w:lang w:bidi="ar"/>
              </w:rPr>
              <w:t>921.57</w:t>
            </w:r>
          </w:p>
        </w:tc>
        <w:tc>
          <w:tcPr>
            <w:tcW w:w="1244" w:type="dxa"/>
            <w:noWrap/>
            <w:vAlign w:val="center"/>
          </w:tcPr>
          <w:p>
            <w:pPr>
              <w:widowControl/>
              <w:ind w:left="-105" w:leftChars="-50" w:right="-105" w:rightChars="-50"/>
              <w:jc w:val="center"/>
              <w:textAlignment w:val="center"/>
            </w:pPr>
            <w:r>
              <w:rPr>
                <w:kern w:val="0"/>
                <w:lang w:bidi="ar"/>
              </w:rPr>
              <w:t>213.54</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215.89</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215.63</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14</w:t>
            </w:r>
          </w:p>
        </w:tc>
        <w:tc>
          <w:tcPr>
            <w:tcW w:w="1042" w:type="dxa"/>
            <w:noWrap/>
            <w:vAlign w:val="center"/>
          </w:tcPr>
          <w:p>
            <w:pPr>
              <w:widowControl/>
              <w:ind w:left="-105" w:leftChars="-50" w:right="-105" w:rightChars="-50"/>
              <w:jc w:val="center"/>
              <w:textAlignment w:val="center"/>
            </w:pPr>
            <w:r>
              <w:rPr>
                <w:kern w:val="0"/>
                <w:lang w:bidi="ar"/>
              </w:rPr>
              <w:t>71.22</w:t>
            </w:r>
          </w:p>
        </w:tc>
        <w:tc>
          <w:tcPr>
            <w:tcW w:w="1512" w:type="dxa"/>
            <w:noWrap/>
            <w:vAlign w:val="center"/>
          </w:tcPr>
          <w:p>
            <w:pPr>
              <w:widowControl/>
              <w:ind w:left="-105" w:leftChars="-50" w:right="-105" w:rightChars="-50"/>
              <w:jc w:val="center"/>
              <w:textAlignment w:val="center"/>
            </w:pPr>
            <w:r>
              <w:rPr>
                <w:kern w:val="0"/>
                <w:lang w:bidi="ar"/>
              </w:rPr>
              <w:t>992.79</w:t>
            </w:r>
          </w:p>
        </w:tc>
        <w:tc>
          <w:tcPr>
            <w:tcW w:w="1244" w:type="dxa"/>
            <w:noWrap/>
            <w:vAlign w:val="center"/>
          </w:tcPr>
          <w:p>
            <w:pPr>
              <w:widowControl/>
              <w:ind w:left="-105" w:leftChars="-50" w:right="-105" w:rightChars="-50"/>
              <w:jc w:val="center"/>
              <w:textAlignment w:val="center"/>
            </w:pPr>
            <w:r>
              <w:rPr>
                <w:kern w:val="0"/>
                <w:lang w:bidi="ar"/>
              </w:rPr>
              <w:t>216.04</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218.73</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218.48</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15</w:t>
            </w:r>
          </w:p>
        </w:tc>
        <w:tc>
          <w:tcPr>
            <w:tcW w:w="1042" w:type="dxa"/>
            <w:noWrap/>
            <w:vAlign w:val="center"/>
          </w:tcPr>
          <w:p>
            <w:pPr>
              <w:widowControl/>
              <w:ind w:left="-105" w:leftChars="-50" w:right="-105" w:rightChars="-50"/>
              <w:jc w:val="center"/>
              <w:textAlignment w:val="center"/>
            </w:pPr>
            <w:r>
              <w:rPr>
                <w:kern w:val="0"/>
                <w:lang w:bidi="ar"/>
              </w:rPr>
              <w:t>42.94</w:t>
            </w:r>
          </w:p>
        </w:tc>
        <w:tc>
          <w:tcPr>
            <w:tcW w:w="1512" w:type="dxa"/>
            <w:noWrap/>
            <w:vAlign w:val="center"/>
          </w:tcPr>
          <w:p>
            <w:pPr>
              <w:widowControl/>
              <w:ind w:left="-105" w:leftChars="-50" w:right="-105" w:rightChars="-50"/>
              <w:jc w:val="center"/>
              <w:textAlignment w:val="center"/>
            </w:pPr>
            <w:r>
              <w:rPr>
                <w:kern w:val="0"/>
                <w:lang w:bidi="ar"/>
              </w:rPr>
              <w:t>1035.73</w:t>
            </w:r>
          </w:p>
        </w:tc>
        <w:tc>
          <w:tcPr>
            <w:tcW w:w="1244" w:type="dxa"/>
            <w:noWrap/>
            <w:vAlign w:val="center"/>
          </w:tcPr>
          <w:p>
            <w:pPr>
              <w:widowControl/>
              <w:ind w:left="-105" w:leftChars="-50" w:right="-105" w:rightChars="-50"/>
              <w:jc w:val="center"/>
              <w:textAlignment w:val="center"/>
            </w:pPr>
            <w:r>
              <w:rPr>
                <w:kern w:val="0"/>
                <w:lang w:bidi="ar"/>
              </w:rPr>
              <w:t>220.66</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223.06</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222.68</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noWrap/>
            <w:vAlign w:val="center"/>
          </w:tcPr>
          <w:p>
            <w:pPr>
              <w:widowControl/>
              <w:jc w:val="center"/>
              <w:textAlignment w:val="center"/>
            </w:pPr>
            <w:r>
              <w:rPr>
                <w:kern w:val="0"/>
                <w:lang w:bidi="ar"/>
              </w:rPr>
              <w:t>16</w:t>
            </w:r>
          </w:p>
        </w:tc>
        <w:tc>
          <w:tcPr>
            <w:tcW w:w="1042" w:type="dxa"/>
            <w:noWrap/>
            <w:vAlign w:val="center"/>
          </w:tcPr>
          <w:p>
            <w:pPr>
              <w:widowControl/>
              <w:ind w:left="-105" w:leftChars="-50" w:right="-105" w:rightChars="-50"/>
              <w:jc w:val="center"/>
              <w:textAlignment w:val="center"/>
            </w:pPr>
            <w:r>
              <w:rPr>
                <w:kern w:val="0"/>
                <w:lang w:bidi="ar"/>
              </w:rPr>
              <w:t>28.16</w:t>
            </w:r>
          </w:p>
        </w:tc>
        <w:tc>
          <w:tcPr>
            <w:tcW w:w="1512" w:type="dxa"/>
            <w:noWrap/>
            <w:vAlign w:val="center"/>
          </w:tcPr>
          <w:p>
            <w:pPr>
              <w:widowControl/>
              <w:ind w:left="-105" w:leftChars="-50" w:right="-105" w:rightChars="-50"/>
              <w:jc w:val="center"/>
              <w:textAlignment w:val="center"/>
            </w:pPr>
            <w:r>
              <w:rPr>
                <w:kern w:val="0"/>
                <w:lang w:bidi="ar"/>
              </w:rPr>
              <w:t>1063.89</w:t>
            </w:r>
          </w:p>
        </w:tc>
        <w:tc>
          <w:tcPr>
            <w:tcW w:w="1244" w:type="dxa"/>
            <w:noWrap/>
            <w:vAlign w:val="center"/>
          </w:tcPr>
          <w:p>
            <w:pPr>
              <w:widowControl/>
              <w:ind w:left="-105" w:leftChars="-50" w:right="-105" w:rightChars="-50"/>
              <w:jc w:val="center"/>
              <w:textAlignment w:val="center"/>
            </w:pPr>
            <w:r>
              <w:rPr>
                <w:kern w:val="0"/>
                <w:lang w:bidi="ar"/>
              </w:rPr>
              <w:t>223.56</w:t>
            </w:r>
          </w:p>
        </w:tc>
        <w:tc>
          <w:tcPr>
            <w:tcW w:w="1039" w:type="dxa"/>
            <w:noWrap/>
            <w:vAlign w:val="center"/>
          </w:tcPr>
          <w:p>
            <w:pPr>
              <w:widowControl/>
              <w:ind w:left="-105" w:leftChars="-50" w:right="-105" w:rightChars="-50"/>
              <w:jc w:val="center"/>
              <w:textAlignment w:val="center"/>
            </w:pPr>
            <w:r>
              <w:rPr>
                <w:kern w:val="0"/>
                <w:lang w:bidi="ar"/>
              </w:rPr>
              <w:t>232</w:t>
            </w:r>
          </w:p>
        </w:tc>
        <w:tc>
          <w:tcPr>
            <w:tcW w:w="1512" w:type="dxa"/>
            <w:noWrap/>
            <w:vAlign w:val="center"/>
          </w:tcPr>
          <w:p>
            <w:pPr>
              <w:widowControl/>
              <w:ind w:left="-105" w:leftChars="-50" w:right="-105" w:rightChars="-50"/>
              <w:jc w:val="center"/>
              <w:textAlignment w:val="center"/>
            </w:pPr>
            <w:r>
              <w:rPr>
                <w:kern w:val="0"/>
                <w:lang w:bidi="ar"/>
              </w:rPr>
              <w:t>225.74</w:t>
            </w:r>
          </w:p>
        </w:tc>
        <w:tc>
          <w:tcPr>
            <w:tcW w:w="1039" w:type="dxa"/>
            <w:noWrap/>
            <w:vAlign w:val="center"/>
          </w:tcPr>
          <w:p>
            <w:pPr>
              <w:widowControl/>
              <w:ind w:left="-105" w:leftChars="-50" w:right="-105" w:rightChars="-50"/>
              <w:jc w:val="center"/>
              <w:textAlignment w:val="center"/>
            </w:pPr>
            <w:r>
              <w:rPr>
                <w:kern w:val="0"/>
                <w:lang w:bidi="ar"/>
              </w:rPr>
              <w:t>233.49</w:t>
            </w:r>
          </w:p>
        </w:tc>
        <w:tc>
          <w:tcPr>
            <w:tcW w:w="1046" w:type="dxa"/>
            <w:noWrap/>
            <w:vAlign w:val="center"/>
          </w:tcPr>
          <w:p>
            <w:pPr>
              <w:widowControl/>
              <w:ind w:left="-105" w:leftChars="-50" w:right="-105" w:rightChars="-50"/>
              <w:jc w:val="center"/>
              <w:textAlignment w:val="center"/>
            </w:pPr>
            <w:r>
              <w:rPr>
                <w:kern w:val="0"/>
                <w:lang w:bidi="ar"/>
              </w:rPr>
              <w:t>233.49</w:t>
            </w:r>
          </w:p>
        </w:tc>
        <w:tc>
          <w:tcPr>
            <w:tcW w:w="1122" w:type="dxa"/>
            <w:noWrap/>
            <w:vAlign w:val="center"/>
          </w:tcPr>
          <w:p>
            <w:pPr>
              <w:widowControl/>
              <w:ind w:left="-105" w:leftChars="-50" w:right="-105" w:rightChars="-50"/>
              <w:jc w:val="center"/>
              <w:textAlignment w:val="center"/>
            </w:pPr>
            <w:r>
              <w:rPr>
                <w:kern w:val="0"/>
                <w:lang w:bidi="ar"/>
              </w:rPr>
              <w:t>225.44</w:t>
            </w:r>
          </w:p>
        </w:tc>
        <w:tc>
          <w:tcPr>
            <w:tcW w:w="1122" w:type="dxa"/>
            <w:noWrap/>
            <w:vAlign w:val="center"/>
          </w:tcPr>
          <w:p>
            <w:pPr>
              <w:widowControl/>
              <w:ind w:left="-105" w:leftChars="-50" w:right="-105" w:rightChars="-50"/>
              <w:jc w:val="center"/>
              <w:textAlignment w:val="center"/>
            </w:pPr>
            <w:r>
              <w:rPr>
                <w:kern w:val="0"/>
                <w:lang w:bidi="ar"/>
              </w:rPr>
              <w:t>233.08</w:t>
            </w:r>
          </w:p>
        </w:tc>
        <w:tc>
          <w:tcPr>
            <w:tcW w:w="1051" w:type="dxa"/>
            <w:noWrap/>
            <w:vAlign w:val="center"/>
          </w:tcPr>
          <w:p>
            <w:pPr>
              <w:widowControl/>
              <w:ind w:left="-105" w:leftChars="-50" w:right="-105" w:rightChars="-50"/>
              <w:jc w:val="center"/>
              <w:textAlignment w:val="center"/>
            </w:pPr>
            <w:r>
              <w:rPr>
                <w:kern w:val="0"/>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17</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34.5</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1098.39</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226.22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232</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229.25</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233.51</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233.51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228.9</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233.12</w:t>
            </w: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233.12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18</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44.87</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1143.26</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232</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232.9</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233.8</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233.8</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232.61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233.43</w:t>
            </w: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233.43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P=20%回水末</w:t>
            </w:r>
          </w:p>
          <w:p>
            <w:pPr>
              <w:widowControl/>
              <w:jc w:val="center"/>
              <w:textAlignment w:val="center"/>
              <w:rPr>
                <w:kern w:val="0"/>
                <w:lang w:bidi="ar"/>
              </w:rPr>
            </w:pPr>
            <w:r>
              <w:rPr>
                <w:kern w:val="0"/>
                <w:lang w:bidi="ar"/>
              </w:rPr>
              <w:t>端断面</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18.74</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1162</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233.78</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234.08</w:t>
            </w: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P=5%回水末端</w:t>
            </w:r>
          </w:p>
          <w:p>
            <w:pPr>
              <w:widowControl/>
              <w:jc w:val="center"/>
              <w:textAlignment w:val="center"/>
              <w:rPr>
                <w:kern w:val="0"/>
                <w:lang w:bidi="ar"/>
              </w:rPr>
            </w:pPr>
            <w:r>
              <w:rPr>
                <w:kern w:val="0"/>
                <w:lang w:bidi="ar"/>
              </w:rPr>
              <w:t>断面</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19.52</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1162.78</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234.21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19</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26.03</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1169.29</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231.6</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232</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234.64</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234.74</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234.24</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234.31</w:t>
            </w: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林草地处理终点</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27.59</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1196.88</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232</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234.08</w:t>
            </w:r>
          </w:p>
        </w:tc>
      </w:tr>
    </w:tbl>
    <w:p>
      <w:pPr>
        <w:pStyle w:val="517"/>
        <w:rPr>
          <w:color w:val="000000"/>
        </w:rPr>
      </w:pPr>
      <w:r>
        <w:br w:type="page"/>
      </w:r>
      <w:r>
        <w:rPr>
          <w:color w:val="000000"/>
        </w:rPr>
        <w:t>表3.1.1-1</w:t>
      </w:r>
      <w:r>
        <w:rPr>
          <w:rFonts w:hint="eastAsia"/>
          <w:color w:val="000000"/>
        </w:rPr>
        <w:t>(续)</w:t>
      </w:r>
      <w:r>
        <w:rPr>
          <w:color w:val="000000"/>
        </w:rPr>
        <w:t xml:space="preserve"> </w:t>
      </w:r>
    </w:p>
    <w:tbl>
      <w:tblPr>
        <w:tblStyle w:val="79"/>
        <w:tblW w:w="13646"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17"/>
        <w:gridCol w:w="1042"/>
        <w:gridCol w:w="1512"/>
        <w:gridCol w:w="1244"/>
        <w:gridCol w:w="1039"/>
        <w:gridCol w:w="1512"/>
        <w:gridCol w:w="1039"/>
        <w:gridCol w:w="1046"/>
        <w:gridCol w:w="1122"/>
        <w:gridCol w:w="1122"/>
        <w:gridCol w:w="105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restart"/>
            <w:noWrap/>
            <w:vAlign w:val="center"/>
          </w:tcPr>
          <w:p>
            <w:pPr>
              <w:widowControl/>
              <w:adjustRightInd w:val="0"/>
              <w:snapToGrid w:val="0"/>
              <w:ind w:left="-105" w:leftChars="-50" w:right="-105" w:rightChars="-50"/>
              <w:jc w:val="center"/>
              <w:textAlignment w:val="center"/>
            </w:pPr>
            <w:r>
              <w:rPr>
                <w:rFonts w:hAnsi="宋体"/>
                <w:kern w:val="0"/>
                <w:lang w:bidi="ar"/>
              </w:rPr>
              <w:t>序号</w:t>
            </w:r>
          </w:p>
        </w:tc>
        <w:tc>
          <w:tcPr>
            <w:tcW w:w="1042" w:type="dxa"/>
            <w:vMerge w:val="restart"/>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断面</w:t>
            </w:r>
          </w:p>
          <w:p>
            <w:pPr>
              <w:widowControl/>
              <w:adjustRightInd w:val="0"/>
              <w:snapToGrid w:val="0"/>
              <w:ind w:left="-105" w:leftChars="-50" w:right="-105" w:rightChars="-50"/>
              <w:jc w:val="center"/>
              <w:textAlignment w:val="center"/>
            </w:pPr>
            <w:r>
              <w:rPr>
                <w:rFonts w:hAnsi="宋体"/>
                <w:kern w:val="0"/>
                <w:lang w:bidi="ar"/>
              </w:rPr>
              <w:t>间距</w:t>
            </w:r>
          </w:p>
        </w:tc>
        <w:tc>
          <w:tcPr>
            <w:tcW w:w="1512" w:type="dxa"/>
            <w:vMerge w:val="restart"/>
            <w:noWrap/>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距坝</w:t>
            </w:r>
          </w:p>
          <w:p>
            <w:pPr>
              <w:widowControl/>
              <w:adjustRightInd w:val="0"/>
              <w:snapToGrid w:val="0"/>
              <w:ind w:left="-105" w:leftChars="-50" w:right="-105" w:rightChars="-50"/>
              <w:jc w:val="center"/>
              <w:textAlignment w:val="center"/>
            </w:pPr>
            <w:r>
              <w:rPr>
                <w:rFonts w:hAnsi="宋体"/>
                <w:kern w:val="0"/>
                <w:lang w:bidi="ar"/>
              </w:rPr>
              <w:t>里程</w:t>
            </w:r>
          </w:p>
        </w:tc>
        <w:tc>
          <w:tcPr>
            <w:tcW w:w="9175" w:type="dxa"/>
            <w:gridSpan w:val="8"/>
            <w:noWrap/>
            <w:vAlign w:val="center"/>
          </w:tcPr>
          <w:p>
            <w:pPr>
              <w:widowControl/>
              <w:adjustRightInd w:val="0"/>
              <w:snapToGrid w:val="0"/>
              <w:ind w:left="-105" w:leftChars="-50" w:right="-105" w:rightChars="-50"/>
              <w:jc w:val="center"/>
              <w:textAlignment w:val="center"/>
            </w:pPr>
            <w:r>
              <w:rPr>
                <w:rFonts w:hAnsi="宋体"/>
                <w:kern w:val="0"/>
                <w:lang w:bidi="ar"/>
              </w:rPr>
              <w:t>推荐方案回水淹没计算成果及淹没处理范围线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adjustRightInd w:val="0"/>
              <w:snapToGrid w:val="0"/>
              <w:ind w:left="-105" w:leftChars="-50" w:right="-105" w:rightChars="-50"/>
              <w:jc w:val="center"/>
            </w:pPr>
          </w:p>
        </w:tc>
        <w:tc>
          <w:tcPr>
            <w:tcW w:w="1042" w:type="dxa"/>
            <w:vMerge w:val="continue"/>
            <w:vAlign w:val="center"/>
          </w:tcPr>
          <w:p>
            <w:pPr>
              <w:adjustRightInd w:val="0"/>
              <w:snapToGrid w:val="0"/>
              <w:ind w:left="-105" w:leftChars="-50" w:right="-105" w:rightChars="-50"/>
              <w:jc w:val="center"/>
            </w:pPr>
          </w:p>
        </w:tc>
        <w:tc>
          <w:tcPr>
            <w:tcW w:w="1512" w:type="dxa"/>
            <w:vMerge w:val="continue"/>
            <w:noWrap/>
            <w:vAlign w:val="center"/>
          </w:tcPr>
          <w:p>
            <w:pPr>
              <w:adjustRightInd w:val="0"/>
              <w:snapToGrid w:val="0"/>
              <w:ind w:left="-105" w:leftChars="-50" w:right="-105" w:rightChars="-50"/>
              <w:jc w:val="center"/>
            </w:pPr>
          </w:p>
        </w:tc>
        <w:tc>
          <w:tcPr>
            <w:tcW w:w="2283" w:type="dxa"/>
            <w:gridSpan w:val="2"/>
            <w:noWrap/>
            <w:vAlign w:val="center"/>
          </w:tcPr>
          <w:p>
            <w:pPr>
              <w:widowControl/>
              <w:adjustRightInd w:val="0"/>
              <w:snapToGrid w:val="0"/>
              <w:ind w:left="-105" w:leftChars="-50" w:right="-105" w:rightChars="-50"/>
              <w:jc w:val="center"/>
              <w:textAlignment w:val="center"/>
            </w:pPr>
            <w:r>
              <w:rPr>
                <w:rFonts w:hAnsi="宋体"/>
                <w:kern w:val="0"/>
                <w:lang w:bidi="ar"/>
              </w:rPr>
              <w:t>多年平均</w:t>
            </w:r>
          </w:p>
        </w:tc>
        <w:tc>
          <w:tcPr>
            <w:tcW w:w="3597" w:type="dxa"/>
            <w:gridSpan w:val="3"/>
            <w:noWrap/>
            <w:vAlign w:val="center"/>
          </w:tcPr>
          <w:p>
            <w:pPr>
              <w:widowControl/>
              <w:adjustRightInd w:val="0"/>
              <w:snapToGrid w:val="0"/>
              <w:ind w:left="-105" w:leftChars="-50" w:right="-105" w:rightChars="-50"/>
              <w:jc w:val="center"/>
              <w:textAlignment w:val="center"/>
            </w:pPr>
            <w:r>
              <w:rPr>
                <w:kern w:val="0"/>
                <w:lang w:bidi="ar"/>
              </w:rPr>
              <w:t>P=5%</w:t>
            </w:r>
          </w:p>
        </w:tc>
        <w:tc>
          <w:tcPr>
            <w:tcW w:w="3295" w:type="dxa"/>
            <w:gridSpan w:val="3"/>
            <w:noWrap/>
            <w:vAlign w:val="center"/>
          </w:tcPr>
          <w:p>
            <w:pPr>
              <w:widowControl/>
              <w:adjustRightInd w:val="0"/>
              <w:snapToGrid w:val="0"/>
              <w:ind w:left="-105" w:leftChars="-50" w:right="-105" w:rightChars="-50"/>
              <w:jc w:val="center"/>
              <w:textAlignment w:val="center"/>
            </w:pPr>
            <w:r>
              <w:rPr>
                <w:kern w:val="0"/>
                <w:lang w:bidi="ar"/>
              </w:rPr>
              <w:t>P=20%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adjustRightInd w:val="0"/>
              <w:snapToGrid w:val="0"/>
              <w:ind w:left="-105" w:leftChars="-50" w:right="-105" w:rightChars="-50"/>
              <w:jc w:val="center"/>
            </w:pPr>
          </w:p>
        </w:tc>
        <w:tc>
          <w:tcPr>
            <w:tcW w:w="1042" w:type="dxa"/>
            <w:vMerge w:val="continue"/>
            <w:vAlign w:val="center"/>
          </w:tcPr>
          <w:p>
            <w:pPr>
              <w:adjustRightInd w:val="0"/>
              <w:snapToGrid w:val="0"/>
              <w:ind w:left="-105" w:leftChars="-50" w:right="-105" w:rightChars="-50"/>
              <w:jc w:val="center"/>
            </w:pPr>
          </w:p>
        </w:tc>
        <w:tc>
          <w:tcPr>
            <w:tcW w:w="1512" w:type="dxa"/>
            <w:vMerge w:val="continue"/>
            <w:noWrap/>
            <w:vAlign w:val="center"/>
          </w:tcPr>
          <w:p>
            <w:pPr>
              <w:adjustRightInd w:val="0"/>
              <w:snapToGrid w:val="0"/>
              <w:ind w:left="-105" w:leftChars="-50" w:right="-105" w:rightChars="-50"/>
              <w:jc w:val="center"/>
            </w:pPr>
          </w:p>
        </w:tc>
        <w:tc>
          <w:tcPr>
            <w:tcW w:w="1244"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多年平均</w:t>
            </w:r>
          </w:p>
          <w:p>
            <w:pPr>
              <w:widowControl/>
              <w:adjustRightInd w:val="0"/>
              <w:snapToGrid w:val="0"/>
              <w:ind w:left="-105" w:leftChars="-50" w:right="-105" w:rightChars="-50"/>
              <w:jc w:val="center"/>
              <w:textAlignment w:val="center"/>
            </w:pPr>
            <w:r>
              <w:rPr>
                <w:rFonts w:hAnsi="宋体"/>
                <w:kern w:val="0"/>
                <w:lang w:bidi="ar"/>
              </w:rPr>
              <w:t>水面线</w:t>
            </w:r>
          </w:p>
        </w:tc>
        <w:tc>
          <w:tcPr>
            <w:tcW w:w="1039"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林草地</w:t>
            </w:r>
          </w:p>
          <w:p>
            <w:pPr>
              <w:widowControl/>
              <w:adjustRightInd w:val="0"/>
              <w:snapToGrid w:val="0"/>
              <w:ind w:left="-105" w:leftChars="-50" w:right="-105" w:rightChars="-50"/>
              <w:jc w:val="center"/>
              <w:textAlignment w:val="center"/>
            </w:pPr>
            <w:r>
              <w:rPr>
                <w:rFonts w:hAnsi="宋体"/>
                <w:kern w:val="0"/>
                <w:lang w:bidi="ar"/>
              </w:rPr>
              <w:t>征收线</w:t>
            </w:r>
          </w:p>
        </w:tc>
        <w:tc>
          <w:tcPr>
            <w:tcW w:w="1512"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天然</w:t>
            </w:r>
          </w:p>
          <w:p>
            <w:pPr>
              <w:widowControl/>
              <w:adjustRightInd w:val="0"/>
              <w:snapToGrid w:val="0"/>
              <w:ind w:left="-105" w:leftChars="-50" w:right="-105" w:rightChars="-50"/>
              <w:jc w:val="center"/>
              <w:textAlignment w:val="center"/>
            </w:pPr>
            <w:r>
              <w:rPr>
                <w:rFonts w:hAnsi="宋体"/>
                <w:kern w:val="0"/>
                <w:lang w:bidi="ar"/>
              </w:rPr>
              <w:t>水面线</w:t>
            </w:r>
          </w:p>
        </w:tc>
        <w:tc>
          <w:tcPr>
            <w:tcW w:w="1039" w:type="dxa"/>
            <w:vAlign w:val="center"/>
          </w:tcPr>
          <w:p>
            <w:pPr>
              <w:widowControl/>
              <w:adjustRightInd w:val="0"/>
              <w:snapToGrid w:val="0"/>
              <w:ind w:left="-105" w:leftChars="-50" w:right="-105" w:rightChars="-50"/>
              <w:jc w:val="center"/>
              <w:textAlignment w:val="center"/>
            </w:pPr>
            <w:r>
              <w:rPr>
                <w:rFonts w:hAnsi="宋体"/>
                <w:kern w:val="0"/>
                <w:lang w:bidi="ar"/>
              </w:rPr>
              <w:t>回水线</w:t>
            </w:r>
          </w:p>
        </w:tc>
        <w:tc>
          <w:tcPr>
            <w:tcW w:w="1046"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居民</w:t>
            </w:r>
          </w:p>
          <w:p>
            <w:pPr>
              <w:widowControl/>
              <w:adjustRightInd w:val="0"/>
              <w:snapToGrid w:val="0"/>
              <w:ind w:left="-105" w:leftChars="-50" w:right="-105" w:rightChars="-50"/>
              <w:jc w:val="center"/>
              <w:textAlignment w:val="center"/>
            </w:pPr>
            <w:r>
              <w:rPr>
                <w:rFonts w:hAnsi="宋体"/>
                <w:kern w:val="0"/>
                <w:lang w:bidi="ar"/>
              </w:rPr>
              <w:t>迁移线</w:t>
            </w:r>
          </w:p>
        </w:tc>
        <w:tc>
          <w:tcPr>
            <w:tcW w:w="1122"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天然</w:t>
            </w:r>
          </w:p>
          <w:p>
            <w:pPr>
              <w:widowControl/>
              <w:adjustRightInd w:val="0"/>
              <w:snapToGrid w:val="0"/>
              <w:ind w:left="-105" w:leftChars="-50" w:right="-105" w:rightChars="-50"/>
              <w:jc w:val="center"/>
              <w:textAlignment w:val="center"/>
            </w:pPr>
            <w:r>
              <w:rPr>
                <w:rFonts w:hAnsi="宋体"/>
                <w:kern w:val="0"/>
                <w:lang w:bidi="ar"/>
              </w:rPr>
              <w:t>水面线</w:t>
            </w:r>
          </w:p>
        </w:tc>
        <w:tc>
          <w:tcPr>
            <w:tcW w:w="1122" w:type="dxa"/>
            <w:vAlign w:val="center"/>
          </w:tcPr>
          <w:p>
            <w:pPr>
              <w:widowControl/>
              <w:adjustRightInd w:val="0"/>
              <w:snapToGrid w:val="0"/>
              <w:ind w:left="-105" w:leftChars="-50" w:right="-105" w:rightChars="-50"/>
              <w:jc w:val="center"/>
              <w:textAlignment w:val="center"/>
            </w:pPr>
            <w:r>
              <w:rPr>
                <w:rFonts w:hAnsi="宋体"/>
                <w:kern w:val="0"/>
                <w:lang w:bidi="ar"/>
              </w:rPr>
              <w:t>回水线</w:t>
            </w:r>
          </w:p>
        </w:tc>
        <w:tc>
          <w:tcPr>
            <w:tcW w:w="1051" w:type="dxa"/>
            <w:vAlign w:val="center"/>
          </w:tcPr>
          <w:p>
            <w:pPr>
              <w:widowControl/>
              <w:adjustRightInd w:val="0"/>
              <w:snapToGrid w:val="0"/>
              <w:ind w:left="-105" w:leftChars="-50" w:right="-105" w:rightChars="-50"/>
              <w:jc w:val="center"/>
              <w:textAlignment w:val="center"/>
              <w:rPr>
                <w:rFonts w:hAnsi="宋体"/>
                <w:kern w:val="0"/>
                <w:lang w:bidi="ar"/>
              </w:rPr>
            </w:pPr>
            <w:r>
              <w:rPr>
                <w:rFonts w:hAnsi="宋体"/>
                <w:kern w:val="0"/>
                <w:lang w:bidi="ar"/>
              </w:rPr>
              <w:t>耕园地</w:t>
            </w:r>
          </w:p>
          <w:p>
            <w:pPr>
              <w:widowControl/>
              <w:adjustRightInd w:val="0"/>
              <w:snapToGrid w:val="0"/>
              <w:ind w:left="-105" w:leftChars="-50" w:right="-105" w:rightChars="-50"/>
              <w:jc w:val="center"/>
              <w:textAlignment w:val="center"/>
            </w:pPr>
            <w:r>
              <w:rPr>
                <w:rFonts w:hAnsi="宋体"/>
                <w:kern w:val="0"/>
                <w:lang w:bidi="ar"/>
              </w:rPr>
              <w:t>征收线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7" w:type="dxa"/>
            <w:vMerge w:val="continue"/>
            <w:noWrap/>
            <w:vAlign w:val="center"/>
          </w:tcPr>
          <w:p>
            <w:pPr>
              <w:jc w:val="center"/>
            </w:pPr>
          </w:p>
        </w:tc>
        <w:tc>
          <w:tcPr>
            <w:tcW w:w="1042" w:type="dxa"/>
            <w:vAlign w:val="center"/>
          </w:tcPr>
          <w:p>
            <w:pPr>
              <w:widowControl/>
              <w:jc w:val="center"/>
              <w:textAlignment w:val="center"/>
            </w:pPr>
            <w:r>
              <w:rPr>
                <w:kern w:val="0"/>
                <w:lang w:bidi="ar"/>
              </w:rPr>
              <w:t>m</w:t>
            </w:r>
          </w:p>
        </w:tc>
        <w:tc>
          <w:tcPr>
            <w:tcW w:w="1512" w:type="dxa"/>
            <w:vAlign w:val="center"/>
          </w:tcPr>
          <w:p>
            <w:pPr>
              <w:widowControl/>
              <w:jc w:val="center"/>
              <w:textAlignment w:val="center"/>
            </w:pPr>
            <w:r>
              <w:rPr>
                <w:kern w:val="0"/>
                <w:lang w:bidi="ar"/>
              </w:rPr>
              <w:t>m</w:t>
            </w:r>
          </w:p>
        </w:tc>
        <w:tc>
          <w:tcPr>
            <w:tcW w:w="1244" w:type="dxa"/>
            <w:vAlign w:val="center"/>
          </w:tcPr>
          <w:p>
            <w:pPr>
              <w:widowControl/>
              <w:jc w:val="center"/>
              <w:textAlignment w:val="center"/>
            </w:pPr>
            <w:r>
              <w:rPr>
                <w:kern w:val="0"/>
                <w:lang w:bidi="ar"/>
              </w:rPr>
              <w:t>m</w:t>
            </w:r>
          </w:p>
        </w:tc>
        <w:tc>
          <w:tcPr>
            <w:tcW w:w="1039" w:type="dxa"/>
            <w:vAlign w:val="center"/>
          </w:tcPr>
          <w:p>
            <w:pPr>
              <w:widowControl/>
              <w:jc w:val="center"/>
              <w:textAlignment w:val="center"/>
            </w:pPr>
            <w:r>
              <w:rPr>
                <w:kern w:val="0"/>
                <w:lang w:bidi="ar"/>
              </w:rPr>
              <w:t>m</w:t>
            </w:r>
          </w:p>
        </w:tc>
        <w:tc>
          <w:tcPr>
            <w:tcW w:w="1512" w:type="dxa"/>
            <w:vAlign w:val="center"/>
          </w:tcPr>
          <w:p>
            <w:pPr>
              <w:widowControl/>
              <w:jc w:val="center"/>
              <w:textAlignment w:val="center"/>
            </w:pPr>
            <w:r>
              <w:rPr>
                <w:kern w:val="0"/>
                <w:lang w:bidi="ar"/>
              </w:rPr>
              <w:t>m</w:t>
            </w:r>
          </w:p>
        </w:tc>
        <w:tc>
          <w:tcPr>
            <w:tcW w:w="1039" w:type="dxa"/>
            <w:vAlign w:val="center"/>
          </w:tcPr>
          <w:p>
            <w:pPr>
              <w:widowControl/>
              <w:jc w:val="center"/>
              <w:textAlignment w:val="center"/>
            </w:pPr>
            <w:r>
              <w:rPr>
                <w:kern w:val="0"/>
                <w:lang w:bidi="ar"/>
              </w:rPr>
              <w:t>m</w:t>
            </w:r>
          </w:p>
        </w:tc>
        <w:tc>
          <w:tcPr>
            <w:tcW w:w="1046" w:type="dxa"/>
            <w:vAlign w:val="center"/>
          </w:tcPr>
          <w:p>
            <w:pPr>
              <w:widowControl/>
              <w:jc w:val="center"/>
              <w:textAlignment w:val="center"/>
            </w:pPr>
            <w:r>
              <w:rPr>
                <w:kern w:val="0"/>
                <w:lang w:bidi="ar"/>
              </w:rPr>
              <w:t>m</w:t>
            </w:r>
          </w:p>
        </w:tc>
        <w:tc>
          <w:tcPr>
            <w:tcW w:w="1122" w:type="dxa"/>
            <w:vAlign w:val="center"/>
          </w:tcPr>
          <w:p>
            <w:pPr>
              <w:widowControl/>
              <w:jc w:val="center"/>
              <w:textAlignment w:val="center"/>
            </w:pPr>
            <w:r>
              <w:rPr>
                <w:kern w:val="0"/>
                <w:lang w:bidi="ar"/>
              </w:rPr>
              <w:t>m</w:t>
            </w:r>
          </w:p>
        </w:tc>
        <w:tc>
          <w:tcPr>
            <w:tcW w:w="1122" w:type="dxa"/>
            <w:vAlign w:val="center"/>
          </w:tcPr>
          <w:p>
            <w:pPr>
              <w:widowControl/>
              <w:jc w:val="center"/>
              <w:textAlignment w:val="center"/>
            </w:pPr>
            <w:r>
              <w:rPr>
                <w:kern w:val="0"/>
                <w:lang w:bidi="ar"/>
              </w:rPr>
              <w:t>m</w:t>
            </w:r>
          </w:p>
        </w:tc>
        <w:tc>
          <w:tcPr>
            <w:tcW w:w="1051" w:type="dxa"/>
            <w:vAlign w:val="center"/>
          </w:tcPr>
          <w:p>
            <w:pPr>
              <w:widowControl/>
              <w:jc w:val="center"/>
              <w:textAlignment w:val="center"/>
            </w:pPr>
            <w:r>
              <w:rPr>
                <w:kern w:val="0"/>
                <w:lang w:bidi="ar"/>
              </w:rPr>
              <w:t>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20</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28.48</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1197.77</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232.23</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236.02</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236.06</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235.49</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235.53</w:t>
            </w: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21</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23.47</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1221.24</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233.55</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236.88</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236.9</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236.35</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236.36</w:t>
            </w: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P=20%</w:t>
            </w:r>
          </w:p>
          <w:p>
            <w:pPr>
              <w:widowControl/>
              <w:jc w:val="center"/>
              <w:textAlignment w:val="center"/>
              <w:rPr>
                <w:kern w:val="0"/>
                <w:lang w:bidi="ar"/>
              </w:rPr>
            </w:pPr>
            <w:r>
              <w:rPr>
                <w:kern w:val="0"/>
                <w:lang w:bidi="ar"/>
              </w:rPr>
              <w:t>处理终点</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7.19</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1228.43</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234.08</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r>
              <w:rPr>
                <w:kern w:val="0"/>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P=5%</w:t>
            </w:r>
          </w:p>
          <w:p>
            <w:pPr>
              <w:widowControl/>
              <w:jc w:val="center"/>
              <w:textAlignment w:val="center"/>
              <w:rPr>
                <w:kern w:val="0"/>
                <w:lang w:bidi="ar"/>
              </w:rPr>
            </w:pPr>
            <w:r>
              <w:rPr>
                <w:kern w:val="0"/>
                <w:lang w:bidi="ar"/>
              </w:rPr>
              <w:t>处理终点</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12.72</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1233.96</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234.51</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kern w:val="0"/>
                <w:lang w:bidi="ar"/>
              </w:rPr>
            </w:pPr>
            <w:r>
              <w:rPr>
                <w:kern w:val="0"/>
                <w:lang w:bidi="ar"/>
              </w:rPr>
              <w:t>22</w:t>
            </w:r>
          </w:p>
        </w:tc>
        <w:tc>
          <w:tcPr>
            <w:tcW w:w="104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39.51</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1260.75</w:t>
            </w:r>
          </w:p>
        </w:tc>
        <w:tc>
          <w:tcPr>
            <w:tcW w:w="1244"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236.54</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51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239.31</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239.31</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238.88</w:t>
            </w:r>
          </w:p>
        </w:tc>
        <w:tc>
          <w:tcPr>
            <w:tcW w:w="1122"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238.88</w:t>
            </w:r>
          </w:p>
        </w:tc>
        <w:tc>
          <w:tcPr>
            <w:tcW w:w="1051"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kern w:val="0"/>
                <w:lang w:bidi="ar"/>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7" w:type="dxa"/>
            <w:tcBorders>
              <w:top w:val="single" w:color="000000" w:sz="4" w:space="0"/>
              <w:left w:val="single" w:color="auto" w:sz="12" w:space="0"/>
              <w:bottom w:val="single" w:color="auto" w:sz="12" w:space="0"/>
              <w:right w:val="single" w:color="000000" w:sz="4" w:space="0"/>
            </w:tcBorders>
            <w:noWrap/>
            <w:vAlign w:val="center"/>
          </w:tcPr>
          <w:p>
            <w:pPr>
              <w:widowControl/>
              <w:jc w:val="center"/>
              <w:textAlignment w:val="center"/>
              <w:rPr>
                <w:kern w:val="0"/>
                <w:lang w:bidi="ar"/>
              </w:rPr>
            </w:pPr>
            <w:r>
              <w:rPr>
                <w:kern w:val="0"/>
                <w:lang w:bidi="ar"/>
              </w:rPr>
              <w:t>23</w:t>
            </w:r>
          </w:p>
        </w:tc>
        <w:tc>
          <w:tcPr>
            <w:tcW w:w="1042"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31.75</w:t>
            </w:r>
          </w:p>
        </w:tc>
        <w:tc>
          <w:tcPr>
            <w:tcW w:w="1512"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1292.5</w:t>
            </w:r>
          </w:p>
        </w:tc>
        <w:tc>
          <w:tcPr>
            <w:tcW w:w="1244"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238.62</w:t>
            </w:r>
          </w:p>
        </w:tc>
        <w:tc>
          <w:tcPr>
            <w:tcW w:w="1039"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p>
        </w:tc>
        <w:tc>
          <w:tcPr>
            <w:tcW w:w="1512"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241.2</w:t>
            </w:r>
          </w:p>
        </w:tc>
        <w:tc>
          <w:tcPr>
            <w:tcW w:w="1039"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241.2</w:t>
            </w:r>
          </w:p>
        </w:tc>
        <w:tc>
          <w:tcPr>
            <w:tcW w:w="1046"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p>
        </w:tc>
        <w:tc>
          <w:tcPr>
            <w:tcW w:w="1122"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240.82</w:t>
            </w:r>
          </w:p>
        </w:tc>
        <w:tc>
          <w:tcPr>
            <w:tcW w:w="1122"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kern w:val="0"/>
                <w:lang w:bidi="ar"/>
              </w:rPr>
            </w:pPr>
            <w:r>
              <w:rPr>
                <w:kern w:val="0"/>
                <w:lang w:bidi="ar"/>
              </w:rPr>
              <w:t>240.82</w:t>
            </w:r>
          </w:p>
        </w:tc>
        <w:tc>
          <w:tcPr>
            <w:tcW w:w="1051" w:type="dxa"/>
            <w:tcBorders>
              <w:top w:val="single" w:color="000000" w:sz="4" w:space="0"/>
              <w:left w:val="single" w:color="000000" w:sz="4" w:space="0"/>
              <w:bottom w:val="single" w:color="auto" w:sz="12" w:space="0"/>
              <w:right w:val="single" w:color="auto" w:sz="12" w:space="0"/>
            </w:tcBorders>
            <w:noWrap/>
            <w:vAlign w:val="center"/>
          </w:tcPr>
          <w:p>
            <w:pPr>
              <w:widowControl/>
              <w:ind w:left="-105" w:leftChars="-50" w:right="-105" w:rightChars="-50"/>
              <w:jc w:val="center"/>
              <w:textAlignment w:val="center"/>
              <w:rPr>
                <w:kern w:val="0"/>
                <w:lang w:bidi="ar"/>
              </w:rPr>
            </w:pPr>
          </w:p>
        </w:tc>
      </w:tr>
    </w:tbl>
    <w:p>
      <w:pPr>
        <w:rPr>
          <w:rFonts w:ascii="Tahoma" w:hAnsi="Tahoma" w:cs="Tahoma"/>
          <w:sz w:val="24"/>
        </w:rPr>
        <w:sectPr>
          <w:footerReference r:id="rId7" w:type="default"/>
          <w:pgSz w:w="16838" w:h="11906" w:orient="landscape"/>
          <w:pgMar w:top="1588" w:right="1565" w:bottom="1531" w:left="1565" w:header="1134" w:footer="1247" w:gutter="0"/>
          <w:cols w:space="720" w:num="1"/>
          <w:docGrid w:linePitch="312" w:charSpace="0"/>
        </w:sectPr>
      </w:pPr>
    </w:p>
    <w:p>
      <w:pPr>
        <w:pStyle w:val="5"/>
      </w:pPr>
      <w:r>
        <w:t>3.1.1.2  水库影响区</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水库影响区应包括由蓄水引起的滑坡、塌岸、浸没、变形库岸、内涝、水库渗漏等需要处理的区域，以及减水河段、失去基本生产生活条件的库周和孤岛等其他受水库蓄水影响需要处理的区域。</w:t>
      </w:r>
    </w:p>
    <w:p>
      <w:pPr>
        <w:adjustRightInd w:val="0"/>
        <w:snapToGrid w:val="0"/>
        <w:spacing w:line="480" w:lineRule="exact"/>
        <w:ind w:firstLine="480" w:firstLineChars="200"/>
        <w:rPr>
          <w:rFonts w:eastAsia="黑体"/>
          <w:snapToGrid w:val="0"/>
          <w:kern w:val="0"/>
          <w:sz w:val="24"/>
        </w:rPr>
      </w:pPr>
      <w:r>
        <w:rPr>
          <w:rFonts w:hint="eastAsia" w:hAnsi="宋体"/>
          <w:color w:val="000000"/>
          <w:sz w:val="24"/>
        </w:rPr>
        <w:t>根据审定的《广东陆河抽水蓄能电站可行性研究阶段正常蓄水位选择专题报告》，</w:t>
      </w:r>
      <w:r>
        <w:rPr>
          <w:rFonts w:hint="eastAsia"/>
          <w:sz w:val="24"/>
          <w:szCs w:val="22"/>
        </w:rPr>
        <w:t>库岸边坡整体较简单，以风化土质坡为主。现场平面地质调查未见大的堆积体，库盆边坡整体稳定性较好。自然状态下，库周外边坡稳定。工程区下伏岩体为燕山三期花岗岩，除坝基及上库副坝区需进行防渗处理，其余部位不存在库水外渗问题，水库蓄水后，库外岸坡基本不受水库蓄水影响，本工程不存在水库影响区。</w:t>
      </w:r>
    </w:p>
    <w:p>
      <w:pPr>
        <w:pStyle w:val="4"/>
      </w:pPr>
      <w:bookmarkStart w:id="57" w:name="_Toc85632435"/>
      <w:bookmarkStart w:id="58" w:name="_Toc85487680"/>
      <w:bookmarkStart w:id="59" w:name="_Toc85660203"/>
      <w:r>
        <w:t>3.1.2  枢纽工程建设区</w:t>
      </w:r>
      <w:bookmarkEnd w:id="57"/>
      <w:bookmarkEnd w:id="58"/>
      <w:bookmarkEnd w:id="59"/>
    </w:p>
    <w:p>
      <w:pPr>
        <w:overflowPunct w:val="0"/>
        <w:autoSpaceDE w:val="0"/>
        <w:autoSpaceDN w:val="0"/>
        <w:adjustRightInd w:val="0"/>
        <w:spacing w:line="480" w:lineRule="exact"/>
        <w:ind w:firstLine="480" w:firstLineChars="200"/>
        <w:rPr>
          <w:sz w:val="24"/>
        </w:rPr>
      </w:pPr>
      <w:r>
        <w:rPr>
          <w:rFonts w:hAnsi="宋体"/>
          <w:sz w:val="24"/>
        </w:rPr>
        <w:t>枢纽工程建设区依据施工总布置方案确定其征收和征用范围。根据《水电工程建设征地处理范围界定规范》</w:t>
      </w:r>
      <w:r>
        <w:rPr>
          <w:sz w:val="24"/>
        </w:rPr>
        <w:t>NB/T 10338-2019</w:t>
      </w:r>
      <w:r>
        <w:rPr>
          <w:rFonts w:hAnsi="宋体"/>
          <w:sz w:val="24"/>
        </w:rPr>
        <w:t>，枢纽工程建设区与水库淹没区重叠部分，纳入水库淹没区，按用地时序要求归入枢纽工程建设区先行处理。</w:t>
      </w:r>
    </w:p>
    <w:p>
      <w:pPr>
        <w:pStyle w:val="5"/>
      </w:pPr>
      <w:r>
        <w:t>3.1.2.1  用地类型</w:t>
      </w:r>
    </w:p>
    <w:p>
      <w:pPr>
        <w:overflowPunct w:val="0"/>
        <w:autoSpaceDE w:val="0"/>
        <w:autoSpaceDN w:val="0"/>
        <w:adjustRightInd w:val="0"/>
        <w:spacing w:line="480" w:lineRule="exact"/>
        <w:ind w:firstLine="480" w:firstLineChars="200"/>
        <w:rPr>
          <w:sz w:val="24"/>
        </w:rPr>
      </w:pPr>
      <w:r>
        <w:rPr>
          <w:rFonts w:hAnsi="宋体"/>
          <w:sz w:val="24"/>
        </w:rPr>
        <w:t>枢纽工程建设区按最终用途确定用地性质分为临时用地区和永久占地区。</w:t>
      </w:r>
    </w:p>
    <w:p>
      <w:pPr>
        <w:overflowPunct w:val="0"/>
        <w:autoSpaceDE w:val="0"/>
        <w:autoSpaceDN w:val="0"/>
        <w:adjustRightInd w:val="0"/>
        <w:spacing w:line="480" w:lineRule="exact"/>
        <w:ind w:firstLine="480" w:firstLineChars="200"/>
        <w:rPr>
          <w:sz w:val="24"/>
        </w:rPr>
      </w:pPr>
      <w:r>
        <w:rPr>
          <w:rFonts w:hAnsi="宋体"/>
          <w:sz w:val="24"/>
        </w:rPr>
        <w:t>临时用地和永久占地范围，根据施工组织设计选定的施工总布置方案提供的施工用地范围图，将工程建设临时使用，且可以恢复原用途的土地划归临时用地范围；将工程建设永久使用的土地划归永久占地范围。</w:t>
      </w:r>
    </w:p>
    <w:p>
      <w:pPr>
        <w:pStyle w:val="5"/>
      </w:pPr>
      <w:r>
        <w:t>3.1.2.2  征地范围</w:t>
      </w:r>
    </w:p>
    <w:p>
      <w:pPr>
        <w:overflowPunct w:val="0"/>
        <w:autoSpaceDE w:val="0"/>
        <w:autoSpaceDN w:val="0"/>
        <w:adjustRightInd w:val="0"/>
        <w:spacing w:line="480" w:lineRule="exact"/>
        <w:ind w:firstLine="480" w:firstLineChars="200"/>
        <w:rPr>
          <w:rFonts w:hAnsi="宋体"/>
          <w:sz w:val="24"/>
          <w:szCs w:val="24"/>
        </w:rPr>
      </w:pPr>
      <w:r>
        <w:rPr>
          <w:rFonts w:hAnsi="宋体"/>
          <w:sz w:val="24"/>
          <w:szCs w:val="24"/>
        </w:rPr>
        <w:t>根据《</w:t>
      </w:r>
      <w:r>
        <w:rPr>
          <w:rFonts w:hint="eastAsia" w:hAnsi="宋体"/>
          <w:sz w:val="24"/>
          <w:szCs w:val="24"/>
        </w:rPr>
        <w:t>广东陆河(汕尾三江口)</w:t>
      </w:r>
      <w:r>
        <w:rPr>
          <w:rFonts w:hAnsi="宋体"/>
          <w:sz w:val="24"/>
          <w:szCs w:val="24"/>
        </w:rPr>
        <w:t>抽水蓄能电站可行性研究阶段施工总布置规划专题报告》</w:t>
      </w:r>
      <w:r>
        <w:rPr>
          <w:sz w:val="24"/>
          <w:szCs w:val="24"/>
        </w:rPr>
        <w:t>(</w:t>
      </w:r>
      <w:r>
        <w:rPr>
          <w:rFonts w:hAnsi="宋体"/>
          <w:sz w:val="24"/>
          <w:szCs w:val="24"/>
        </w:rPr>
        <w:t>审定本</w:t>
      </w:r>
      <w:r>
        <w:rPr>
          <w:sz w:val="24"/>
          <w:szCs w:val="24"/>
        </w:rPr>
        <w:t>)</w:t>
      </w:r>
      <w:r>
        <w:rPr>
          <w:rFonts w:hAnsi="宋体"/>
          <w:sz w:val="24"/>
          <w:szCs w:val="24"/>
        </w:rPr>
        <w:t>成果，</w:t>
      </w:r>
      <w:r>
        <w:rPr>
          <w:rFonts w:hint="eastAsia" w:hAnsi="宋体"/>
          <w:sz w:val="24"/>
          <w:szCs w:val="24"/>
        </w:rPr>
        <w:t>陆河</w:t>
      </w:r>
      <w:r>
        <w:rPr>
          <w:rFonts w:hAnsi="宋体"/>
          <w:sz w:val="24"/>
          <w:szCs w:val="24"/>
        </w:rPr>
        <w:t>抽水蓄能电站</w:t>
      </w:r>
      <w:r>
        <w:rPr>
          <w:rFonts w:hint="eastAsia" w:hAnsi="宋体"/>
          <w:sz w:val="24"/>
          <w:szCs w:val="24"/>
        </w:rPr>
        <w:t>建设征地征占用土地总面积为</w:t>
      </w:r>
      <w:r>
        <w:rPr>
          <w:rFonts w:hAnsi="宋体"/>
          <w:sz w:val="24"/>
          <w:szCs w:val="24"/>
        </w:rPr>
        <w:t>4791.33</w:t>
      </w:r>
      <w:r>
        <w:rPr>
          <w:rFonts w:hint="eastAsia" w:hAnsi="宋体"/>
          <w:sz w:val="24"/>
          <w:szCs w:val="24"/>
        </w:rPr>
        <w:t>亩。</w:t>
      </w:r>
      <w:r>
        <w:rPr>
          <w:sz w:val="24"/>
          <w:szCs w:val="24"/>
        </w:rPr>
        <w:t>其中水库淹没区为1378.90亩，枢纽工程建设区为3412.43亩</w:t>
      </w:r>
      <w:r>
        <w:rPr>
          <w:rFonts w:hint="eastAsia" w:hAnsi="宋体"/>
          <w:sz w:val="24"/>
          <w:szCs w:val="24"/>
        </w:rPr>
        <w:t>，水库淹没区与枢纽工程建设区完全重叠</w:t>
      </w:r>
      <w:r>
        <w:rPr>
          <w:rFonts w:hAnsi="宋体"/>
          <w:sz w:val="24"/>
          <w:szCs w:val="24"/>
        </w:rPr>
        <w:t>。工程</w:t>
      </w:r>
      <w:r>
        <w:rPr>
          <w:rFonts w:hint="eastAsia" w:hAnsi="宋体"/>
          <w:sz w:val="24"/>
          <w:szCs w:val="24"/>
        </w:rPr>
        <w:t>征占</w:t>
      </w:r>
      <w:r>
        <w:rPr>
          <w:rFonts w:hAnsi="宋体"/>
          <w:sz w:val="24"/>
          <w:szCs w:val="24"/>
        </w:rPr>
        <w:t>用地情况详见表</w:t>
      </w:r>
      <w:r>
        <w:rPr>
          <w:sz w:val="24"/>
          <w:szCs w:val="24"/>
        </w:rPr>
        <w:t>3.1.2-1</w:t>
      </w:r>
      <w:r>
        <w:rPr>
          <w:rFonts w:hAnsi="宋体"/>
          <w:sz w:val="24"/>
          <w:szCs w:val="24"/>
        </w:rPr>
        <w:t>。</w:t>
      </w:r>
      <w:bookmarkStart w:id="60" w:name="_Hlk86147033"/>
    </w:p>
    <w:bookmarkEnd w:id="60"/>
    <w:p>
      <w:pPr>
        <w:overflowPunct w:val="0"/>
        <w:autoSpaceDE w:val="0"/>
        <w:autoSpaceDN w:val="0"/>
        <w:adjustRightInd w:val="0"/>
        <w:spacing w:line="480" w:lineRule="exact"/>
        <w:ind w:firstLine="480" w:firstLineChars="200"/>
        <w:rPr>
          <w:rFonts w:hAnsi="宋体"/>
          <w:sz w:val="24"/>
          <w:szCs w:val="24"/>
        </w:rPr>
        <w:sectPr>
          <w:footerReference r:id="rId8" w:type="default"/>
          <w:pgSz w:w="11906" w:h="16838"/>
          <w:pgMar w:top="1588" w:right="1565" w:bottom="1531" w:left="1565" w:header="1134" w:footer="1247" w:gutter="0"/>
          <w:cols w:space="720" w:num="1"/>
          <w:docGrid w:linePitch="312" w:charSpace="0"/>
        </w:sectPr>
      </w:pPr>
    </w:p>
    <w:p>
      <w:pPr>
        <w:pStyle w:val="517"/>
      </w:pPr>
      <w:r>
        <w:rPr>
          <w:rFonts w:hint="eastAsia"/>
        </w:rPr>
        <w:t>表3.1.2-1  陆河抽水蓄能电站建设征地征占</w:t>
      </w:r>
      <w:r>
        <w:t>用地情况</w:t>
      </w:r>
    </w:p>
    <w:tbl>
      <w:tblPr>
        <w:tblStyle w:val="79"/>
        <w:tblW w:w="136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1"/>
        <w:gridCol w:w="2585"/>
        <w:gridCol w:w="1206"/>
        <w:gridCol w:w="1234"/>
        <w:gridCol w:w="1234"/>
        <w:gridCol w:w="1234"/>
        <w:gridCol w:w="1228"/>
        <w:gridCol w:w="1234"/>
        <w:gridCol w:w="1225"/>
        <w:gridCol w:w="12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Merge w:val="restart"/>
            <w:vAlign w:val="center"/>
          </w:tcPr>
          <w:p>
            <w:pPr>
              <w:widowControl/>
              <w:jc w:val="center"/>
              <w:rPr>
                <w:kern w:val="0"/>
              </w:rPr>
            </w:pPr>
            <w:bookmarkStart w:id="61" w:name="_Toc85487681"/>
            <w:r>
              <w:rPr>
                <w:rFonts w:hAnsi="宋体"/>
                <w:kern w:val="0"/>
              </w:rPr>
              <w:t>序号</w:t>
            </w:r>
          </w:p>
        </w:tc>
        <w:tc>
          <w:tcPr>
            <w:tcW w:w="2585" w:type="dxa"/>
            <w:vMerge w:val="restart"/>
            <w:vAlign w:val="center"/>
          </w:tcPr>
          <w:p>
            <w:pPr>
              <w:widowControl/>
              <w:jc w:val="center"/>
              <w:rPr>
                <w:kern w:val="0"/>
              </w:rPr>
            </w:pPr>
            <w:r>
              <w:rPr>
                <w:rFonts w:hAnsi="宋体"/>
                <w:kern w:val="0"/>
              </w:rPr>
              <w:t>项</w:t>
            </w:r>
            <w:r>
              <w:rPr>
                <w:kern w:val="0"/>
              </w:rPr>
              <w:t xml:space="preserve">     </w:t>
            </w:r>
            <w:r>
              <w:rPr>
                <w:rFonts w:hAnsi="宋体"/>
                <w:kern w:val="0"/>
              </w:rPr>
              <w:t>目</w:t>
            </w:r>
          </w:p>
        </w:tc>
        <w:tc>
          <w:tcPr>
            <w:tcW w:w="1206" w:type="dxa"/>
            <w:vMerge w:val="restart"/>
            <w:vAlign w:val="center"/>
          </w:tcPr>
          <w:p>
            <w:pPr>
              <w:widowControl/>
              <w:jc w:val="center"/>
              <w:rPr>
                <w:kern w:val="0"/>
              </w:rPr>
            </w:pPr>
            <w:r>
              <w:rPr>
                <w:rFonts w:hAnsi="宋体"/>
                <w:kern w:val="0"/>
              </w:rPr>
              <w:t>单位</w:t>
            </w:r>
          </w:p>
        </w:tc>
        <w:tc>
          <w:tcPr>
            <w:tcW w:w="1234" w:type="dxa"/>
            <w:vMerge w:val="restart"/>
            <w:vAlign w:val="center"/>
          </w:tcPr>
          <w:p>
            <w:pPr>
              <w:widowControl/>
              <w:jc w:val="center"/>
              <w:rPr>
                <w:kern w:val="0"/>
              </w:rPr>
            </w:pPr>
            <w:r>
              <w:rPr>
                <w:rFonts w:hAnsi="宋体"/>
                <w:kern w:val="0"/>
              </w:rPr>
              <w:t>合计</w:t>
            </w:r>
          </w:p>
        </w:tc>
        <w:tc>
          <w:tcPr>
            <w:tcW w:w="3696" w:type="dxa"/>
            <w:gridSpan w:val="3"/>
            <w:vAlign w:val="center"/>
          </w:tcPr>
          <w:p>
            <w:pPr>
              <w:widowControl/>
              <w:jc w:val="center"/>
              <w:rPr>
                <w:kern w:val="0"/>
              </w:rPr>
            </w:pPr>
            <w:r>
              <w:rPr>
                <w:rFonts w:hAnsi="宋体"/>
                <w:kern w:val="0"/>
              </w:rPr>
              <w:t>枢纽工程建设区</w:t>
            </w:r>
          </w:p>
        </w:tc>
        <w:tc>
          <w:tcPr>
            <w:tcW w:w="3684" w:type="dxa"/>
            <w:gridSpan w:val="3"/>
            <w:vAlign w:val="center"/>
          </w:tcPr>
          <w:p>
            <w:pPr>
              <w:widowControl/>
              <w:jc w:val="center"/>
              <w:rPr>
                <w:kern w:val="0"/>
              </w:rPr>
            </w:pPr>
            <w:r>
              <w:rPr>
                <w:rFonts w:hAnsi="宋体"/>
                <w:kern w:val="0"/>
              </w:rPr>
              <w:t>水库淹没影响区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Merge w:val="continue"/>
            <w:vAlign w:val="center"/>
          </w:tcPr>
          <w:p>
            <w:pPr>
              <w:widowControl/>
              <w:jc w:val="left"/>
              <w:rPr>
                <w:kern w:val="0"/>
              </w:rPr>
            </w:pPr>
          </w:p>
        </w:tc>
        <w:tc>
          <w:tcPr>
            <w:tcW w:w="2585" w:type="dxa"/>
            <w:vMerge w:val="continue"/>
            <w:vAlign w:val="center"/>
          </w:tcPr>
          <w:p>
            <w:pPr>
              <w:widowControl/>
              <w:jc w:val="left"/>
              <w:rPr>
                <w:kern w:val="0"/>
              </w:rPr>
            </w:pPr>
          </w:p>
        </w:tc>
        <w:tc>
          <w:tcPr>
            <w:tcW w:w="1206" w:type="dxa"/>
            <w:vMerge w:val="continue"/>
            <w:vAlign w:val="center"/>
          </w:tcPr>
          <w:p>
            <w:pPr>
              <w:widowControl/>
              <w:jc w:val="left"/>
              <w:rPr>
                <w:kern w:val="0"/>
              </w:rPr>
            </w:pPr>
          </w:p>
        </w:tc>
        <w:tc>
          <w:tcPr>
            <w:tcW w:w="1234" w:type="dxa"/>
            <w:vMerge w:val="continue"/>
            <w:vAlign w:val="center"/>
          </w:tcPr>
          <w:p>
            <w:pPr>
              <w:widowControl/>
              <w:jc w:val="left"/>
              <w:rPr>
                <w:kern w:val="0"/>
              </w:rPr>
            </w:pPr>
          </w:p>
        </w:tc>
        <w:tc>
          <w:tcPr>
            <w:tcW w:w="1234" w:type="dxa"/>
            <w:vAlign w:val="center"/>
          </w:tcPr>
          <w:p>
            <w:pPr>
              <w:widowControl/>
              <w:jc w:val="center"/>
              <w:rPr>
                <w:kern w:val="0"/>
              </w:rPr>
            </w:pPr>
            <w:r>
              <w:rPr>
                <w:rFonts w:hAnsi="宋体"/>
                <w:kern w:val="0"/>
              </w:rPr>
              <w:t>小计</w:t>
            </w:r>
          </w:p>
        </w:tc>
        <w:tc>
          <w:tcPr>
            <w:tcW w:w="1234" w:type="dxa"/>
            <w:vAlign w:val="center"/>
          </w:tcPr>
          <w:p>
            <w:pPr>
              <w:widowControl/>
              <w:jc w:val="center"/>
              <w:rPr>
                <w:kern w:val="0"/>
              </w:rPr>
            </w:pPr>
            <w:r>
              <w:rPr>
                <w:rFonts w:hAnsi="宋体"/>
                <w:kern w:val="0"/>
              </w:rPr>
              <w:t>永久占地</w:t>
            </w:r>
          </w:p>
        </w:tc>
        <w:tc>
          <w:tcPr>
            <w:tcW w:w="1228" w:type="dxa"/>
            <w:vAlign w:val="center"/>
          </w:tcPr>
          <w:p>
            <w:pPr>
              <w:widowControl/>
              <w:jc w:val="center"/>
              <w:rPr>
                <w:kern w:val="0"/>
              </w:rPr>
            </w:pPr>
            <w:r>
              <w:rPr>
                <w:rFonts w:hAnsi="宋体"/>
                <w:kern w:val="0"/>
              </w:rPr>
              <w:t>临时用地</w:t>
            </w:r>
          </w:p>
        </w:tc>
        <w:tc>
          <w:tcPr>
            <w:tcW w:w="1234" w:type="dxa"/>
            <w:vAlign w:val="center"/>
          </w:tcPr>
          <w:p>
            <w:pPr>
              <w:widowControl/>
              <w:jc w:val="center"/>
              <w:rPr>
                <w:kern w:val="0"/>
              </w:rPr>
            </w:pPr>
            <w:r>
              <w:rPr>
                <w:rFonts w:hAnsi="宋体"/>
                <w:kern w:val="0"/>
              </w:rPr>
              <w:t>小计</w:t>
            </w:r>
          </w:p>
        </w:tc>
        <w:tc>
          <w:tcPr>
            <w:tcW w:w="1225" w:type="dxa"/>
            <w:vAlign w:val="center"/>
          </w:tcPr>
          <w:p>
            <w:pPr>
              <w:widowControl/>
              <w:jc w:val="center"/>
              <w:rPr>
                <w:kern w:val="0"/>
              </w:rPr>
            </w:pPr>
            <w:r>
              <w:rPr>
                <w:rFonts w:hAnsi="宋体"/>
                <w:kern w:val="0"/>
              </w:rPr>
              <w:t>上水库淹没区</w:t>
            </w:r>
          </w:p>
        </w:tc>
        <w:tc>
          <w:tcPr>
            <w:tcW w:w="1225" w:type="dxa"/>
            <w:vAlign w:val="center"/>
          </w:tcPr>
          <w:p>
            <w:pPr>
              <w:widowControl/>
              <w:jc w:val="center"/>
              <w:rPr>
                <w:kern w:val="0"/>
              </w:rPr>
            </w:pPr>
            <w:r>
              <w:rPr>
                <w:rFonts w:hAnsi="宋体"/>
                <w:kern w:val="0"/>
              </w:rPr>
              <w:t>下水库淹没区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一</w:t>
            </w:r>
          </w:p>
        </w:tc>
        <w:tc>
          <w:tcPr>
            <w:tcW w:w="2585" w:type="dxa"/>
            <w:vAlign w:val="center"/>
          </w:tcPr>
          <w:p>
            <w:pPr>
              <w:widowControl/>
              <w:jc w:val="center"/>
              <w:rPr>
                <w:kern w:val="0"/>
              </w:rPr>
            </w:pPr>
            <w:r>
              <w:rPr>
                <w:rFonts w:hAnsi="宋体"/>
                <w:kern w:val="0"/>
              </w:rPr>
              <w:t>土地面积</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4791.33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3412.43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2450.60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961.83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1378.90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872.79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506.11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陆地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4643.49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3402.96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2441.13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961.83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1240.53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765.92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474.61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水域</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147.84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9.47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9.47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138.37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106.87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noWrap/>
            <w:vAlign w:val="center"/>
          </w:tcPr>
          <w:p>
            <w:pPr>
              <w:widowControl/>
              <w:jc w:val="center"/>
              <w:rPr>
                <w:kern w:val="0"/>
              </w:rPr>
            </w:pPr>
            <w:r>
              <w:rPr>
                <w:kern w:val="0"/>
              </w:rPr>
              <w:t>(</w:t>
            </w:r>
            <w:r>
              <w:rPr>
                <w:rFonts w:hAnsi="宋体"/>
                <w:kern w:val="0"/>
              </w:rPr>
              <w:t>一</w:t>
            </w:r>
            <w:r>
              <w:rPr>
                <w:kern w:val="0"/>
              </w:rPr>
              <w:t>)</w:t>
            </w:r>
          </w:p>
        </w:tc>
        <w:tc>
          <w:tcPr>
            <w:tcW w:w="2585" w:type="dxa"/>
            <w:vAlign w:val="center"/>
          </w:tcPr>
          <w:p>
            <w:pPr>
              <w:widowControl/>
              <w:jc w:val="center"/>
              <w:rPr>
                <w:kern w:val="0"/>
              </w:rPr>
            </w:pPr>
            <w:r>
              <w:rPr>
                <w:rFonts w:hAnsi="宋体"/>
                <w:kern w:val="0"/>
              </w:rPr>
              <w:t>农用地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4791.33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3412.43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2450.60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961.83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1378.90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872.79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506.11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kern w:val="0"/>
              </w:rPr>
              <w:t>1</w:t>
            </w:r>
          </w:p>
        </w:tc>
        <w:tc>
          <w:tcPr>
            <w:tcW w:w="2585" w:type="dxa"/>
            <w:vAlign w:val="center"/>
          </w:tcPr>
          <w:p>
            <w:pPr>
              <w:widowControl/>
              <w:jc w:val="center"/>
              <w:rPr>
                <w:kern w:val="0"/>
              </w:rPr>
            </w:pPr>
            <w:r>
              <w:rPr>
                <w:rFonts w:hAnsi="宋体"/>
                <w:kern w:val="0"/>
              </w:rPr>
              <w:t>耕地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516.19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222.47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206.92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15.55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293.71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151.28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142.43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水田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365.28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168.40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152.86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15.54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196.88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79.09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117.79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旱地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150.90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54.08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54.06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0.02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96.83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72.19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24.64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kern w:val="0"/>
              </w:rPr>
              <w:t>2</w:t>
            </w:r>
          </w:p>
        </w:tc>
        <w:tc>
          <w:tcPr>
            <w:tcW w:w="2585" w:type="dxa"/>
            <w:vAlign w:val="center"/>
          </w:tcPr>
          <w:p>
            <w:pPr>
              <w:widowControl/>
              <w:jc w:val="center"/>
              <w:rPr>
                <w:kern w:val="0"/>
              </w:rPr>
            </w:pPr>
            <w:r>
              <w:rPr>
                <w:rFonts w:hAnsi="宋体"/>
                <w:kern w:val="0"/>
              </w:rPr>
              <w:t>园地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27.67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19.66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15.98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3.68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8.01 </w:t>
            </w:r>
          </w:p>
        </w:tc>
        <w:tc>
          <w:tcPr>
            <w:tcW w:w="1225"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8.01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果园</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19.95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18.57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14.89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3.68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1.39 </w:t>
            </w:r>
          </w:p>
        </w:tc>
        <w:tc>
          <w:tcPr>
            <w:tcW w:w="1225"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1.39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int="eastAsia" w:hAnsi="宋体"/>
                <w:kern w:val="0"/>
              </w:rPr>
              <w:t>茶园</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7.72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1.09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1.09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6.62 </w:t>
            </w:r>
          </w:p>
        </w:tc>
        <w:tc>
          <w:tcPr>
            <w:tcW w:w="1225"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6.62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kern w:val="0"/>
              </w:rPr>
              <w:t>3</w:t>
            </w:r>
          </w:p>
        </w:tc>
        <w:tc>
          <w:tcPr>
            <w:tcW w:w="2585" w:type="dxa"/>
            <w:vAlign w:val="center"/>
          </w:tcPr>
          <w:p>
            <w:pPr>
              <w:widowControl/>
              <w:jc w:val="center"/>
              <w:rPr>
                <w:kern w:val="0"/>
              </w:rPr>
            </w:pPr>
            <w:r>
              <w:rPr>
                <w:rFonts w:hAnsi="宋体"/>
                <w:kern w:val="0"/>
              </w:rPr>
              <w:t>林地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4014.36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3128.27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2195.91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932.36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886.09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579.60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306.49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有林地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3980.31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3124.90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2192.54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932.36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855.41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549.25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306.16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灌木林地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34.05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3.37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3.37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30.68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30.35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0.33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kern w:val="0"/>
              </w:rPr>
              <w:t>4</w:t>
            </w:r>
          </w:p>
        </w:tc>
        <w:tc>
          <w:tcPr>
            <w:tcW w:w="2585" w:type="dxa"/>
            <w:vAlign w:val="center"/>
          </w:tcPr>
          <w:p>
            <w:pPr>
              <w:widowControl/>
              <w:jc w:val="center"/>
              <w:rPr>
                <w:kern w:val="0"/>
              </w:rPr>
            </w:pPr>
            <w:r>
              <w:rPr>
                <w:rFonts w:hAnsi="宋体"/>
                <w:kern w:val="0"/>
              </w:rPr>
              <w:t>草地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21.35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2.28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2.26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0.02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19.08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14.75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其他草地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21.35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2.28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2.26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0.02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19.08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14.75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4.33 </w:t>
            </w:r>
          </w:p>
        </w:tc>
      </w:tr>
    </w:tbl>
    <w:p>
      <w:pPr>
        <w:pStyle w:val="517"/>
      </w:pPr>
      <w:r>
        <w:rPr>
          <w:rFonts w:hint="eastAsia"/>
        </w:rPr>
        <w:t xml:space="preserve">表3.1.2-1(续) </w:t>
      </w:r>
    </w:p>
    <w:tbl>
      <w:tblPr>
        <w:tblStyle w:val="79"/>
        <w:tblW w:w="136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1"/>
        <w:gridCol w:w="2585"/>
        <w:gridCol w:w="1206"/>
        <w:gridCol w:w="1234"/>
        <w:gridCol w:w="1234"/>
        <w:gridCol w:w="1234"/>
        <w:gridCol w:w="1228"/>
        <w:gridCol w:w="1234"/>
        <w:gridCol w:w="1225"/>
        <w:gridCol w:w="12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Merge w:val="restart"/>
            <w:vAlign w:val="center"/>
          </w:tcPr>
          <w:p>
            <w:pPr>
              <w:widowControl/>
              <w:jc w:val="center"/>
              <w:rPr>
                <w:kern w:val="0"/>
              </w:rPr>
            </w:pPr>
            <w:r>
              <w:rPr>
                <w:rFonts w:hAnsi="宋体"/>
                <w:kern w:val="0"/>
              </w:rPr>
              <w:t>序号</w:t>
            </w:r>
          </w:p>
        </w:tc>
        <w:tc>
          <w:tcPr>
            <w:tcW w:w="2585" w:type="dxa"/>
            <w:vMerge w:val="restart"/>
            <w:vAlign w:val="center"/>
          </w:tcPr>
          <w:p>
            <w:pPr>
              <w:widowControl/>
              <w:jc w:val="center"/>
              <w:rPr>
                <w:kern w:val="0"/>
              </w:rPr>
            </w:pPr>
            <w:r>
              <w:rPr>
                <w:rFonts w:hAnsi="宋体"/>
                <w:kern w:val="0"/>
              </w:rPr>
              <w:t>项</w:t>
            </w:r>
            <w:r>
              <w:rPr>
                <w:kern w:val="0"/>
              </w:rPr>
              <w:t xml:space="preserve">     </w:t>
            </w:r>
            <w:r>
              <w:rPr>
                <w:rFonts w:hAnsi="宋体"/>
                <w:kern w:val="0"/>
              </w:rPr>
              <w:t>目</w:t>
            </w:r>
          </w:p>
        </w:tc>
        <w:tc>
          <w:tcPr>
            <w:tcW w:w="1206" w:type="dxa"/>
            <w:vMerge w:val="restart"/>
            <w:vAlign w:val="center"/>
          </w:tcPr>
          <w:p>
            <w:pPr>
              <w:widowControl/>
              <w:jc w:val="center"/>
              <w:rPr>
                <w:kern w:val="0"/>
              </w:rPr>
            </w:pPr>
            <w:r>
              <w:rPr>
                <w:rFonts w:hAnsi="宋体"/>
                <w:kern w:val="0"/>
              </w:rPr>
              <w:t>单位</w:t>
            </w:r>
          </w:p>
        </w:tc>
        <w:tc>
          <w:tcPr>
            <w:tcW w:w="1234" w:type="dxa"/>
            <w:vMerge w:val="restart"/>
            <w:vAlign w:val="center"/>
          </w:tcPr>
          <w:p>
            <w:pPr>
              <w:widowControl/>
              <w:jc w:val="center"/>
              <w:rPr>
                <w:kern w:val="0"/>
              </w:rPr>
            </w:pPr>
            <w:r>
              <w:rPr>
                <w:rFonts w:hAnsi="宋体"/>
                <w:kern w:val="0"/>
              </w:rPr>
              <w:t>合计</w:t>
            </w:r>
          </w:p>
        </w:tc>
        <w:tc>
          <w:tcPr>
            <w:tcW w:w="3696" w:type="dxa"/>
            <w:gridSpan w:val="3"/>
            <w:vAlign w:val="center"/>
          </w:tcPr>
          <w:p>
            <w:pPr>
              <w:widowControl/>
              <w:jc w:val="center"/>
              <w:rPr>
                <w:kern w:val="0"/>
              </w:rPr>
            </w:pPr>
            <w:r>
              <w:rPr>
                <w:rFonts w:hAnsi="宋体"/>
                <w:kern w:val="0"/>
              </w:rPr>
              <w:t>枢纽工程建设区</w:t>
            </w:r>
          </w:p>
        </w:tc>
        <w:tc>
          <w:tcPr>
            <w:tcW w:w="3684" w:type="dxa"/>
            <w:gridSpan w:val="3"/>
            <w:vAlign w:val="center"/>
          </w:tcPr>
          <w:p>
            <w:pPr>
              <w:widowControl/>
              <w:jc w:val="center"/>
              <w:rPr>
                <w:kern w:val="0"/>
              </w:rPr>
            </w:pPr>
            <w:r>
              <w:rPr>
                <w:rFonts w:hAnsi="宋体"/>
                <w:kern w:val="0"/>
              </w:rPr>
              <w:t>水库淹没影响区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Merge w:val="continue"/>
            <w:vAlign w:val="center"/>
          </w:tcPr>
          <w:p>
            <w:pPr>
              <w:widowControl/>
              <w:jc w:val="left"/>
              <w:rPr>
                <w:kern w:val="0"/>
              </w:rPr>
            </w:pPr>
          </w:p>
        </w:tc>
        <w:tc>
          <w:tcPr>
            <w:tcW w:w="2585" w:type="dxa"/>
            <w:vMerge w:val="continue"/>
            <w:vAlign w:val="center"/>
          </w:tcPr>
          <w:p>
            <w:pPr>
              <w:widowControl/>
              <w:jc w:val="left"/>
              <w:rPr>
                <w:kern w:val="0"/>
              </w:rPr>
            </w:pPr>
          </w:p>
        </w:tc>
        <w:tc>
          <w:tcPr>
            <w:tcW w:w="1206" w:type="dxa"/>
            <w:vMerge w:val="continue"/>
            <w:vAlign w:val="center"/>
          </w:tcPr>
          <w:p>
            <w:pPr>
              <w:widowControl/>
              <w:jc w:val="left"/>
              <w:rPr>
                <w:kern w:val="0"/>
              </w:rPr>
            </w:pPr>
          </w:p>
        </w:tc>
        <w:tc>
          <w:tcPr>
            <w:tcW w:w="1234" w:type="dxa"/>
            <w:vMerge w:val="continue"/>
            <w:vAlign w:val="center"/>
          </w:tcPr>
          <w:p>
            <w:pPr>
              <w:widowControl/>
              <w:jc w:val="left"/>
              <w:rPr>
                <w:kern w:val="0"/>
              </w:rPr>
            </w:pPr>
          </w:p>
        </w:tc>
        <w:tc>
          <w:tcPr>
            <w:tcW w:w="1234" w:type="dxa"/>
            <w:vAlign w:val="center"/>
          </w:tcPr>
          <w:p>
            <w:pPr>
              <w:widowControl/>
              <w:jc w:val="center"/>
              <w:rPr>
                <w:kern w:val="0"/>
              </w:rPr>
            </w:pPr>
            <w:r>
              <w:rPr>
                <w:rFonts w:hAnsi="宋体"/>
                <w:kern w:val="0"/>
              </w:rPr>
              <w:t>小计</w:t>
            </w:r>
          </w:p>
        </w:tc>
        <w:tc>
          <w:tcPr>
            <w:tcW w:w="1234" w:type="dxa"/>
            <w:vAlign w:val="center"/>
          </w:tcPr>
          <w:p>
            <w:pPr>
              <w:widowControl/>
              <w:jc w:val="center"/>
              <w:rPr>
                <w:kern w:val="0"/>
              </w:rPr>
            </w:pPr>
            <w:r>
              <w:rPr>
                <w:rFonts w:hAnsi="宋体"/>
                <w:kern w:val="0"/>
              </w:rPr>
              <w:t>永久占地</w:t>
            </w:r>
          </w:p>
        </w:tc>
        <w:tc>
          <w:tcPr>
            <w:tcW w:w="1228" w:type="dxa"/>
            <w:vAlign w:val="center"/>
          </w:tcPr>
          <w:p>
            <w:pPr>
              <w:widowControl/>
              <w:jc w:val="center"/>
              <w:rPr>
                <w:kern w:val="0"/>
              </w:rPr>
            </w:pPr>
            <w:r>
              <w:rPr>
                <w:rFonts w:hAnsi="宋体"/>
                <w:kern w:val="0"/>
              </w:rPr>
              <w:t>临时用地</w:t>
            </w:r>
          </w:p>
        </w:tc>
        <w:tc>
          <w:tcPr>
            <w:tcW w:w="1234" w:type="dxa"/>
            <w:vAlign w:val="center"/>
          </w:tcPr>
          <w:p>
            <w:pPr>
              <w:widowControl/>
              <w:jc w:val="center"/>
              <w:rPr>
                <w:kern w:val="0"/>
              </w:rPr>
            </w:pPr>
            <w:r>
              <w:rPr>
                <w:rFonts w:hAnsi="宋体"/>
                <w:kern w:val="0"/>
              </w:rPr>
              <w:t>小计</w:t>
            </w:r>
          </w:p>
        </w:tc>
        <w:tc>
          <w:tcPr>
            <w:tcW w:w="1225" w:type="dxa"/>
            <w:vAlign w:val="center"/>
          </w:tcPr>
          <w:p>
            <w:pPr>
              <w:widowControl/>
              <w:jc w:val="center"/>
              <w:rPr>
                <w:kern w:val="0"/>
              </w:rPr>
            </w:pPr>
            <w:r>
              <w:rPr>
                <w:rFonts w:hAnsi="宋体"/>
                <w:kern w:val="0"/>
              </w:rPr>
              <w:t>上水库淹没区</w:t>
            </w:r>
          </w:p>
        </w:tc>
        <w:tc>
          <w:tcPr>
            <w:tcW w:w="1225" w:type="dxa"/>
            <w:vAlign w:val="center"/>
          </w:tcPr>
          <w:p>
            <w:pPr>
              <w:widowControl/>
              <w:jc w:val="center"/>
              <w:rPr>
                <w:kern w:val="0"/>
              </w:rPr>
            </w:pPr>
            <w:r>
              <w:rPr>
                <w:rFonts w:hAnsi="宋体"/>
                <w:kern w:val="0"/>
              </w:rPr>
              <w:t>下水库淹没区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kern w:val="0"/>
              </w:rPr>
              <w:t>5</w:t>
            </w:r>
          </w:p>
        </w:tc>
        <w:tc>
          <w:tcPr>
            <w:tcW w:w="2585" w:type="dxa"/>
            <w:vAlign w:val="center"/>
          </w:tcPr>
          <w:p>
            <w:pPr>
              <w:widowControl/>
              <w:jc w:val="center"/>
              <w:rPr>
                <w:kern w:val="0"/>
              </w:rPr>
            </w:pPr>
            <w:r>
              <w:rPr>
                <w:rFonts w:hAnsi="宋体"/>
                <w:kern w:val="0"/>
              </w:rPr>
              <w:t>住宅用地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2.48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0.60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0.60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1.88 </w:t>
            </w:r>
          </w:p>
        </w:tc>
        <w:tc>
          <w:tcPr>
            <w:tcW w:w="1225"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1.88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农村宅基地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2.48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0.60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0.60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1.88 </w:t>
            </w:r>
          </w:p>
        </w:tc>
        <w:tc>
          <w:tcPr>
            <w:tcW w:w="1225"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1.88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kern w:val="0"/>
              </w:rPr>
              <w:t>6</w:t>
            </w:r>
          </w:p>
        </w:tc>
        <w:tc>
          <w:tcPr>
            <w:tcW w:w="2585" w:type="dxa"/>
            <w:vAlign w:val="center"/>
          </w:tcPr>
          <w:p>
            <w:pPr>
              <w:widowControl/>
              <w:jc w:val="center"/>
              <w:rPr>
                <w:kern w:val="0"/>
              </w:rPr>
            </w:pPr>
            <w:r>
              <w:rPr>
                <w:rFonts w:hAnsi="宋体"/>
                <w:kern w:val="0"/>
              </w:rPr>
              <w:t>交通运输用地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61.43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29.67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19.46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10.22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31.76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20.29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11.47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公路用地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10.45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4.75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4.75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5.70 </w:t>
            </w:r>
          </w:p>
        </w:tc>
        <w:tc>
          <w:tcPr>
            <w:tcW w:w="1225"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农村道路</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50.98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24.92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14.71 </w:t>
            </w:r>
          </w:p>
        </w:tc>
        <w:tc>
          <w:tcPr>
            <w:tcW w:w="1228"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10.22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26.06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20.29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5.77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kern w:val="0"/>
              </w:rPr>
              <w:t>7</w:t>
            </w:r>
          </w:p>
        </w:tc>
        <w:tc>
          <w:tcPr>
            <w:tcW w:w="2585" w:type="dxa"/>
            <w:vAlign w:val="center"/>
          </w:tcPr>
          <w:p>
            <w:pPr>
              <w:widowControl/>
              <w:jc w:val="center"/>
              <w:rPr>
                <w:kern w:val="0"/>
              </w:rPr>
            </w:pPr>
            <w:r>
              <w:rPr>
                <w:rFonts w:hAnsi="宋体"/>
                <w:kern w:val="0"/>
              </w:rPr>
              <w:t>水域及水利设施用地</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147.84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9.47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9.47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138.37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106.87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Ansi="宋体"/>
                <w:kern w:val="0"/>
              </w:rPr>
              <w:t>河流水面</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32.14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9.47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9.47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22.67 </w:t>
            </w:r>
          </w:p>
        </w:tc>
        <w:tc>
          <w:tcPr>
            <w:tcW w:w="1225"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22.67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kern w:val="0"/>
              </w:rPr>
            </w:pPr>
            <w:r>
              <w:rPr>
                <w:rFonts w:hAnsi="宋体"/>
                <w:kern w:val="0"/>
              </w:rPr>
              <w:t>　</w:t>
            </w:r>
          </w:p>
        </w:tc>
        <w:tc>
          <w:tcPr>
            <w:tcW w:w="2585" w:type="dxa"/>
            <w:vAlign w:val="center"/>
          </w:tcPr>
          <w:p>
            <w:pPr>
              <w:widowControl/>
              <w:jc w:val="center"/>
              <w:rPr>
                <w:kern w:val="0"/>
              </w:rPr>
            </w:pPr>
            <w:r>
              <w:rPr>
                <w:rFonts w:hint="eastAsia" w:hAnsi="宋体"/>
                <w:kern w:val="0"/>
              </w:rPr>
              <w:t>水库</w:t>
            </w:r>
            <w:r>
              <w:rPr>
                <w:rFonts w:hAnsi="宋体"/>
                <w:kern w:val="0"/>
              </w:rPr>
              <w:t>水面</w:t>
            </w:r>
          </w:p>
        </w:tc>
        <w:tc>
          <w:tcPr>
            <w:tcW w:w="1206" w:type="dxa"/>
            <w:vAlign w:val="center"/>
          </w:tcPr>
          <w:p>
            <w:pPr>
              <w:widowControl/>
              <w:jc w:val="center"/>
              <w:rPr>
                <w:kern w:val="0"/>
              </w:rPr>
            </w:pPr>
            <w:r>
              <w:rPr>
                <w:rFonts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99.79 </w:t>
            </w:r>
          </w:p>
        </w:tc>
        <w:tc>
          <w:tcPr>
            <w:tcW w:w="1234"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99.79 </w:t>
            </w:r>
          </w:p>
        </w:tc>
        <w:tc>
          <w:tcPr>
            <w:tcW w:w="1225"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99.79 </w:t>
            </w:r>
          </w:p>
        </w:tc>
        <w:tc>
          <w:tcPr>
            <w:tcW w:w="1225"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41" w:type="dxa"/>
            <w:vAlign w:val="center"/>
          </w:tcPr>
          <w:p>
            <w:pPr>
              <w:widowControl/>
              <w:jc w:val="center"/>
              <w:rPr>
                <w:rFonts w:hAnsi="宋体"/>
                <w:kern w:val="0"/>
              </w:rPr>
            </w:pPr>
          </w:p>
        </w:tc>
        <w:tc>
          <w:tcPr>
            <w:tcW w:w="2585" w:type="dxa"/>
            <w:vAlign w:val="center"/>
          </w:tcPr>
          <w:p>
            <w:pPr>
              <w:widowControl/>
              <w:jc w:val="center"/>
              <w:rPr>
                <w:rFonts w:hAnsi="宋体"/>
                <w:kern w:val="0"/>
              </w:rPr>
            </w:pPr>
            <w:r>
              <w:rPr>
                <w:rFonts w:hint="eastAsia" w:hAnsi="宋体"/>
                <w:kern w:val="0"/>
              </w:rPr>
              <w:t>水工建筑用地</w:t>
            </w:r>
          </w:p>
        </w:tc>
        <w:tc>
          <w:tcPr>
            <w:tcW w:w="1206" w:type="dxa"/>
            <w:vAlign w:val="center"/>
          </w:tcPr>
          <w:p>
            <w:pPr>
              <w:widowControl/>
              <w:jc w:val="center"/>
              <w:rPr>
                <w:rFonts w:hAnsi="宋体"/>
                <w:kern w:val="0"/>
              </w:rPr>
            </w:pPr>
            <w:r>
              <w:rPr>
                <w:rFonts w:hint="eastAsia" w:hAnsi="宋体"/>
                <w:kern w:val="0"/>
              </w:rPr>
              <w:t>亩</w:t>
            </w:r>
          </w:p>
        </w:tc>
        <w:tc>
          <w:tcPr>
            <w:tcW w:w="1234" w:type="dxa"/>
            <w:shd w:val="clear" w:color="auto" w:fill="auto"/>
            <w:vAlign w:val="center"/>
          </w:tcPr>
          <w:p>
            <w:pPr>
              <w:widowControl/>
              <w:jc w:val="center"/>
              <w:rPr>
                <w:kern w:val="0"/>
              </w:rPr>
            </w:pPr>
            <w:r>
              <w:rPr>
                <w:rFonts w:ascii="Times New Roman" w:hAnsi="Times New Roman" w:eastAsia="宋体"/>
                <w:color w:val="auto"/>
                <w:kern w:val="0"/>
                <w:sz w:val="21"/>
                <w:szCs w:val="21"/>
              </w:rPr>
              <w:t xml:space="preserve">15.91 </w:t>
            </w:r>
          </w:p>
        </w:tc>
        <w:tc>
          <w:tcPr>
            <w:tcW w:w="1234"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28" w:type="dxa"/>
            <w:shd w:val="clear" w:color="auto" w:fill="auto"/>
            <w:vAlign w:val="center"/>
          </w:tcPr>
          <w:p>
            <w:pPr>
              <w:widowControl/>
              <w:jc w:val="center"/>
              <w:rPr>
                <w:kern w:val="0"/>
              </w:rPr>
            </w:pPr>
            <w:r>
              <w:rPr>
                <w:rFonts w:hint="eastAsia" w:ascii="Times New Roman" w:hAnsi="Times New Roman" w:eastAsia="宋体"/>
                <w:color w:val="auto"/>
                <w:kern w:val="0"/>
                <w:sz w:val="21"/>
                <w:szCs w:val="21"/>
              </w:rPr>
              <w:t>　</w:t>
            </w:r>
          </w:p>
        </w:tc>
        <w:tc>
          <w:tcPr>
            <w:tcW w:w="1234" w:type="dxa"/>
            <w:shd w:val="clear" w:color="auto" w:fill="auto"/>
            <w:vAlign w:val="center"/>
          </w:tcPr>
          <w:p>
            <w:pPr>
              <w:widowControl/>
              <w:jc w:val="center"/>
              <w:rPr>
                <w:rFonts w:hAnsi="Times New Roman"/>
                <w:kern w:val="0"/>
              </w:rPr>
            </w:pPr>
            <w:r>
              <w:rPr>
                <w:rFonts w:ascii="Times New Roman" w:hAnsi="Times New Roman" w:eastAsia="宋体"/>
                <w:color w:val="auto"/>
                <w:kern w:val="0"/>
                <w:sz w:val="21"/>
                <w:szCs w:val="21"/>
              </w:rPr>
              <w:t xml:space="preserve">15.91 </w:t>
            </w:r>
          </w:p>
        </w:tc>
        <w:tc>
          <w:tcPr>
            <w:tcW w:w="1225" w:type="dxa"/>
            <w:shd w:val="clear" w:color="auto" w:fill="auto"/>
            <w:vAlign w:val="center"/>
          </w:tcPr>
          <w:p>
            <w:pPr>
              <w:widowControl/>
              <w:jc w:val="center"/>
              <w:rPr>
                <w:rFonts w:hAnsi="Times New Roman"/>
                <w:kern w:val="0"/>
              </w:rPr>
            </w:pPr>
            <w:r>
              <w:rPr>
                <w:rFonts w:ascii="Times New Roman" w:hAnsi="Times New Roman" w:eastAsia="宋体"/>
                <w:color w:val="auto"/>
                <w:kern w:val="0"/>
                <w:sz w:val="21"/>
                <w:szCs w:val="21"/>
              </w:rPr>
              <w:t xml:space="preserve">7.08 </w:t>
            </w:r>
          </w:p>
        </w:tc>
        <w:tc>
          <w:tcPr>
            <w:tcW w:w="1225" w:type="dxa"/>
            <w:shd w:val="clear" w:color="auto" w:fill="auto"/>
            <w:vAlign w:val="center"/>
          </w:tcPr>
          <w:p>
            <w:pPr>
              <w:widowControl/>
              <w:jc w:val="center"/>
              <w:rPr>
                <w:rFonts w:hAnsi="Times New Roman"/>
                <w:kern w:val="0"/>
              </w:rPr>
            </w:pPr>
            <w:r>
              <w:rPr>
                <w:rFonts w:ascii="Times New Roman" w:hAnsi="Times New Roman" w:eastAsia="宋体"/>
                <w:color w:val="auto"/>
                <w:kern w:val="0"/>
                <w:sz w:val="21"/>
                <w:szCs w:val="21"/>
              </w:rPr>
              <w:t xml:space="preserve">8.83 </w:t>
            </w:r>
          </w:p>
        </w:tc>
      </w:tr>
    </w:tbl>
    <w:p>
      <w:pPr>
        <w:rPr>
          <w:rFonts w:eastAsia="等线"/>
          <w:snapToGrid w:val="0"/>
          <w:kern w:val="0"/>
          <w:sz w:val="20"/>
          <w:szCs w:val="20"/>
        </w:rPr>
      </w:pPr>
    </w:p>
    <w:p>
      <w:pPr>
        <w:rPr>
          <w:rFonts w:ascii="Tahoma" w:hAnsi="Tahoma" w:cs="Tahoma"/>
          <w:sz w:val="24"/>
          <w:szCs w:val="24"/>
        </w:rPr>
        <w:sectPr>
          <w:footerReference r:id="rId9" w:type="default"/>
          <w:pgSz w:w="16838" w:h="11906" w:orient="landscape"/>
          <w:pgMar w:top="1588" w:right="1565" w:bottom="1531" w:left="1565" w:header="1134" w:footer="1247" w:gutter="0"/>
          <w:cols w:space="720" w:num="1"/>
          <w:docGrid w:linePitch="312" w:charSpace="0"/>
        </w:sectPr>
      </w:pPr>
    </w:p>
    <w:p>
      <w:pPr>
        <w:pStyle w:val="3"/>
      </w:pPr>
      <w:bookmarkStart w:id="62" w:name="_Toc85660204"/>
      <w:bookmarkStart w:id="63" w:name="_Toc86265071"/>
      <w:bookmarkStart w:id="64" w:name="_Toc90934862"/>
      <w:r>
        <w:t>3.2  实物指标</w:t>
      </w:r>
      <w:bookmarkEnd w:id="61"/>
      <w:bookmarkEnd w:id="62"/>
      <w:bookmarkEnd w:id="63"/>
      <w:bookmarkEnd w:id="64"/>
    </w:p>
    <w:p>
      <w:pPr>
        <w:pStyle w:val="4"/>
      </w:pPr>
      <w:bookmarkStart w:id="65" w:name="_Toc85632437"/>
      <w:bookmarkStart w:id="66" w:name="_Toc85487682"/>
      <w:bookmarkStart w:id="67" w:name="_Toc85660205"/>
      <w:r>
        <w:t>3.2.1  调查依据</w:t>
      </w:r>
      <w:bookmarkEnd w:id="65"/>
      <w:bookmarkEnd w:id="66"/>
      <w:bookmarkEnd w:id="67"/>
    </w:p>
    <w:p>
      <w:pPr>
        <w:pStyle w:val="5"/>
      </w:pPr>
      <w:r>
        <w:t>3.2.1.1  法律法规、政策</w:t>
      </w:r>
    </w:p>
    <w:p>
      <w:pPr>
        <w:adjustRightInd w:val="0"/>
        <w:snapToGrid w:val="0"/>
        <w:spacing w:line="460" w:lineRule="exact"/>
        <w:ind w:firstLine="480" w:firstLineChars="200"/>
        <w:rPr>
          <w:snapToGrid w:val="0"/>
          <w:kern w:val="0"/>
          <w:sz w:val="24"/>
        </w:rPr>
      </w:pPr>
      <w:r>
        <w:rPr>
          <w:snapToGrid w:val="0"/>
          <w:kern w:val="0"/>
          <w:sz w:val="24"/>
        </w:rPr>
        <w:t>1)</w:t>
      </w:r>
      <w:r>
        <w:rPr>
          <w:rFonts w:hint="eastAsia"/>
          <w:snapToGrid w:val="0"/>
          <w:kern w:val="0"/>
          <w:sz w:val="24"/>
        </w:rPr>
        <w:t xml:space="preserve"> </w:t>
      </w:r>
      <w:r>
        <w:rPr>
          <w:snapToGrid w:val="0"/>
          <w:kern w:val="0"/>
          <w:sz w:val="24"/>
        </w:rPr>
        <w:t>《中华人民共和国土地管理法》(2019年8月26日修正)；</w:t>
      </w:r>
    </w:p>
    <w:p>
      <w:pPr>
        <w:adjustRightInd w:val="0"/>
        <w:snapToGrid w:val="0"/>
        <w:spacing w:line="460" w:lineRule="exact"/>
        <w:ind w:firstLine="480" w:firstLineChars="200"/>
        <w:rPr>
          <w:snapToGrid w:val="0"/>
          <w:kern w:val="0"/>
          <w:sz w:val="24"/>
        </w:rPr>
      </w:pPr>
      <w:r>
        <w:rPr>
          <w:snapToGrid w:val="0"/>
          <w:kern w:val="0"/>
          <w:sz w:val="24"/>
        </w:rPr>
        <w:t>2)</w:t>
      </w:r>
      <w:r>
        <w:rPr>
          <w:rFonts w:hint="eastAsia"/>
          <w:snapToGrid w:val="0"/>
          <w:kern w:val="0"/>
          <w:sz w:val="24"/>
        </w:rPr>
        <w:t xml:space="preserve"> </w:t>
      </w:r>
      <w:r>
        <w:rPr>
          <w:snapToGrid w:val="0"/>
          <w:kern w:val="0"/>
          <w:sz w:val="24"/>
        </w:rPr>
        <w:t>《中华人民共和国城乡规划法》(2019年4月23日修正)；</w:t>
      </w:r>
    </w:p>
    <w:p>
      <w:pPr>
        <w:adjustRightInd w:val="0"/>
        <w:snapToGrid w:val="0"/>
        <w:spacing w:line="460" w:lineRule="exact"/>
        <w:ind w:firstLine="480" w:firstLineChars="200"/>
        <w:rPr>
          <w:snapToGrid w:val="0"/>
          <w:kern w:val="0"/>
          <w:sz w:val="24"/>
        </w:rPr>
      </w:pPr>
      <w:r>
        <w:rPr>
          <w:rFonts w:hint="eastAsia"/>
          <w:snapToGrid w:val="0"/>
          <w:kern w:val="0"/>
          <w:sz w:val="24"/>
        </w:rPr>
        <w:t>3</w:t>
      </w:r>
      <w:r>
        <w:rPr>
          <w:snapToGrid w:val="0"/>
          <w:kern w:val="0"/>
          <w:sz w:val="24"/>
        </w:rPr>
        <w:t>)</w:t>
      </w:r>
      <w:r>
        <w:rPr>
          <w:rFonts w:hint="eastAsia"/>
          <w:snapToGrid w:val="0"/>
          <w:kern w:val="0"/>
          <w:sz w:val="24"/>
        </w:rPr>
        <w:t xml:space="preserve"> </w:t>
      </w:r>
      <w:r>
        <w:rPr>
          <w:snapToGrid w:val="0"/>
          <w:kern w:val="0"/>
          <w:sz w:val="24"/>
        </w:rPr>
        <w:t>《中华人民共和国森林法》(2019年10月29日修订)；</w:t>
      </w:r>
    </w:p>
    <w:p>
      <w:pPr>
        <w:adjustRightInd w:val="0"/>
        <w:snapToGrid w:val="0"/>
        <w:spacing w:line="460" w:lineRule="exact"/>
        <w:ind w:firstLine="480" w:firstLineChars="200"/>
        <w:rPr>
          <w:snapToGrid w:val="0"/>
          <w:kern w:val="0"/>
          <w:sz w:val="24"/>
        </w:rPr>
      </w:pPr>
      <w:r>
        <w:rPr>
          <w:rFonts w:hint="eastAsia"/>
          <w:snapToGrid w:val="0"/>
          <w:kern w:val="0"/>
          <w:sz w:val="24"/>
        </w:rPr>
        <w:t>4</w:t>
      </w:r>
      <w:r>
        <w:rPr>
          <w:snapToGrid w:val="0"/>
          <w:kern w:val="0"/>
          <w:sz w:val="24"/>
        </w:rPr>
        <w:t>)</w:t>
      </w:r>
      <w:r>
        <w:rPr>
          <w:rFonts w:hint="eastAsia"/>
          <w:snapToGrid w:val="0"/>
          <w:kern w:val="0"/>
          <w:sz w:val="24"/>
        </w:rPr>
        <w:t xml:space="preserve"> </w:t>
      </w:r>
      <w:r>
        <w:rPr>
          <w:snapToGrid w:val="0"/>
          <w:kern w:val="0"/>
          <w:sz w:val="24"/>
        </w:rPr>
        <w:t>《中华人民共和国水法》(2016年7月2日修正)；</w:t>
      </w:r>
    </w:p>
    <w:p>
      <w:pPr>
        <w:adjustRightInd w:val="0"/>
        <w:snapToGrid w:val="0"/>
        <w:spacing w:line="460" w:lineRule="exact"/>
        <w:ind w:firstLine="480" w:firstLineChars="200"/>
        <w:rPr>
          <w:snapToGrid w:val="0"/>
          <w:kern w:val="0"/>
          <w:sz w:val="24"/>
        </w:rPr>
      </w:pPr>
      <w:r>
        <w:rPr>
          <w:rFonts w:hint="eastAsia"/>
          <w:snapToGrid w:val="0"/>
          <w:kern w:val="0"/>
          <w:sz w:val="24"/>
        </w:rPr>
        <w:t>5</w:t>
      </w:r>
      <w:r>
        <w:rPr>
          <w:snapToGrid w:val="0"/>
          <w:kern w:val="0"/>
          <w:sz w:val="24"/>
        </w:rPr>
        <w:t>)</w:t>
      </w:r>
      <w:r>
        <w:rPr>
          <w:rFonts w:hint="eastAsia"/>
          <w:snapToGrid w:val="0"/>
          <w:kern w:val="0"/>
          <w:sz w:val="24"/>
        </w:rPr>
        <w:t xml:space="preserve"> </w:t>
      </w:r>
      <w:r>
        <w:rPr>
          <w:snapToGrid w:val="0"/>
          <w:kern w:val="0"/>
          <w:sz w:val="24"/>
        </w:rPr>
        <w:t>《中华人民共和国农村土地承包法》(2018年12月29日修正)；</w:t>
      </w:r>
    </w:p>
    <w:p>
      <w:pPr>
        <w:adjustRightInd w:val="0"/>
        <w:snapToGrid w:val="0"/>
        <w:spacing w:line="460" w:lineRule="exact"/>
        <w:ind w:firstLine="480" w:firstLineChars="200"/>
        <w:rPr>
          <w:snapToGrid w:val="0"/>
          <w:kern w:val="0"/>
          <w:sz w:val="24"/>
        </w:rPr>
      </w:pPr>
      <w:r>
        <w:rPr>
          <w:rFonts w:hint="eastAsia"/>
          <w:snapToGrid w:val="0"/>
          <w:kern w:val="0"/>
          <w:sz w:val="24"/>
        </w:rPr>
        <w:t>6</w:t>
      </w:r>
      <w:r>
        <w:rPr>
          <w:snapToGrid w:val="0"/>
          <w:kern w:val="0"/>
          <w:sz w:val="24"/>
        </w:rPr>
        <w:t>)</w:t>
      </w:r>
      <w:r>
        <w:rPr>
          <w:rFonts w:hint="eastAsia"/>
          <w:snapToGrid w:val="0"/>
          <w:kern w:val="0"/>
          <w:sz w:val="24"/>
        </w:rPr>
        <w:t xml:space="preserve"> </w:t>
      </w:r>
      <w:r>
        <w:rPr>
          <w:snapToGrid w:val="0"/>
          <w:kern w:val="0"/>
          <w:sz w:val="24"/>
        </w:rPr>
        <w:t>《中华人民共和国矿产资源法》(2009年8月27日修正)；</w:t>
      </w:r>
    </w:p>
    <w:p>
      <w:pPr>
        <w:adjustRightInd w:val="0"/>
        <w:snapToGrid w:val="0"/>
        <w:spacing w:line="460" w:lineRule="exact"/>
        <w:ind w:firstLine="480" w:firstLineChars="200"/>
        <w:rPr>
          <w:snapToGrid w:val="0"/>
          <w:kern w:val="0"/>
          <w:sz w:val="24"/>
        </w:rPr>
      </w:pPr>
      <w:r>
        <w:rPr>
          <w:rFonts w:hint="eastAsia"/>
          <w:snapToGrid w:val="0"/>
          <w:kern w:val="0"/>
          <w:sz w:val="24"/>
        </w:rPr>
        <w:t>7</w:t>
      </w:r>
      <w:r>
        <w:rPr>
          <w:snapToGrid w:val="0"/>
          <w:kern w:val="0"/>
          <w:sz w:val="24"/>
        </w:rPr>
        <w:t>)</w:t>
      </w:r>
      <w:r>
        <w:rPr>
          <w:rFonts w:hint="eastAsia"/>
          <w:snapToGrid w:val="0"/>
          <w:kern w:val="0"/>
          <w:sz w:val="24"/>
        </w:rPr>
        <w:t xml:space="preserve"> </w:t>
      </w:r>
      <w:r>
        <w:rPr>
          <w:snapToGrid w:val="0"/>
          <w:kern w:val="0"/>
          <w:sz w:val="24"/>
        </w:rPr>
        <w:t>《中华人民共和国文物保护法》(2017年11月4日修正)；</w:t>
      </w:r>
    </w:p>
    <w:p>
      <w:pPr>
        <w:adjustRightInd w:val="0"/>
        <w:snapToGrid w:val="0"/>
        <w:spacing w:line="460" w:lineRule="exact"/>
        <w:ind w:firstLine="480" w:firstLineChars="200"/>
        <w:rPr>
          <w:snapToGrid w:val="0"/>
          <w:kern w:val="0"/>
          <w:sz w:val="24"/>
        </w:rPr>
      </w:pPr>
      <w:r>
        <w:rPr>
          <w:rFonts w:hint="eastAsia"/>
          <w:snapToGrid w:val="0"/>
          <w:kern w:val="0"/>
          <w:sz w:val="24"/>
        </w:rPr>
        <w:t>8</w:t>
      </w:r>
      <w:r>
        <w:rPr>
          <w:snapToGrid w:val="0"/>
          <w:kern w:val="0"/>
          <w:sz w:val="24"/>
        </w:rPr>
        <w:t>)</w:t>
      </w:r>
      <w:r>
        <w:rPr>
          <w:rFonts w:hint="eastAsia"/>
          <w:snapToGrid w:val="0"/>
          <w:kern w:val="0"/>
          <w:sz w:val="24"/>
        </w:rPr>
        <w:t xml:space="preserve"> </w:t>
      </w:r>
      <w:r>
        <w:rPr>
          <w:snapToGrid w:val="0"/>
          <w:kern w:val="0"/>
          <w:sz w:val="24"/>
        </w:rPr>
        <w:t>《基本农田保护条例》(国务院令第257号)；</w:t>
      </w:r>
    </w:p>
    <w:p>
      <w:pPr>
        <w:adjustRightInd w:val="0"/>
        <w:snapToGrid w:val="0"/>
        <w:spacing w:line="460" w:lineRule="exact"/>
        <w:ind w:firstLine="480" w:firstLineChars="200"/>
        <w:rPr>
          <w:snapToGrid w:val="0"/>
          <w:kern w:val="0"/>
          <w:sz w:val="24"/>
        </w:rPr>
      </w:pPr>
      <w:r>
        <w:rPr>
          <w:rFonts w:hint="eastAsia"/>
          <w:snapToGrid w:val="0"/>
          <w:kern w:val="0"/>
          <w:sz w:val="24"/>
        </w:rPr>
        <w:t>9</w:t>
      </w:r>
      <w:r>
        <w:rPr>
          <w:snapToGrid w:val="0"/>
          <w:kern w:val="0"/>
          <w:sz w:val="24"/>
        </w:rPr>
        <w:t>)</w:t>
      </w:r>
      <w:r>
        <w:rPr>
          <w:rFonts w:hint="eastAsia"/>
          <w:snapToGrid w:val="0"/>
          <w:kern w:val="0"/>
          <w:sz w:val="24"/>
        </w:rPr>
        <w:t xml:space="preserve"> </w:t>
      </w:r>
      <w:r>
        <w:rPr>
          <w:snapToGrid w:val="0"/>
          <w:kern w:val="0"/>
          <w:sz w:val="24"/>
        </w:rPr>
        <w:t>《国务院关于修改〈大中型水利水电工程建设征地补偿和移民安置条例〉的决定》(国务院令第679号)；</w:t>
      </w:r>
    </w:p>
    <w:p>
      <w:pPr>
        <w:adjustRightInd w:val="0"/>
        <w:snapToGrid w:val="0"/>
        <w:spacing w:line="460" w:lineRule="exact"/>
        <w:ind w:firstLine="480" w:firstLineChars="200"/>
        <w:rPr>
          <w:snapToGrid w:val="0"/>
          <w:kern w:val="0"/>
          <w:sz w:val="24"/>
        </w:rPr>
      </w:pPr>
      <w:r>
        <w:rPr>
          <w:snapToGrid w:val="0"/>
          <w:kern w:val="0"/>
          <w:sz w:val="24"/>
        </w:rPr>
        <w:t>1</w:t>
      </w:r>
      <w:r>
        <w:rPr>
          <w:rFonts w:hint="eastAsia"/>
          <w:snapToGrid w:val="0"/>
          <w:kern w:val="0"/>
          <w:sz w:val="24"/>
        </w:rPr>
        <w:t>0</w:t>
      </w:r>
      <w:r>
        <w:rPr>
          <w:snapToGrid w:val="0"/>
          <w:kern w:val="0"/>
          <w:sz w:val="24"/>
        </w:rPr>
        <w:t>)</w:t>
      </w:r>
      <w:r>
        <w:rPr>
          <w:rFonts w:hint="eastAsia"/>
          <w:snapToGrid w:val="0"/>
          <w:kern w:val="0"/>
          <w:sz w:val="24"/>
        </w:rPr>
        <w:t xml:space="preserve"> </w:t>
      </w:r>
      <w:r>
        <w:rPr>
          <w:snapToGrid w:val="0"/>
          <w:kern w:val="0"/>
          <w:sz w:val="24"/>
        </w:rPr>
        <w:t>《广东省林地保护管理条例》(2020年9月29日</w:t>
      </w:r>
      <w:r>
        <w:rPr>
          <w:rFonts w:hint="eastAsia"/>
          <w:snapToGrid w:val="0"/>
          <w:kern w:val="0"/>
          <w:sz w:val="24"/>
        </w:rPr>
        <w:t>修正</w:t>
      </w:r>
      <w:r>
        <w:rPr>
          <w:snapToGrid w:val="0"/>
          <w:kern w:val="0"/>
          <w:sz w:val="24"/>
        </w:rPr>
        <w:t>)；</w:t>
      </w:r>
    </w:p>
    <w:p>
      <w:pPr>
        <w:adjustRightInd w:val="0"/>
        <w:snapToGrid w:val="0"/>
        <w:spacing w:line="460" w:lineRule="exact"/>
        <w:ind w:firstLine="480" w:firstLineChars="200"/>
        <w:rPr>
          <w:snapToGrid w:val="0"/>
          <w:kern w:val="0"/>
          <w:sz w:val="24"/>
        </w:rPr>
      </w:pPr>
      <w:r>
        <w:rPr>
          <w:rFonts w:hint="eastAsia"/>
          <w:snapToGrid w:val="0"/>
          <w:kern w:val="0"/>
          <w:sz w:val="24"/>
        </w:rPr>
        <w:t>11</w:t>
      </w:r>
      <w:r>
        <w:rPr>
          <w:snapToGrid w:val="0"/>
          <w:kern w:val="0"/>
          <w:sz w:val="24"/>
        </w:rPr>
        <w:t>) 其他有关</w:t>
      </w:r>
      <w:r>
        <w:rPr>
          <w:rFonts w:hint="eastAsia"/>
          <w:snapToGrid w:val="0"/>
          <w:kern w:val="0"/>
          <w:sz w:val="24"/>
        </w:rPr>
        <w:t>法律法规</w:t>
      </w:r>
      <w:r>
        <w:rPr>
          <w:snapToGrid w:val="0"/>
          <w:kern w:val="0"/>
          <w:sz w:val="24"/>
        </w:rPr>
        <w:t>。</w:t>
      </w:r>
    </w:p>
    <w:p>
      <w:pPr>
        <w:pStyle w:val="5"/>
        <w:rPr>
          <w:rFonts w:cs="Times New Roman"/>
          <w:szCs w:val="24"/>
        </w:rPr>
      </w:pPr>
      <w:bookmarkStart w:id="68" w:name="_Toc875"/>
      <w:bookmarkStart w:id="69" w:name="_Toc24037"/>
      <w:r>
        <w:rPr>
          <w:rFonts w:hint="eastAsia" w:cs="Times New Roman"/>
          <w:szCs w:val="24"/>
        </w:rPr>
        <w:t>3.2.1.2  规章规定</w:t>
      </w:r>
      <w:bookmarkEnd w:id="68"/>
      <w:bookmarkEnd w:id="69"/>
    </w:p>
    <w:p>
      <w:pPr>
        <w:adjustRightInd w:val="0"/>
        <w:snapToGrid w:val="0"/>
        <w:spacing w:line="460" w:lineRule="exact"/>
        <w:ind w:firstLine="480" w:firstLineChars="200"/>
        <w:rPr>
          <w:rFonts w:cs="Times New Roman"/>
          <w:snapToGrid w:val="0"/>
          <w:kern w:val="0"/>
          <w:sz w:val="24"/>
          <w:szCs w:val="24"/>
        </w:rPr>
      </w:pPr>
      <w:r>
        <w:rPr>
          <w:rFonts w:hint="eastAsia" w:cs="Times New Roman"/>
          <w:snapToGrid w:val="0"/>
          <w:kern w:val="0"/>
          <w:sz w:val="24"/>
          <w:szCs w:val="24"/>
        </w:rPr>
        <w:t>1</w:t>
      </w:r>
      <w:r>
        <w:rPr>
          <w:rFonts w:cs="Times New Roman"/>
          <w:snapToGrid w:val="0"/>
          <w:kern w:val="0"/>
          <w:sz w:val="24"/>
          <w:szCs w:val="24"/>
        </w:rPr>
        <w:t>)</w:t>
      </w:r>
      <w:r>
        <w:rPr>
          <w:rFonts w:hint="eastAsia" w:cs="Times New Roman"/>
          <w:snapToGrid w:val="0"/>
          <w:kern w:val="0"/>
          <w:sz w:val="24"/>
          <w:szCs w:val="24"/>
        </w:rPr>
        <w:t xml:space="preserve"> </w:t>
      </w:r>
      <w:r>
        <w:rPr>
          <w:rFonts w:cs="Times New Roman"/>
          <w:snapToGrid w:val="0"/>
          <w:kern w:val="0"/>
          <w:sz w:val="24"/>
          <w:szCs w:val="24"/>
        </w:rPr>
        <w:t>《关于全面实行永久基本农田特殊保护的通知》(国土资规〔2018〕1号)；</w:t>
      </w:r>
    </w:p>
    <w:p>
      <w:pPr>
        <w:adjustRightInd w:val="0"/>
        <w:snapToGrid w:val="0"/>
        <w:spacing w:line="460" w:lineRule="exact"/>
        <w:ind w:firstLine="480" w:firstLineChars="200"/>
        <w:rPr>
          <w:rFonts w:cs="Times New Roman"/>
          <w:snapToGrid w:val="0"/>
          <w:kern w:val="0"/>
          <w:sz w:val="24"/>
          <w:szCs w:val="24"/>
        </w:rPr>
      </w:pPr>
      <w:r>
        <w:rPr>
          <w:rFonts w:hint="eastAsia" w:cs="Times New Roman"/>
          <w:snapToGrid w:val="0"/>
          <w:kern w:val="0"/>
          <w:sz w:val="24"/>
          <w:szCs w:val="24"/>
        </w:rPr>
        <w:t>2</w:t>
      </w:r>
      <w:r>
        <w:rPr>
          <w:rFonts w:cs="Times New Roman"/>
          <w:snapToGrid w:val="0"/>
          <w:kern w:val="0"/>
          <w:sz w:val="24"/>
          <w:szCs w:val="24"/>
        </w:rPr>
        <w:t>)</w:t>
      </w:r>
      <w:r>
        <w:rPr>
          <w:rFonts w:hint="eastAsia" w:cs="Times New Roman"/>
          <w:snapToGrid w:val="0"/>
          <w:kern w:val="0"/>
          <w:sz w:val="24"/>
          <w:szCs w:val="24"/>
        </w:rPr>
        <w:t xml:space="preserve"> </w:t>
      </w:r>
      <w:r>
        <w:rPr>
          <w:rFonts w:cs="Times New Roman"/>
          <w:snapToGrid w:val="0"/>
          <w:kern w:val="0"/>
          <w:sz w:val="24"/>
          <w:szCs w:val="24"/>
        </w:rPr>
        <w:t>《陆河县人民政府办公室关于印发陆河县征收土地补偿实施办法(2017年修订调整)的通知》(陆河府办〔2017〕36号)</w:t>
      </w:r>
      <w:r>
        <w:rPr>
          <w:rFonts w:hint="eastAsia" w:cs="Times New Roman"/>
          <w:snapToGrid w:val="0"/>
          <w:kern w:val="0"/>
          <w:sz w:val="24"/>
          <w:szCs w:val="24"/>
        </w:rPr>
        <w:t>；</w:t>
      </w:r>
    </w:p>
    <w:p>
      <w:pPr>
        <w:adjustRightInd w:val="0"/>
        <w:snapToGrid w:val="0"/>
        <w:spacing w:line="460" w:lineRule="exact"/>
        <w:ind w:firstLine="480" w:firstLineChars="200"/>
        <w:rPr>
          <w:rFonts w:cs="Times New Roman"/>
          <w:snapToGrid w:val="0"/>
          <w:kern w:val="0"/>
          <w:sz w:val="24"/>
          <w:szCs w:val="24"/>
        </w:rPr>
      </w:pPr>
      <w:r>
        <w:rPr>
          <w:rFonts w:hint="eastAsia" w:cs="Times New Roman"/>
          <w:snapToGrid w:val="0"/>
          <w:kern w:val="0"/>
          <w:sz w:val="24"/>
          <w:szCs w:val="24"/>
        </w:rPr>
        <w:t>3</w:t>
      </w:r>
      <w:r>
        <w:rPr>
          <w:rFonts w:cs="Times New Roman"/>
          <w:snapToGrid w:val="0"/>
          <w:kern w:val="0"/>
          <w:sz w:val="24"/>
          <w:szCs w:val="24"/>
        </w:rPr>
        <w:t>) 其他有关</w:t>
      </w:r>
      <w:r>
        <w:rPr>
          <w:rFonts w:hint="eastAsia" w:cs="Times New Roman"/>
          <w:snapToGrid w:val="0"/>
          <w:kern w:val="0"/>
          <w:sz w:val="24"/>
          <w:szCs w:val="24"/>
        </w:rPr>
        <w:t>规章规定</w:t>
      </w:r>
      <w:r>
        <w:rPr>
          <w:rFonts w:cs="Times New Roman"/>
          <w:snapToGrid w:val="0"/>
          <w:kern w:val="0"/>
          <w:sz w:val="24"/>
          <w:szCs w:val="24"/>
        </w:rPr>
        <w:t>。</w:t>
      </w:r>
    </w:p>
    <w:p>
      <w:pPr>
        <w:pStyle w:val="5"/>
      </w:pPr>
      <w:r>
        <w:t>3.2.1.</w:t>
      </w:r>
      <w:r>
        <w:rPr>
          <w:rFonts w:hint="eastAsia"/>
        </w:rPr>
        <w:t>3</w:t>
      </w:r>
      <w:r>
        <w:t xml:space="preserve">  </w:t>
      </w:r>
      <w:r>
        <w:rPr>
          <w:rFonts w:hint="eastAsia"/>
        </w:rPr>
        <w:t>规程、规范、标准</w:t>
      </w:r>
    </w:p>
    <w:p>
      <w:pPr>
        <w:numPr>
          <w:ilvl w:val="0"/>
          <w:numId w:val="2"/>
        </w:numPr>
        <w:overflowPunct w:val="0"/>
        <w:autoSpaceDE w:val="0"/>
        <w:autoSpaceDN w:val="0"/>
        <w:adjustRightInd w:val="0"/>
        <w:spacing w:line="480" w:lineRule="exact"/>
        <w:ind w:left="0" w:firstLine="480" w:firstLineChars="200"/>
        <w:rPr>
          <w:rFonts w:hAnsi="宋体"/>
          <w:sz w:val="24"/>
        </w:rPr>
      </w:pPr>
      <w:r>
        <w:rPr>
          <w:rFonts w:hint="eastAsia" w:hAnsi="宋体"/>
          <w:sz w:val="24"/>
        </w:rPr>
        <w:t xml:space="preserve"> </w:t>
      </w:r>
      <w:r>
        <w:rPr>
          <w:rFonts w:hAnsi="宋体"/>
          <w:sz w:val="24"/>
        </w:rPr>
        <w:t>《水电工程建设征地移民安置规划设计规范》(DL/T5064-2007)；</w:t>
      </w:r>
    </w:p>
    <w:p>
      <w:pPr>
        <w:numPr>
          <w:ilvl w:val="0"/>
          <w:numId w:val="2"/>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《水电工程建设征地实物指标调查规范》</w:t>
      </w:r>
      <w:r>
        <w:rPr>
          <w:sz w:val="24"/>
        </w:rPr>
        <w:t>(NB/T 10102-2018)</w:t>
      </w:r>
      <w:r>
        <w:rPr>
          <w:rFonts w:hAnsi="宋体"/>
          <w:sz w:val="24"/>
        </w:rPr>
        <w:t>；</w:t>
      </w:r>
    </w:p>
    <w:p>
      <w:pPr>
        <w:numPr>
          <w:ilvl w:val="0"/>
          <w:numId w:val="2"/>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《水电工程建设征地处理范围界定规范》</w:t>
      </w:r>
      <w:r>
        <w:rPr>
          <w:sz w:val="24"/>
        </w:rPr>
        <w:t>(NB/T 10338-2019)</w:t>
      </w:r>
      <w:r>
        <w:rPr>
          <w:rFonts w:hAnsi="宋体"/>
          <w:sz w:val="24"/>
        </w:rPr>
        <w:t>；</w:t>
      </w:r>
    </w:p>
    <w:p>
      <w:pPr>
        <w:numPr>
          <w:ilvl w:val="0"/>
          <w:numId w:val="2"/>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《水电工程测量规范》</w:t>
      </w:r>
      <w:r>
        <w:rPr>
          <w:sz w:val="24"/>
        </w:rPr>
        <w:t>(NB/T 35029-2014)</w:t>
      </w:r>
      <w:r>
        <w:rPr>
          <w:rFonts w:hAnsi="宋体"/>
          <w:sz w:val="24"/>
        </w:rPr>
        <w:t>；</w:t>
      </w:r>
    </w:p>
    <w:p>
      <w:pPr>
        <w:numPr>
          <w:ilvl w:val="0"/>
          <w:numId w:val="2"/>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《土地利用现状分类》</w:t>
      </w:r>
      <w:r>
        <w:rPr>
          <w:sz w:val="24"/>
        </w:rPr>
        <w:t>(GB/T21010-2017)</w:t>
      </w:r>
      <w:r>
        <w:rPr>
          <w:rFonts w:hAnsi="宋体"/>
          <w:sz w:val="24"/>
        </w:rPr>
        <w:t>；</w:t>
      </w:r>
    </w:p>
    <w:p>
      <w:pPr>
        <w:numPr>
          <w:ilvl w:val="0"/>
          <w:numId w:val="2"/>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《房产测量规范》</w:t>
      </w:r>
      <w:r>
        <w:rPr>
          <w:sz w:val="24"/>
        </w:rPr>
        <w:t>(GB/T 17986.1-2000)</w:t>
      </w:r>
      <w:r>
        <w:rPr>
          <w:rFonts w:hAnsi="宋体"/>
          <w:sz w:val="24"/>
        </w:rPr>
        <w:t>；</w:t>
      </w:r>
    </w:p>
    <w:p>
      <w:pPr>
        <w:numPr>
          <w:ilvl w:val="0"/>
          <w:numId w:val="2"/>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《防洪标准》</w:t>
      </w:r>
      <w:r>
        <w:rPr>
          <w:sz w:val="24"/>
        </w:rPr>
        <w:t>(GB 50201-2014)</w:t>
      </w:r>
      <w:r>
        <w:rPr>
          <w:rFonts w:hAnsi="宋体"/>
          <w:sz w:val="24"/>
        </w:rPr>
        <w:t>；</w:t>
      </w:r>
    </w:p>
    <w:p>
      <w:pPr>
        <w:numPr>
          <w:ilvl w:val="0"/>
          <w:numId w:val="2"/>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其他相关的规程、规范。</w:t>
      </w:r>
    </w:p>
    <w:p>
      <w:pPr>
        <w:pStyle w:val="5"/>
      </w:pPr>
      <w:r>
        <w:t>3.2.1.</w:t>
      </w:r>
      <w:r>
        <w:rPr>
          <w:rFonts w:hint="eastAsia"/>
        </w:rPr>
        <w:t>4</w:t>
      </w:r>
      <w:r>
        <w:t xml:space="preserve">  资料依据</w:t>
      </w:r>
    </w:p>
    <w:p>
      <w:pPr>
        <w:numPr>
          <w:ilvl w:val="0"/>
          <w:numId w:val="3"/>
        </w:numPr>
        <w:overflowPunct w:val="0"/>
        <w:autoSpaceDE w:val="0"/>
        <w:autoSpaceDN w:val="0"/>
        <w:adjustRightInd w:val="0"/>
        <w:spacing w:line="480" w:lineRule="exact"/>
        <w:ind w:left="0" w:firstLine="480" w:firstLineChars="200"/>
        <w:rPr>
          <w:rFonts w:hAnsi="宋体"/>
          <w:sz w:val="24"/>
        </w:rPr>
      </w:pPr>
      <w:r>
        <w:rPr>
          <w:rFonts w:hint="eastAsia" w:hAnsi="宋体"/>
          <w:sz w:val="24"/>
        </w:rPr>
        <w:t xml:space="preserve"> </w:t>
      </w:r>
      <w:r>
        <w:rPr>
          <w:rFonts w:hAnsi="宋体"/>
          <w:sz w:val="24"/>
        </w:rPr>
        <w:t>工程建设征地区</w:t>
      </w:r>
      <w:r>
        <w:rPr>
          <w:rFonts w:hint="eastAsia" w:hAnsi="宋体"/>
          <w:sz w:val="24"/>
        </w:rPr>
        <w:t>1:1000</w:t>
      </w:r>
      <w:r>
        <w:rPr>
          <w:rFonts w:hAnsi="宋体"/>
          <w:sz w:val="24"/>
        </w:rPr>
        <w:t>地类地形图；</w:t>
      </w:r>
    </w:p>
    <w:p>
      <w:pPr>
        <w:numPr>
          <w:ilvl w:val="0"/>
          <w:numId w:val="3"/>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w:t>
      </w:r>
      <w:r>
        <w:rPr>
          <w:rFonts w:hint="eastAsia" w:hAnsi="宋体"/>
          <w:sz w:val="24"/>
        </w:rPr>
        <w:t>广东陆河(三江口)</w:t>
      </w:r>
      <w:r>
        <w:rPr>
          <w:rFonts w:hAnsi="宋体"/>
          <w:sz w:val="24"/>
        </w:rPr>
        <w:t>抽水蓄能电站可行性研究阶段正常蓄水位选择专题报告</w:t>
      </w:r>
      <w:r>
        <w:rPr>
          <w:rFonts w:hint="eastAsia" w:hAnsi="宋体"/>
          <w:sz w:val="24"/>
        </w:rPr>
        <w:t>(审定稿)</w:t>
      </w:r>
      <w:r>
        <w:rPr>
          <w:rFonts w:hAnsi="宋体"/>
          <w:sz w:val="24"/>
        </w:rPr>
        <w:t>》</w:t>
      </w:r>
      <w:r>
        <w:rPr>
          <w:rFonts w:hint="eastAsia" w:hAnsi="宋体"/>
          <w:sz w:val="24"/>
        </w:rPr>
        <w:t>及审查意见</w:t>
      </w:r>
      <w:r>
        <w:rPr>
          <w:rFonts w:hAnsi="宋体"/>
          <w:sz w:val="24"/>
        </w:rPr>
        <w:t>；</w:t>
      </w:r>
    </w:p>
    <w:p>
      <w:pPr>
        <w:numPr>
          <w:ilvl w:val="0"/>
          <w:numId w:val="3"/>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w:t>
      </w:r>
      <w:r>
        <w:rPr>
          <w:rFonts w:hint="eastAsia" w:hAnsi="宋体"/>
          <w:sz w:val="24"/>
        </w:rPr>
        <w:t>广东陆河抽水蓄能电站可行性研究阶段正常蓄水位选择专题报告(审定稿)</w:t>
      </w:r>
      <w:r>
        <w:rPr>
          <w:rFonts w:hAnsi="宋体"/>
          <w:sz w:val="24"/>
        </w:rPr>
        <w:t>》及审查意见；</w:t>
      </w:r>
    </w:p>
    <w:p>
      <w:pPr>
        <w:numPr>
          <w:ilvl w:val="0"/>
          <w:numId w:val="3"/>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int="eastAsia"/>
          <w:sz w:val="24"/>
        </w:rPr>
        <w:t>《广东省人民政府关于禁止在广东陆河抽水 蓄能电站项目工程占地及淹没区新增 建设项目和迁入人口的通告》</w:t>
      </w:r>
      <w:r>
        <w:rPr>
          <w:rFonts w:hAnsi="宋体"/>
          <w:sz w:val="24"/>
        </w:rPr>
        <w:t>；</w:t>
      </w:r>
    </w:p>
    <w:p>
      <w:pPr>
        <w:numPr>
          <w:ilvl w:val="0"/>
          <w:numId w:val="3"/>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w:t>
      </w:r>
      <w:r>
        <w:rPr>
          <w:rFonts w:hint="eastAsia" w:hAnsi="宋体"/>
          <w:sz w:val="24"/>
        </w:rPr>
        <w:t>广东陆河</w:t>
      </w:r>
      <w:r>
        <w:rPr>
          <w:rFonts w:hAnsi="宋体"/>
          <w:sz w:val="24"/>
        </w:rPr>
        <w:t>抽水蓄能电站建设征地实物指标调查细则》</w:t>
      </w:r>
      <w:r>
        <w:rPr>
          <w:sz w:val="24"/>
        </w:rPr>
        <w:t>(</w:t>
      </w:r>
      <w:r>
        <w:rPr>
          <w:rFonts w:hAnsi="宋体"/>
          <w:sz w:val="24"/>
        </w:rPr>
        <w:t>审定本</w:t>
      </w:r>
      <w:r>
        <w:rPr>
          <w:sz w:val="24"/>
        </w:rPr>
        <w:t>)</w:t>
      </w:r>
      <w:r>
        <w:rPr>
          <w:rFonts w:hAnsi="宋体"/>
          <w:sz w:val="24"/>
        </w:rPr>
        <w:t>；</w:t>
      </w:r>
    </w:p>
    <w:p>
      <w:pPr>
        <w:numPr>
          <w:ilvl w:val="0"/>
          <w:numId w:val="3"/>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工程建设征</w:t>
      </w:r>
      <w:r>
        <w:rPr>
          <w:sz w:val="24"/>
        </w:rPr>
        <w:t>(</w:t>
      </w:r>
      <w:r>
        <w:rPr>
          <w:rFonts w:hAnsi="宋体"/>
          <w:sz w:val="24"/>
        </w:rPr>
        <w:t>占</w:t>
      </w:r>
      <w:r>
        <w:rPr>
          <w:sz w:val="24"/>
        </w:rPr>
        <w:t>)</w:t>
      </w:r>
      <w:r>
        <w:rPr>
          <w:rFonts w:hAnsi="宋体"/>
          <w:sz w:val="24"/>
        </w:rPr>
        <w:t>地区的自然、经济社会资料及土地利用现状调查资料；</w:t>
      </w:r>
    </w:p>
    <w:p>
      <w:pPr>
        <w:numPr>
          <w:ilvl w:val="0"/>
          <w:numId w:val="3"/>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其他有关资料。</w:t>
      </w:r>
    </w:p>
    <w:p>
      <w:pPr>
        <w:pStyle w:val="4"/>
      </w:pPr>
      <w:bookmarkStart w:id="70" w:name="_Toc85660206"/>
      <w:bookmarkStart w:id="71" w:name="_Toc85487683"/>
      <w:bookmarkStart w:id="72" w:name="_Toc85632438"/>
      <w:bookmarkStart w:id="73" w:name="_Toc85660211"/>
      <w:bookmarkStart w:id="74" w:name="_Toc1763"/>
      <w:bookmarkStart w:id="75" w:name="_Toc85487688"/>
      <w:bookmarkStart w:id="76" w:name="_Toc86265072"/>
      <w:bookmarkStart w:id="77" w:name="_Toc30339"/>
      <w:r>
        <w:t xml:space="preserve">3.2.2  </w:t>
      </w:r>
      <w:bookmarkEnd w:id="70"/>
      <w:bookmarkEnd w:id="71"/>
      <w:bookmarkEnd w:id="72"/>
      <w:r>
        <w:rPr>
          <w:rFonts w:hint="eastAsia"/>
        </w:rPr>
        <w:t>调查组织形式与分工</w:t>
      </w:r>
    </w:p>
    <w:p>
      <w:pPr>
        <w:pStyle w:val="5"/>
      </w:pPr>
      <w:r>
        <w:t xml:space="preserve">3.2.2.1  </w:t>
      </w:r>
      <w:r>
        <w:rPr>
          <w:rFonts w:hint="eastAsia"/>
        </w:rPr>
        <w:t>组织形式</w:t>
      </w:r>
    </w:p>
    <w:p>
      <w:pPr>
        <w:overflowPunct w:val="0"/>
        <w:autoSpaceDE w:val="0"/>
        <w:autoSpaceDN w:val="0"/>
        <w:adjustRightInd w:val="0"/>
        <w:spacing w:line="480" w:lineRule="exact"/>
        <w:ind w:firstLine="480" w:firstLineChars="200"/>
        <w:rPr>
          <w:rFonts w:hAnsi="宋体"/>
          <w:sz w:val="24"/>
        </w:rPr>
      </w:pPr>
      <w:r>
        <w:rPr>
          <w:rFonts w:hint="eastAsia" w:hAnsi="宋体"/>
          <w:sz w:val="24"/>
        </w:rPr>
        <w:t>陆河抽水蓄能电站建设征地实物指标调查工作由陆河县人民政府会同项目法人组织领导，成立“陆河抽水蓄能电站建设征地实物指标调查领导小组”，领导小组成员由陆河县人民政府、广东能源陆河蓄能发电有限公司(以下简称“陆蓄公司”)、中南院等组成。领导小组将负责指导、协调和处理陆河抽水蓄能电站建设征地实物指标调查工作中的相关问题。</w:t>
      </w:r>
    </w:p>
    <w:p>
      <w:pPr>
        <w:overflowPunct w:val="0"/>
        <w:autoSpaceDE w:val="0"/>
        <w:autoSpaceDN w:val="0"/>
        <w:adjustRightInd w:val="0"/>
        <w:spacing w:line="480" w:lineRule="exact"/>
        <w:ind w:firstLine="480" w:firstLineChars="200"/>
        <w:rPr>
          <w:rFonts w:hAnsi="宋体"/>
          <w:sz w:val="24"/>
        </w:rPr>
      </w:pPr>
      <w:r>
        <w:rPr>
          <w:rFonts w:hint="eastAsia" w:hAnsi="宋体"/>
          <w:sz w:val="24"/>
        </w:rPr>
        <w:t>领导小组成员应经过法规、政策、技术和职业道德培训，接受政治思想教育，在调查期间必须统一组织领导、统一政策标准、统一工作纪律。</w:t>
      </w:r>
    </w:p>
    <w:p>
      <w:pPr>
        <w:pStyle w:val="5"/>
      </w:pPr>
      <w:r>
        <w:t>3.2.2.</w:t>
      </w:r>
      <w:r>
        <w:rPr>
          <w:rFonts w:hint="eastAsia"/>
        </w:rPr>
        <w:t>2</w:t>
      </w:r>
      <w:r>
        <w:t xml:space="preserve">  </w:t>
      </w:r>
      <w:r>
        <w:rPr>
          <w:rFonts w:hint="eastAsia"/>
        </w:rPr>
        <w:t>工作程序</w:t>
      </w:r>
    </w:p>
    <w:p>
      <w:pPr>
        <w:adjustRightInd w:val="0"/>
        <w:snapToGrid w:val="0"/>
        <w:spacing w:line="460" w:lineRule="exact"/>
        <w:ind w:firstLine="482"/>
        <w:rPr>
          <w:rFonts w:cs="Times New Roman"/>
          <w:sz w:val="24"/>
        </w:rPr>
      </w:pPr>
      <w:r>
        <w:rPr>
          <w:rFonts w:hint="eastAsia" w:cs="Times New Roman"/>
          <w:sz w:val="24"/>
        </w:rPr>
        <w:t>陆蓄公司</w:t>
      </w:r>
      <w:r>
        <w:rPr>
          <w:rFonts w:cs="Times New Roman"/>
          <w:sz w:val="24"/>
        </w:rPr>
        <w:t>负责调查工作的总体组织及委托等工作，并参与指标调查及有关协调工作；</w:t>
      </w:r>
      <w:r>
        <w:rPr>
          <w:rFonts w:hint="eastAsia" w:cs="Times New Roman"/>
          <w:sz w:val="24"/>
        </w:rPr>
        <w:t>陆河</w:t>
      </w:r>
      <w:r>
        <w:rPr>
          <w:rFonts w:cs="Times New Roman"/>
          <w:sz w:val="24"/>
        </w:rPr>
        <w:t>县人民政府负责组织、实施和协调等工作；中南院负责技术归口；</w:t>
      </w:r>
      <w:r>
        <w:rPr>
          <w:rFonts w:hint="eastAsia" w:cs="Times New Roman"/>
          <w:sz w:val="24"/>
        </w:rPr>
        <w:t>汕尾</w:t>
      </w:r>
      <w:r>
        <w:rPr>
          <w:rFonts w:cs="Times New Roman"/>
          <w:sz w:val="24"/>
        </w:rPr>
        <w:t>市移民主管部门监督、指导工作组开展工作。</w:t>
      </w:r>
    </w:p>
    <w:p>
      <w:pPr>
        <w:adjustRightInd w:val="0"/>
        <w:snapToGrid w:val="0"/>
        <w:spacing w:line="460" w:lineRule="exact"/>
        <w:ind w:firstLine="482"/>
        <w:rPr>
          <w:rFonts w:cs="Times New Roman"/>
          <w:sz w:val="24"/>
        </w:rPr>
      </w:pPr>
      <w:r>
        <w:rPr>
          <w:rFonts w:cs="Times New Roman"/>
          <w:sz w:val="24"/>
        </w:rPr>
        <w:t>中南院和</w:t>
      </w:r>
      <w:r>
        <w:rPr>
          <w:rFonts w:hint="eastAsia" w:cs="Times New Roman"/>
          <w:sz w:val="24"/>
        </w:rPr>
        <w:t>陆河</w:t>
      </w:r>
      <w:r>
        <w:rPr>
          <w:rFonts w:cs="Times New Roman"/>
          <w:sz w:val="24"/>
        </w:rPr>
        <w:t>县人民政府及其有关</w:t>
      </w:r>
      <w:r>
        <w:rPr>
          <w:rFonts w:hint="eastAsia" w:cs="Times New Roman"/>
          <w:sz w:val="24"/>
        </w:rPr>
        <w:t>管理</w:t>
      </w:r>
      <w:r>
        <w:rPr>
          <w:rFonts w:cs="Times New Roman"/>
          <w:sz w:val="24"/>
        </w:rPr>
        <w:t>部门(包括移民、</w:t>
      </w:r>
      <w:r>
        <w:rPr>
          <w:rFonts w:hint="eastAsia" w:cs="Times New Roman"/>
          <w:sz w:val="24"/>
        </w:rPr>
        <w:t>自然资源</w:t>
      </w:r>
      <w:r>
        <w:rPr>
          <w:rFonts w:cs="Times New Roman"/>
          <w:sz w:val="24"/>
        </w:rPr>
        <w:t>、农业、林业、住建、房产管理、水利、电力、通信、交通、统计等)组成联合调查组，负责指定区域内的实物指标调查、资料统计、汇总和整理，县政府为组长单位，</w:t>
      </w:r>
      <w:r>
        <w:rPr>
          <w:rFonts w:hint="eastAsia" w:cs="Times New Roman"/>
          <w:sz w:val="24"/>
        </w:rPr>
        <w:t>陆蓄公司、</w:t>
      </w:r>
      <w:r>
        <w:rPr>
          <w:rFonts w:cs="Times New Roman"/>
          <w:sz w:val="24"/>
        </w:rPr>
        <w:t>中南院为副组长单位，</w:t>
      </w:r>
      <w:r>
        <w:rPr>
          <w:rFonts w:hint="eastAsia" w:cs="Times New Roman"/>
          <w:sz w:val="24"/>
        </w:rPr>
        <w:t>中南院</w:t>
      </w:r>
      <w:r>
        <w:rPr>
          <w:rFonts w:cs="Times New Roman"/>
          <w:sz w:val="24"/>
        </w:rPr>
        <w:t>负责技术归口。</w:t>
      </w:r>
    </w:p>
    <w:p>
      <w:pPr>
        <w:adjustRightInd w:val="0"/>
        <w:snapToGrid w:val="0"/>
        <w:spacing w:line="460" w:lineRule="exact"/>
        <w:ind w:firstLine="482"/>
        <w:rPr>
          <w:rFonts w:cs="Times New Roman"/>
          <w:sz w:val="24"/>
        </w:rPr>
      </w:pPr>
      <w:r>
        <w:rPr>
          <w:rFonts w:cs="Times New Roman"/>
          <w:sz w:val="24"/>
        </w:rPr>
        <w:t>为了使各方参加实物指标调查的工作人员，更好的掌握和理解本细则，便于在实际工作中合理运用本细则，项目法人应会同</w:t>
      </w:r>
      <w:r>
        <w:rPr>
          <w:rFonts w:hint="eastAsia" w:cs="Times New Roman"/>
          <w:sz w:val="24"/>
        </w:rPr>
        <w:t>陆河</w:t>
      </w:r>
      <w:r>
        <w:rPr>
          <w:rFonts w:cs="Times New Roman"/>
          <w:sz w:val="24"/>
        </w:rPr>
        <w:t>县政府，对参与实物指标调查人员进行移民政策法规和指标调查的技术培训，并向被调查区域群众广泛宣传移民政策法规和实物指标调查细则内容。</w:t>
      </w:r>
    </w:p>
    <w:p>
      <w:pPr>
        <w:adjustRightInd w:val="0"/>
        <w:snapToGrid w:val="0"/>
        <w:spacing w:line="460" w:lineRule="exact"/>
        <w:ind w:firstLine="482"/>
        <w:rPr>
          <w:rFonts w:cs="Times New Roman"/>
          <w:sz w:val="24"/>
        </w:rPr>
      </w:pPr>
      <w:r>
        <w:rPr>
          <w:rFonts w:hint="eastAsia" w:cs="Times New Roman"/>
          <w:sz w:val="24"/>
        </w:rPr>
        <w:t>陆河</w:t>
      </w:r>
      <w:r>
        <w:rPr>
          <w:rFonts w:cs="Times New Roman"/>
          <w:sz w:val="24"/>
        </w:rPr>
        <w:t>抽水蓄能电站实物指标调查工作组织流程如下图：</w:t>
      </w:r>
    </w:p>
    <w:p>
      <w:pPr>
        <w:adjustRightInd w:val="0"/>
        <w:snapToGrid w:val="0"/>
        <w:spacing w:line="460" w:lineRule="exact"/>
        <w:ind w:firstLine="482"/>
        <w:rPr>
          <w:rFonts w:cs="Times New Roman"/>
          <w:sz w:val="24"/>
        </w:rPr>
      </w:pPr>
      <w:r>
        <w:rPr>
          <w:rFonts w:cs="Times New Roman"/>
          <w:sz w:val="24"/>
        </w:rPr>
        <w:br w:type="page"/>
      </w: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rPr>
          <w:rFonts w:ascii="Tahoma" w:hAnsi="Tahoma" w:cs="Tahoma"/>
          <w:sz w:val="24"/>
          <w:szCs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pPr>
      <w:r>
        <w:rPr>
          <w:rFonts w:eastAsia="黑体" w:cs="Times New Roman"/>
          <w:sz w:val="24"/>
        </w:rPr>
        <mc:AlternateContent>
          <mc:Choice Requires="wpc">
            <w:drawing>
              <wp:inline distT="0" distB="0" distL="0" distR="0">
                <wp:extent cx="4587240" cy="7280910"/>
                <wp:effectExtent l="3175" t="0" r="635" b="0"/>
                <wp:docPr id="149"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自选图形 46"/>
                        <wps:cNvSpPr>
                          <a:spLocks noChangeArrowheads="1"/>
                        </wps:cNvSpPr>
                        <wps:spPr bwMode="auto">
                          <a:xfrm>
                            <a:off x="882650" y="1933575"/>
                            <a:ext cx="2741930" cy="474980"/>
                          </a:xfrm>
                          <a:prstGeom prst="flowChartProcess">
                            <a:avLst/>
                          </a:prstGeom>
                          <a:solidFill>
                            <a:srgbClr val="FFFFFF"/>
                          </a:solidFill>
                          <a:ln w="9525">
                            <a:solidFill>
                              <a:srgbClr val="000000"/>
                            </a:solidFill>
                            <a:miter lim="800000"/>
                          </a:ln>
                        </wps:spPr>
                        <wps:txbx>
                          <w:txbxContent>
                            <w:p>
                              <w:pPr>
                                <w:jc w:val="center"/>
                              </w:pPr>
                              <w:r>
                                <w:rPr>
                                  <w:rFonts w:hint="eastAsia"/>
                                </w:rPr>
                                <w:t>陆河县人民政府、陆蓄公司、中南院</w:t>
                              </w:r>
                            </w:p>
                            <w:p>
                              <w:pPr>
                                <w:jc w:val="center"/>
                              </w:pPr>
                              <w:r>
                                <w:rPr>
                                  <w:rFonts w:hint="eastAsia"/>
                                </w:rPr>
                                <w:t>成立工作领导小组和联合调查组</w:t>
                              </w:r>
                            </w:p>
                          </w:txbxContent>
                        </wps:txbx>
                        <wps:bodyPr rot="0" vert="horz" wrap="square" lIns="91440" tIns="45720" rIns="91440" bIns="45720" anchor="t" anchorCtr="0" upright="1">
                          <a:noAutofit/>
                        </wps:bodyPr>
                      </wps:wsp>
                      <wps:wsp>
                        <wps:cNvPr id="15" name="自选图形 47"/>
                        <wps:cNvSpPr>
                          <a:spLocks noChangeArrowheads="1"/>
                        </wps:cNvSpPr>
                        <wps:spPr bwMode="auto">
                          <a:xfrm>
                            <a:off x="870585" y="2695575"/>
                            <a:ext cx="2800350" cy="300355"/>
                          </a:xfrm>
                          <a:prstGeom prst="flowChartProcess">
                            <a:avLst/>
                          </a:prstGeom>
                          <a:solidFill>
                            <a:srgbClr val="FFFFFF"/>
                          </a:solidFill>
                          <a:ln w="9525">
                            <a:solidFill>
                              <a:srgbClr val="000000"/>
                            </a:solidFill>
                            <a:miter lim="800000"/>
                          </a:ln>
                        </wps:spPr>
                        <wps:txbx>
                          <w:txbxContent>
                            <w:p>
                              <w:pPr>
                                <w:jc w:val="center"/>
                              </w:pPr>
                              <w:r>
                                <w:rPr>
                                  <w:rFonts w:hint="eastAsia"/>
                                </w:rPr>
                                <w:t>开展调查人员培训及移民政策宣传工作</w:t>
                              </w:r>
                            </w:p>
                          </w:txbxContent>
                        </wps:txbx>
                        <wps:bodyPr rot="0" vert="horz" wrap="square" lIns="91440" tIns="45720" rIns="91440" bIns="45720" anchor="t" anchorCtr="0" upright="1">
                          <a:noAutofit/>
                        </wps:bodyPr>
                      </wps:wsp>
                      <wps:wsp>
                        <wps:cNvPr id="16" name="矩形 48"/>
                        <wps:cNvSpPr>
                          <a:spLocks noChangeArrowheads="1"/>
                        </wps:cNvSpPr>
                        <wps:spPr bwMode="auto">
                          <a:xfrm>
                            <a:off x="822960" y="3816350"/>
                            <a:ext cx="2867025" cy="263525"/>
                          </a:xfrm>
                          <a:prstGeom prst="rect">
                            <a:avLst/>
                          </a:prstGeom>
                          <a:solidFill>
                            <a:srgbClr val="FFFFFF"/>
                          </a:solidFill>
                          <a:ln w="9525">
                            <a:solidFill>
                              <a:srgbClr val="000000"/>
                            </a:solidFill>
                            <a:miter lim="800000"/>
                          </a:ln>
                        </wps:spPr>
                        <wps:txbx>
                          <w:txbxContent>
                            <w:p>
                              <w:pPr>
                                <w:jc w:val="center"/>
                              </w:pPr>
                              <w:r>
                                <w:rPr>
                                  <w:rFonts w:hint="eastAsia"/>
                                </w:rPr>
                                <w:t>联合调查组对分户调查成果现场签字确认</w:t>
                              </w:r>
                            </w:p>
                          </w:txbxContent>
                        </wps:txbx>
                        <wps:bodyPr rot="0" vert="horz" wrap="square" lIns="91440" tIns="45720" rIns="91440" bIns="45720" anchor="t" anchorCtr="0" upright="1">
                          <a:noAutofit/>
                        </wps:bodyPr>
                      </wps:wsp>
                      <wps:wsp>
                        <wps:cNvPr id="17" name="自选图形 49"/>
                        <wps:cNvSpPr>
                          <a:spLocks noChangeArrowheads="1"/>
                        </wps:cNvSpPr>
                        <wps:spPr bwMode="auto">
                          <a:xfrm>
                            <a:off x="222885" y="4382135"/>
                            <a:ext cx="4022725" cy="318135"/>
                          </a:xfrm>
                          <a:prstGeom prst="flowChartProcess">
                            <a:avLst/>
                          </a:prstGeom>
                          <a:solidFill>
                            <a:srgbClr val="FFFFFF"/>
                          </a:solidFill>
                          <a:ln w="9525">
                            <a:solidFill>
                              <a:srgbClr val="000000"/>
                            </a:solidFill>
                            <a:miter lim="800000"/>
                          </a:ln>
                        </wps:spPr>
                        <wps:txbx>
                          <w:txbxContent>
                            <w:p>
                              <w:pPr>
                                <w:jc w:val="center"/>
                              </w:pPr>
                              <w:r>
                                <w:rPr>
                                  <w:rFonts w:hint="eastAsia"/>
                                </w:rPr>
                                <w:t>对实物指标调查成果张榜公示、复核、确认</w:t>
                              </w:r>
                            </w:p>
                          </w:txbxContent>
                        </wps:txbx>
                        <wps:bodyPr rot="0" vert="horz" wrap="square" lIns="91440" tIns="45720" rIns="91440" bIns="45720" anchor="t" anchorCtr="0" upright="1">
                          <a:noAutofit/>
                        </wps:bodyPr>
                      </wps:wsp>
                      <wps:wsp>
                        <wps:cNvPr id="18" name="自选图形 50"/>
                        <wps:cNvSpPr>
                          <a:spLocks noChangeArrowheads="1"/>
                        </wps:cNvSpPr>
                        <wps:spPr bwMode="auto">
                          <a:xfrm>
                            <a:off x="89535" y="3221990"/>
                            <a:ext cx="4229100" cy="297180"/>
                          </a:xfrm>
                          <a:prstGeom prst="flowChartProcess">
                            <a:avLst/>
                          </a:prstGeom>
                          <a:solidFill>
                            <a:srgbClr val="FFFFFF"/>
                          </a:solidFill>
                          <a:ln w="9525">
                            <a:solidFill>
                              <a:srgbClr val="000000"/>
                            </a:solidFill>
                            <a:miter lim="800000"/>
                          </a:ln>
                        </wps:spPr>
                        <wps:txbx>
                          <w:txbxContent>
                            <w:p>
                              <w:pPr>
                                <w:jc w:val="center"/>
                              </w:pPr>
                              <w:r>
                                <w:rPr>
                                  <w:rFonts w:hint="eastAsia"/>
                                </w:rPr>
                                <w:t>调查界桩验收、委托保管及实物指标调查、移民安置意愿调查工作</w:t>
                              </w:r>
                            </w:p>
                          </w:txbxContent>
                        </wps:txbx>
                        <wps:bodyPr rot="0" vert="horz" wrap="square" lIns="91440" tIns="45720" rIns="91440" bIns="45720" anchor="t" anchorCtr="0" upright="1">
                          <a:noAutofit/>
                        </wps:bodyPr>
                      </wps:wsp>
                      <wps:wsp>
                        <wps:cNvPr id="19" name="自选图形 51"/>
                        <wps:cNvSpPr>
                          <a:spLocks noChangeArrowheads="1"/>
                        </wps:cNvSpPr>
                        <wps:spPr bwMode="auto">
                          <a:xfrm>
                            <a:off x="956310" y="5005070"/>
                            <a:ext cx="2514600" cy="297180"/>
                          </a:xfrm>
                          <a:prstGeom prst="flowChartProcess">
                            <a:avLst/>
                          </a:prstGeom>
                          <a:solidFill>
                            <a:srgbClr val="FFFFFF"/>
                          </a:solidFill>
                          <a:ln w="9525">
                            <a:solidFill>
                              <a:srgbClr val="000000"/>
                            </a:solidFill>
                            <a:miter lim="800000"/>
                          </a:ln>
                        </wps:spPr>
                        <wps:txbx>
                          <w:txbxContent>
                            <w:p>
                              <w:pPr>
                                <w:jc w:val="center"/>
                              </w:pPr>
                              <w:r>
                                <w:rPr>
                                  <w:rFonts w:hint="eastAsia"/>
                                </w:rPr>
                                <w:t>编制实物指标调查汇总成果</w:t>
                              </w:r>
                            </w:p>
                            <w:p>
                              <w:pPr>
                                <w:jc w:val="center"/>
                              </w:pPr>
                            </w:p>
                          </w:txbxContent>
                        </wps:txbx>
                        <wps:bodyPr rot="0" vert="horz" wrap="square" lIns="91440" tIns="45720" rIns="91440" bIns="45720" anchor="t" anchorCtr="0" upright="1">
                          <a:noAutofit/>
                        </wps:bodyPr>
                      </wps:wsp>
                      <wps:wsp>
                        <wps:cNvPr id="20" name="自选图形 52"/>
                        <wps:cNvSpPr>
                          <a:spLocks noChangeArrowheads="1"/>
                        </wps:cNvSpPr>
                        <wps:spPr bwMode="auto">
                          <a:xfrm>
                            <a:off x="956310" y="5599430"/>
                            <a:ext cx="2514600" cy="523240"/>
                          </a:xfrm>
                          <a:prstGeom prst="flowChartProcess">
                            <a:avLst/>
                          </a:prstGeom>
                          <a:solidFill>
                            <a:srgbClr val="FFFFFF"/>
                          </a:solidFill>
                          <a:ln w="9525">
                            <a:solidFill>
                              <a:srgbClr val="000000"/>
                            </a:solidFill>
                            <a:miter lim="800000"/>
                          </a:ln>
                        </wps:spPr>
                        <wps:txbx>
                          <w:txbxContent>
                            <w:p>
                              <w:pPr>
                                <w:jc w:val="center"/>
                              </w:pPr>
                              <w:r>
                                <w:rPr>
                                  <w:rFonts w:hint="eastAsia"/>
                                </w:rPr>
                                <w:t>联合调查组对实物指标调查汇总成果</w:t>
                              </w:r>
                            </w:p>
                            <w:p>
                              <w:pPr>
                                <w:jc w:val="center"/>
                              </w:pPr>
                              <w:r>
                                <w:rPr>
                                  <w:rFonts w:hint="eastAsia"/>
                                </w:rPr>
                                <w:t>签字认可</w:t>
                              </w:r>
                            </w:p>
                          </w:txbxContent>
                        </wps:txbx>
                        <wps:bodyPr rot="0" vert="horz" wrap="square" lIns="91440" tIns="45720" rIns="91440" bIns="45720" anchor="t" anchorCtr="0" upright="1">
                          <a:noAutofit/>
                        </wps:bodyPr>
                      </wps:wsp>
                      <wps:wsp>
                        <wps:cNvPr id="21" name="自选图形 53"/>
                        <wps:cNvSpPr>
                          <a:spLocks noChangeArrowheads="1"/>
                        </wps:cNvSpPr>
                        <wps:spPr bwMode="auto">
                          <a:xfrm>
                            <a:off x="130175" y="1108710"/>
                            <a:ext cx="4067175" cy="495300"/>
                          </a:xfrm>
                          <a:prstGeom prst="flowChartProcess">
                            <a:avLst/>
                          </a:prstGeom>
                          <a:solidFill>
                            <a:srgbClr val="FFFFFF"/>
                          </a:solidFill>
                          <a:ln w="9525">
                            <a:solidFill>
                              <a:srgbClr val="000000"/>
                            </a:solidFill>
                            <a:miter lim="800000"/>
                          </a:ln>
                        </wps:spPr>
                        <wps:txbx>
                          <w:txbxContent>
                            <w:p>
                              <w:pPr>
                                <w:jc w:val="center"/>
                              </w:pPr>
                              <w:r>
                                <w:rPr>
                                  <w:rFonts w:hint="eastAsia"/>
                                </w:rPr>
                                <w:t>根据审定的《实物指标调查细则》开展工作，委托</w:t>
                              </w:r>
                            </w:p>
                            <w:p>
                              <w:pPr>
                                <w:jc w:val="center"/>
                              </w:pPr>
                              <w:r>
                                <w:rPr>
                                  <w:rFonts w:hint="eastAsia"/>
                                </w:rPr>
                                <w:t>具有相关资质单位进行建设征地范围界桩测设</w:t>
                              </w:r>
                            </w:p>
                          </w:txbxContent>
                        </wps:txbx>
                        <wps:bodyPr rot="0" vert="horz" wrap="square" lIns="91440" tIns="45720" rIns="91440" bIns="45720" anchor="t" anchorCtr="0" upright="1">
                          <a:noAutofit/>
                        </wps:bodyPr>
                      </wps:wsp>
                      <wps:wsp>
                        <wps:cNvPr id="22" name="自选图形 54"/>
                        <wps:cNvSpPr>
                          <a:spLocks noChangeArrowheads="1"/>
                        </wps:cNvSpPr>
                        <wps:spPr bwMode="auto">
                          <a:xfrm>
                            <a:off x="654050" y="342265"/>
                            <a:ext cx="3084830" cy="459740"/>
                          </a:xfrm>
                          <a:prstGeom prst="flowChartProcess">
                            <a:avLst/>
                          </a:prstGeom>
                          <a:noFill/>
                          <a:ln w="9525">
                            <a:solidFill>
                              <a:srgbClr val="000000"/>
                            </a:solidFill>
                            <a:miter lim="800000"/>
                          </a:ln>
                        </wps:spPr>
                        <wps:txbx>
                          <w:txbxContent>
                            <w:p>
                              <w:pPr>
                                <w:jc w:val="center"/>
                              </w:pPr>
                              <w:r>
                                <w:rPr>
                                  <w:rFonts w:hint="eastAsia"/>
                                </w:rPr>
                                <w:t>《实物指标</w:t>
                              </w:r>
                              <w:r>
                                <w:t>调查细则</w:t>
                              </w:r>
                              <w:r>
                                <w:rPr>
                                  <w:rFonts w:hint="eastAsia"/>
                                </w:rPr>
                                <w:t>》审查，项目法人提出</w:t>
                              </w:r>
                            </w:p>
                            <w:p>
                              <w:pPr>
                                <w:jc w:val="center"/>
                              </w:pPr>
                              <w:r>
                                <w:rPr>
                                  <w:rFonts w:hint="eastAsia"/>
                                </w:rPr>
                                <w:t>实物指标调查申请，并对实物调查工作做出安排</w:t>
                              </w:r>
                            </w:p>
                          </w:txbxContent>
                        </wps:txbx>
                        <wps:bodyPr rot="0" vert="horz" wrap="square" lIns="91440" tIns="45720" rIns="91440" bIns="45720" anchor="t" anchorCtr="0" upright="1">
                          <a:noAutofit/>
                        </wps:bodyPr>
                      </wps:wsp>
                      <wps:wsp>
                        <wps:cNvPr id="23" name="自选图形 55"/>
                        <wps:cNvCnPr>
                          <a:cxnSpLocks noChangeShapeType="1"/>
                        </wps:cNvCnPr>
                        <wps:spPr bwMode="auto">
                          <a:xfrm>
                            <a:off x="2197100" y="802005"/>
                            <a:ext cx="635" cy="274955"/>
                          </a:xfrm>
                          <a:prstGeom prst="straightConnector1">
                            <a:avLst/>
                          </a:prstGeom>
                          <a:noFill/>
                          <a:ln w="9525">
                            <a:solidFill>
                              <a:srgbClr val="000000"/>
                            </a:solidFill>
                            <a:round/>
                            <a:tailEnd type="triangle" w="med" len="med"/>
                          </a:ln>
                        </wps:spPr>
                        <wps:bodyPr/>
                      </wps:wsp>
                      <wps:wsp>
                        <wps:cNvPr id="24" name="自选图形 56"/>
                        <wps:cNvCnPr>
                          <a:cxnSpLocks noChangeShapeType="1"/>
                        </wps:cNvCnPr>
                        <wps:spPr bwMode="auto">
                          <a:xfrm flipH="1">
                            <a:off x="2223135" y="6155690"/>
                            <a:ext cx="9525" cy="296545"/>
                          </a:xfrm>
                          <a:prstGeom prst="straightConnector1">
                            <a:avLst/>
                          </a:prstGeom>
                          <a:noFill/>
                          <a:ln w="9525">
                            <a:solidFill>
                              <a:srgbClr val="000000"/>
                            </a:solidFill>
                            <a:round/>
                            <a:tailEnd type="triangle" w="med" len="med"/>
                          </a:ln>
                        </wps:spPr>
                        <wps:bodyPr/>
                      </wps:wsp>
                      <wps:wsp>
                        <wps:cNvPr id="25" name="直线 57"/>
                        <wps:cNvCnPr>
                          <a:cxnSpLocks noChangeShapeType="1"/>
                        </wps:cNvCnPr>
                        <wps:spPr bwMode="auto">
                          <a:xfrm>
                            <a:off x="2216150" y="1613535"/>
                            <a:ext cx="635" cy="297180"/>
                          </a:xfrm>
                          <a:prstGeom prst="line">
                            <a:avLst/>
                          </a:prstGeom>
                          <a:noFill/>
                          <a:ln w="9525">
                            <a:solidFill>
                              <a:srgbClr val="000000"/>
                            </a:solidFill>
                            <a:round/>
                            <a:tailEnd type="triangle" w="med" len="med"/>
                          </a:ln>
                        </wps:spPr>
                        <wps:bodyPr/>
                      </wps:wsp>
                      <wps:wsp>
                        <wps:cNvPr id="26" name="直线 58"/>
                        <wps:cNvCnPr>
                          <a:cxnSpLocks noChangeShapeType="1"/>
                        </wps:cNvCnPr>
                        <wps:spPr bwMode="auto">
                          <a:xfrm>
                            <a:off x="2222500" y="3519170"/>
                            <a:ext cx="635" cy="297180"/>
                          </a:xfrm>
                          <a:prstGeom prst="line">
                            <a:avLst/>
                          </a:prstGeom>
                          <a:noFill/>
                          <a:ln w="9525">
                            <a:solidFill>
                              <a:srgbClr val="000000"/>
                            </a:solidFill>
                            <a:round/>
                            <a:tailEnd type="triangle" w="med" len="med"/>
                          </a:ln>
                        </wps:spPr>
                        <wps:bodyPr/>
                      </wps:wsp>
                      <wps:wsp>
                        <wps:cNvPr id="27" name="自选图形 59"/>
                        <wps:cNvSpPr>
                          <a:spLocks noChangeArrowheads="1"/>
                        </wps:cNvSpPr>
                        <wps:spPr bwMode="auto">
                          <a:xfrm>
                            <a:off x="680085" y="6471920"/>
                            <a:ext cx="3200400" cy="594360"/>
                          </a:xfrm>
                          <a:prstGeom prst="flowChartTerminator">
                            <a:avLst/>
                          </a:prstGeom>
                          <a:solidFill>
                            <a:srgbClr val="FFFFFF"/>
                          </a:solidFill>
                          <a:ln w="9525">
                            <a:solidFill>
                              <a:srgbClr val="000000"/>
                            </a:solidFill>
                            <a:miter lim="800000"/>
                          </a:ln>
                        </wps:spPr>
                        <wps:txbx>
                          <w:txbxContent>
                            <w:p>
                              <w:pPr>
                                <w:jc w:val="center"/>
                              </w:pPr>
                              <w:r>
                                <w:rPr>
                                  <w:rFonts w:hint="eastAsia"/>
                                </w:rPr>
                                <w:t>陆河县人民政府对实物指标调查汇总成果</w:t>
                              </w:r>
                            </w:p>
                            <w:p>
                              <w:pPr>
                                <w:jc w:val="center"/>
                              </w:pPr>
                              <w:r>
                                <w:rPr>
                                  <w:rFonts w:hint="eastAsia"/>
                                </w:rPr>
                                <w:t>签署意见</w:t>
                              </w:r>
                            </w:p>
                            <w:p/>
                          </w:txbxContent>
                        </wps:txbx>
                        <wps:bodyPr rot="0" vert="horz" wrap="square" lIns="54000" tIns="10800" rIns="54000" bIns="10800" anchor="t" anchorCtr="0" upright="1">
                          <a:noAutofit/>
                        </wps:bodyPr>
                      </wps:wsp>
                      <wps:wsp>
                        <wps:cNvPr id="28" name="自选图形 60"/>
                        <wps:cNvCnPr>
                          <a:cxnSpLocks noChangeShapeType="1"/>
                        </wps:cNvCnPr>
                        <wps:spPr bwMode="auto">
                          <a:xfrm flipH="1">
                            <a:off x="2223135" y="5302250"/>
                            <a:ext cx="9525" cy="296545"/>
                          </a:xfrm>
                          <a:prstGeom prst="straightConnector1">
                            <a:avLst/>
                          </a:prstGeom>
                          <a:noFill/>
                          <a:ln w="9525">
                            <a:solidFill>
                              <a:srgbClr val="000000"/>
                            </a:solidFill>
                            <a:round/>
                            <a:tailEnd type="triangle" w="med" len="med"/>
                          </a:ln>
                        </wps:spPr>
                        <wps:bodyPr/>
                      </wps:wsp>
                      <wps:wsp>
                        <wps:cNvPr id="29" name="自选图形 61"/>
                        <wps:cNvCnPr>
                          <a:cxnSpLocks noChangeShapeType="1"/>
                        </wps:cNvCnPr>
                        <wps:spPr bwMode="auto">
                          <a:xfrm flipH="1">
                            <a:off x="2223135" y="4707890"/>
                            <a:ext cx="9525" cy="296545"/>
                          </a:xfrm>
                          <a:prstGeom prst="straightConnector1">
                            <a:avLst/>
                          </a:prstGeom>
                          <a:noFill/>
                          <a:ln w="9525">
                            <a:solidFill>
                              <a:srgbClr val="000000"/>
                            </a:solidFill>
                            <a:round/>
                            <a:tailEnd type="triangle" w="med" len="med"/>
                          </a:ln>
                        </wps:spPr>
                        <wps:bodyPr/>
                      </wps:wsp>
                      <wps:wsp>
                        <wps:cNvPr id="30" name="自选图形 62"/>
                        <wps:cNvCnPr>
                          <a:cxnSpLocks noChangeShapeType="1"/>
                        </wps:cNvCnPr>
                        <wps:spPr bwMode="auto">
                          <a:xfrm flipH="1">
                            <a:off x="2223135" y="4094480"/>
                            <a:ext cx="9525" cy="296545"/>
                          </a:xfrm>
                          <a:prstGeom prst="straightConnector1">
                            <a:avLst/>
                          </a:prstGeom>
                          <a:noFill/>
                          <a:ln w="9525">
                            <a:solidFill>
                              <a:srgbClr val="000000"/>
                            </a:solidFill>
                            <a:round/>
                            <a:tailEnd type="triangle" w="med" len="med"/>
                          </a:ln>
                        </wps:spPr>
                        <wps:bodyPr/>
                      </wps:wsp>
                      <wps:wsp>
                        <wps:cNvPr id="31" name="自选图形 63"/>
                        <wps:cNvCnPr>
                          <a:cxnSpLocks noChangeShapeType="1"/>
                        </wps:cNvCnPr>
                        <wps:spPr bwMode="auto">
                          <a:xfrm flipH="1">
                            <a:off x="2223135" y="2407920"/>
                            <a:ext cx="9525" cy="296545"/>
                          </a:xfrm>
                          <a:prstGeom prst="straightConnector1">
                            <a:avLst/>
                          </a:prstGeom>
                          <a:noFill/>
                          <a:ln w="9525">
                            <a:solidFill>
                              <a:srgbClr val="000000"/>
                            </a:solidFill>
                            <a:round/>
                            <a:tailEnd type="triangle" w="med" len="med"/>
                          </a:ln>
                        </wps:spPr>
                        <wps:bodyPr/>
                      </wps:wsp>
                      <wps:wsp>
                        <wps:cNvPr id="32" name="直线 64"/>
                        <wps:cNvCnPr>
                          <a:cxnSpLocks noChangeShapeType="1"/>
                        </wps:cNvCnPr>
                        <wps:spPr bwMode="auto">
                          <a:xfrm>
                            <a:off x="2221865" y="2995930"/>
                            <a:ext cx="1270" cy="226060"/>
                          </a:xfrm>
                          <a:prstGeom prst="line">
                            <a:avLst/>
                          </a:prstGeom>
                          <a:noFill/>
                          <a:ln w="9525">
                            <a:solidFill>
                              <a:srgbClr val="000000"/>
                            </a:solidFill>
                            <a:round/>
                            <a:tailEnd type="triangle" w="med" len="med"/>
                          </a:ln>
                        </wps:spPr>
                        <wps:bodyPr/>
                      </wps:wsp>
                    </wpc:wpc>
                  </a:graphicData>
                </a:graphic>
              </wp:inline>
            </w:drawing>
          </mc:Choice>
          <mc:Fallback>
            <w:pict>
              <v:group id="画布 44" o:spid="_x0000_s1026" o:spt="203" style="height:573.3pt;width:361.2pt;" coordsize="4587240,7280910" editas="canvas" o:gfxdata="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">
                <o:lock v:ext="edit" aspectratio="f"/>
                <v:shape id="画布 44" o:spid="_x0000_s1026" style="position:absolute;left:0;top:0;height:7280910;width:4587240;" filled="f" stroked="f" coordsize="21600,21600" o:gfxdata="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PrVQ&#10;m9cAAAAGAQAADwAAAAAAAAABACAAAAAiAAAAZHJzL2Rvd25yZXYueG1sUEsBAhQAFAAAAAgAh07i&#10;QG6bm7zsBQAATzAAAA4AAAAAAAAAAQAgAAAAJgEAAGRycy9lMm9Eb2MueG1sUEsFBgAAAAAGAAYA&#10;WQEAAIQJAAAAAA==&#10;">
                  <v:fill on="f" focussize="0,0"/>
                  <v:stroke on="f"/>
                  <v:imagedata o:title=""/>
                  <o:lock v:ext="edit" aspectratio="t"/>
                </v:shape>
                <v:shape id="自选图形 46" o:spid="_x0000_s1026" o:spt="109" type="#_x0000_t109" style="position:absolute;left:882650;top:1933575;height:474980;width:2741930;" fillcolor="#FFFFFF" filled="t" stroked="t" coordsize="21600,21600" o:gfxdata="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tT2I1wAA&#10;AAYBAAAPAAAAAAAAAAEAIAAAACIAAABkcnMvZG93bnJldi54bWxQSwECFAAUAAAACACHTuJAEhnr&#10;k1gCAACZBAAADgAAAAAAAAABACAAAAAmAQAAZHJzL2Uyb0RvYy54bWxQSwUGAAAAAAYABgBZAQAA&#10;8AUAAAAA&#10;">
                  <v:fill on="t" focussize="0,0"/>
                  <v:stroke color="#000000" miterlimit="8" joinstyle="miter"/>
                  <v:imagedata o:title=""/>
                  <o:lock v:ext="edit" aspectratio="f"/>
                  <v:textbox>
                    <w:txbxContent>
                      <w:p>
                        <w:pPr>
                          <w:jc w:val="center"/>
                        </w:pPr>
                        <w:r>
                          <w:rPr>
                            <w:rFonts w:hint="eastAsia"/>
                          </w:rPr>
                          <w:t>陆河县人民政府、陆蓄公司、中南院</w:t>
                        </w:r>
                      </w:p>
                      <w:p>
                        <w:pPr>
                          <w:jc w:val="center"/>
                        </w:pPr>
                        <w:r>
                          <w:rPr>
                            <w:rFonts w:hint="eastAsia"/>
                          </w:rPr>
                          <w:t>成立工作领导小组和联合调查组</w:t>
                        </w:r>
                      </w:p>
                    </w:txbxContent>
                  </v:textbox>
                </v:shape>
                <v:shape id="自选图形 47" o:spid="_x0000_s1026" o:spt="109" type="#_x0000_t109" style="position:absolute;left:870585;top:2695575;height:300355;width:2800350;" fillcolor="#FFFFFF" filled="t" stroked="t" coordsize="21600,21600" o:gfxdata="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tT2I1wAA&#10;AAYBAAAPAAAAAAAAAAEAIAAAACIAAABkcnMvZG93bnJldi54bWxQSwECFAAUAAAACACHTuJAgOus&#10;FVgCAACZBAAADgAAAAAAAAABACAAAAAmAQAAZHJzL2Uyb0RvYy54bWxQSwUGAAAAAAYABgBZAQAA&#10;8AUAAAAA&#10;">
                  <v:fill on="t" focussize="0,0"/>
                  <v:stroke color="#000000" miterlimit="8" joinstyle="miter"/>
                  <v:imagedata o:title=""/>
                  <o:lock v:ext="edit" aspectratio="f"/>
                  <v:textbox>
                    <w:txbxContent>
                      <w:p>
                        <w:pPr>
                          <w:jc w:val="center"/>
                        </w:pPr>
                        <w:r>
                          <w:rPr>
                            <w:rFonts w:hint="eastAsia"/>
                          </w:rPr>
                          <w:t>开展调查人员培训及移民政策宣传工作</w:t>
                        </w:r>
                      </w:p>
                    </w:txbxContent>
                  </v:textbox>
                </v:shape>
                <v:rect id="矩形 48" o:spid="_x0000_s1026" o:spt="1" style="position:absolute;left:822960;top:3816350;height:263525;width:2867025;" fillcolor="#FFFFFF" filled="t" stroked="t" coordsize="21600,21600" o:gfxdata="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GZi3DVAAAABgEAAA8AAAAAAAAAAQAgAAAAIgAAAGRycy9k&#10;b3ducmV2LnhtbFBLAQIUABQAAAAIAIdO4kBAUsLWPgIAAIcEAAAOAAAAAAAAAAEAIAAAACQBAABk&#10;cnMvZTJvRG9jLnhtbFBLBQYAAAAABgAGAFkBAADUBQAAAAA=&#10;">
                  <v:fill on="t" focussize="0,0"/>
                  <v:stroke color="#000000" miterlimit="8" joinstyle="miter"/>
                  <v:imagedata o:title=""/>
                  <o:lock v:ext="edit" aspectratio="f"/>
                  <v:textbox>
                    <w:txbxContent>
                      <w:p>
                        <w:pPr>
                          <w:jc w:val="center"/>
                        </w:pPr>
                        <w:r>
                          <w:rPr>
                            <w:rFonts w:hint="eastAsia"/>
                          </w:rPr>
                          <w:t>联合调查组对分户调查成果现场签字确认</w:t>
                        </w:r>
                      </w:p>
                    </w:txbxContent>
                  </v:textbox>
                </v:rect>
                <v:shape id="自选图形 49" o:spid="_x0000_s1026" o:spt="109" type="#_x0000_t109" style="position:absolute;left:222885;top:4382135;height:318135;width:4022725;" fillcolor="#FFFFFF" filled="t" stroked="t" coordsize="21600,21600" o:gfxdata="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K1PYjXAAAABgEA&#10;AA8AAAAAAAAAAQAgAAAAIgAAAGRycy9kb3ducmV2LnhtbFBLAQIUABQAAAAIAIdO4kCVYyIfVAIA&#10;AJkEAAAOAAAAAAAAAAEAIAAAACYBAABkcnMvZTJvRG9jLnhtbFBLBQYAAAAABgAGAFkBAADsBQAA&#10;AAA=&#10;">
                  <v:fill on="t" focussize="0,0"/>
                  <v:stroke color="#000000" miterlimit="8" joinstyle="miter"/>
                  <v:imagedata o:title=""/>
                  <o:lock v:ext="edit" aspectratio="f"/>
                  <v:textbox>
                    <w:txbxContent>
                      <w:p>
                        <w:pPr>
                          <w:jc w:val="center"/>
                        </w:pPr>
                        <w:r>
                          <w:rPr>
                            <w:rFonts w:hint="eastAsia"/>
                          </w:rPr>
                          <w:t>对实物指标调查成果张榜公示、复核、确认</w:t>
                        </w:r>
                      </w:p>
                    </w:txbxContent>
                  </v:textbox>
                </v:shape>
                <v:shape id="自选图形 50" o:spid="_x0000_s1026" o:spt="109" type="#_x0000_t109" style="position:absolute;left:89535;top:3221990;height:297180;width:4229100;" fillcolor="#FFFFFF" filled="t" stroked="t" coordsize="21600,21600" o:gfxdata="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itT2I1wAA&#10;AAYBAAAPAAAAAAAAAAEAIAAAACIAAABkcnMvZG93bnJldi54bWxQSwECFAAUAAAACACHTuJAHzBL&#10;TVgCAACYBAAADgAAAAAAAAABACAAAAAmAQAAZHJzL2Uyb0RvYy54bWxQSwUGAAAAAAYABgBZAQAA&#10;8AUAAAAA&#10;">
                  <v:fill on="t" focussize="0,0"/>
                  <v:stroke color="#000000" miterlimit="8" joinstyle="miter"/>
                  <v:imagedata o:title=""/>
                  <o:lock v:ext="edit" aspectratio="f"/>
                  <v:textbox>
                    <w:txbxContent>
                      <w:p>
                        <w:pPr>
                          <w:jc w:val="center"/>
                        </w:pPr>
                        <w:r>
                          <w:rPr>
                            <w:rFonts w:hint="eastAsia"/>
                          </w:rPr>
                          <w:t>调查界桩验收、委托保管及实物指标调查、移民安置意愿调查工作</w:t>
                        </w:r>
                      </w:p>
                    </w:txbxContent>
                  </v:textbox>
                </v:shape>
                <v:shape id="自选图形 51" o:spid="_x0000_s1026" o:spt="109" type="#_x0000_t109" style="position:absolute;left:956310;top:5005070;height:297180;width:2514600;" fillcolor="#FFFFFF" filled="t" stroked="t" coordsize="21600,21600" o:gfxdata="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K1PYjXAAAA&#10;BgEAAA8AAAAAAAAAAQAgAAAAIgAAAGRycy9kb3ducmV2LnhtbFBLAQIUABQAAAAIAIdO4kAwy/Ih&#10;VwIAAJkEAAAOAAAAAAAAAAEAIAAAACYBAABkcnMvZTJvRG9jLnhtbFBLBQYAAAAABgAGAFkBAADv&#10;BQAAAAA=&#10;">
                  <v:fill on="t" focussize="0,0"/>
                  <v:stroke color="#000000" miterlimit="8" joinstyle="miter"/>
                  <v:imagedata o:title=""/>
                  <o:lock v:ext="edit" aspectratio="f"/>
                  <v:textbox>
                    <w:txbxContent>
                      <w:p>
                        <w:pPr>
                          <w:jc w:val="center"/>
                        </w:pPr>
                        <w:r>
                          <w:rPr>
                            <w:rFonts w:hint="eastAsia"/>
                          </w:rPr>
                          <w:t>编制实物指标调查汇总成果</w:t>
                        </w:r>
                      </w:p>
                      <w:p>
                        <w:pPr>
                          <w:jc w:val="center"/>
                        </w:pPr>
                      </w:p>
                    </w:txbxContent>
                  </v:textbox>
                </v:shape>
                <v:shape id="自选图形 52" o:spid="_x0000_s1026" o:spt="109" type="#_x0000_t109" style="position:absolute;left:956310;top:5599430;height:523240;width:2514600;" fillcolor="#FFFFFF" filled="t" stroked="t" coordsize="21600,21600" o:gfxdata="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K1PYjXAAAA&#10;BgEAAA8AAAAAAAAAAQAgAAAAIgAAAGRycy9kb3ducmV2LnhtbFBLAQIUABQAAAAIAIdO4kCBCZd/&#10;VwIAAJkEAAAOAAAAAAAAAAEAIAAAACYBAABkcnMvZTJvRG9jLnhtbFBLBQYAAAAABgAGAFkBAADv&#10;BQAAAAA=&#10;">
                  <v:fill on="t" focussize="0,0"/>
                  <v:stroke color="#000000" miterlimit="8" joinstyle="miter"/>
                  <v:imagedata o:title=""/>
                  <o:lock v:ext="edit" aspectratio="f"/>
                  <v:textbox>
                    <w:txbxContent>
                      <w:p>
                        <w:pPr>
                          <w:jc w:val="center"/>
                        </w:pPr>
                        <w:r>
                          <w:rPr>
                            <w:rFonts w:hint="eastAsia"/>
                          </w:rPr>
                          <w:t>联合调查组对实物指标调查汇总成果</w:t>
                        </w:r>
                      </w:p>
                      <w:p>
                        <w:pPr>
                          <w:jc w:val="center"/>
                        </w:pPr>
                        <w:r>
                          <w:rPr>
                            <w:rFonts w:hint="eastAsia"/>
                          </w:rPr>
                          <w:t>签字认可</w:t>
                        </w:r>
                      </w:p>
                    </w:txbxContent>
                  </v:textbox>
                </v:shape>
                <v:shape id="自选图形 53" o:spid="_x0000_s1026" o:spt="109" type="#_x0000_t109" style="position:absolute;left:130175;top:1108710;height:495300;width:4067175;" fillcolor="#FFFFFF" filled="t" stroked="t" coordsize="21600,21600" o:gfxdata="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K1PYjXAAAA&#10;BgEAAA8AAAAAAAAAAQAgAAAAIgAAAGRycy9kb3ducmV2LnhtbFBLAQIUABQAAAAIAIdO4kB2gFsA&#10;VwIAAJkEAAAOAAAAAAAAAAEAIAAAACYBAABkcnMvZTJvRG9jLnhtbFBLBQYAAAAABgAGAFkBAADv&#10;BQAAAAA=&#10;">
                  <v:fill on="t" focussize="0,0"/>
                  <v:stroke color="#000000" miterlimit="8" joinstyle="miter"/>
                  <v:imagedata o:title=""/>
                  <o:lock v:ext="edit" aspectratio="f"/>
                  <v:textbox>
                    <w:txbxContent>
                      <w:p>
                        <w:pPr>
                          <w:jc w:val="center"/>
                        </w:pPr>
                        <w:r>
                          <w:rPr>
                            <w:rFonts w:hint="eastAsia"/>
                          </w:rPr>
                          <w:t>根据审定的《实物指标调查细则》开展工作，委托</w:t>
                        </w:r>
                      </w:p>
                      <w:p>
                        <w:pPr>
                          <w:jc w:val="center"/>
                        </w:pPr>
                        <w:r>
                          <w:rPr>
                            <w:rFonts w:hint="eastAsia"/>
                          </w:rPr>
                          <w:t>具有相关资质单位进行建设征地范围界桩测设</w:t>
                        </w:r>
                      </w:p>
                    </w:txbxContent>
                  </v:textbox>
                </v:shape>
                <v:shape id="自选图形 54" o:spid="_x0000_s1026" o:spt="109" type="#_x0000_t109" style="position:absolute;left:654050;top:342265;height:459740;width:3084830;" filled="f" stroked="t" coordsize="21600,21600" o:gfxdata="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hF/2rUAAAABgEAAA8A&#10;AAAAAAAAAQAgAAAAIgAAAGRycy9kb3ducmV2LnhtbFBLAQIUABQAAAAIAIdO4kA84b5qVAIAAG8E&#10;AAAOAAAAAAAAAAEAIAAAACMBAABkcnMvZTJvRG9jLnhtbFBLBQYAAAAABgAGAFkBAADpBQAAAAA=&#10;">
                  <v:fill on="f" focussize="0,0"/>
                  <v:stroke color="#000000" miterlimit="8" joinstyle="miter"/>
                  <v:imagedata o:title=""/>
                  <o:lock v:ext="edit" aspectratio="f"/>
                  <v:textbox>
                    <w:txbxContent>
                      <w:p>
                        <w:pPr>
                          <w:jc w:val="center"/>
                        </w:pPr>
                        <w:r>
                          <w:rPr>
                            <w:rFonts w:hint="eastAsia"/>
                          </w:rPr>
                          <w:t>《实物指标</w:t>
                        </w:r>
                        <w:r>
                          <w:t>调查细则</w:t>
                        </w:r>
                        <w:r>
                          <w:rPr>
                            <w:rFonts w:hint="eastAsia"/>
                          </w:rPr>
                          <w:t>》审查，项目法人提出</w:t>
                        </w:r>
                      </w:p>
                      <w:p>
                        <w:pPr>
                          <w:jc w:val="center"/>
                        </w:pPr>
                        <w:r>
                          <w:rPr>
                            <w:rFonts w:hint="eastAsia"/>
                          </w:rPr>
                          <w:t>实物指标调查申请，并对实物调查工作做出安排</w:t>
                        </w:r>
                      </w:p>
                    </w:txbxContent>
                  </v:textbox>
                </v:shape>
                <v:shape id="自选图形 55" o:spid="_x0000_s1026" o:spt="32" type="#_x0000_t32" style="position:absolute;left:2197100;top:802005;height:274955;width:635;" filled="f" stroked="t" coordsize="21600,21600" o:gfxdata="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bZUVdcAAAAGAQAADwAA&#10;AAAAAAABACAAAAAiAAAAZHJzL2Rvd25yZXYueG1sUEsBAhQAFAAAAAgAh07iQCAxKFkXAgAA8QMA&#10;AA4AAAAAAAAAAQAgAAAAJgEAAGRycy9lMm9Eb2MueG1sUEsFBgAAAAAGAAYAWQEAAK8FAAAAAA==&#10;">
                  <v:fill on="f" focussize="0,0"/>
                  <v:stroke color="#000000" joinstyle="round" endarrow="block"/>
                  <v:imagedata o:title=""/>
                  <o:lock v:ext="edit" aspectratio="f"/>
                </v:shape>
                <v:shape id="自选图形 56" o:spid="_x0000_s1026" o:spt="32" type="#_x0000_t32" style="position:absolute;left:2223135;top:6155690;flip:x;height:296545;width:9525;" filled="f" stroked="t" coordsize="21600,21600" o:gfxdata="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rvNz1wAAAAYBAAAP&#10;AAAAAAAAAAEAIAAAACIAAABkcnMvZG93bnJldi54bWxQSwECFAAUAAAACACHTuJAdhgg/hkCAAD9&#10;AwAADgAAAAAAAAABACAAAAAmAQAAZHJzL2Uyb0RvYy54bWxQSwUGAAAAAAYABgBZAQAAsQUAAAAA&#10;">
                  <v:fill on="f" focussize="0,0"/>
                  <v:stroke color="#000000" joinstyle="round" endarrow="block"/>
                  <v:imagedata o:title=""/>
                  <o:lock v:ext="edit" aspectratio="f"/>
                </v:shape>
                <v:line id="直线 57" o:spid="_x0000_s1026" o:spt="20" style="position:absolute;left:2216150;top:1613535;height:297180;width:635;" filled="f" stroked="t" coordsize="21600,21600" o:gfxdata="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9dGCNcAAAAGAQAADwAAAAAAAAABACAAAAAiAAAAZHJzL2Rvd25y&#10;ZXYueG1sUEsBAhQAFAAAAAgAh07iQI3e4lb/AQAA3gMAAA4AAAAAAAAAAQAgAAAAJgEAAGRycy9l&#10;Mm9Eb2MueG1sUEsFBgAAAAAGAAYAWQEAAJcFAAAAAA==&#10;">
                  <v:fill on="f" focussize="0,0"/>
                  <v:stroke color="#000000" joinstyle="round" endarrow="block"/>
                  <v:imagedata o:title=""/>
                  <o:lock v:ext="edit" aspectratio="f"/>
                </v:line>
                <v:line id="直线 58" o:spid="_x0000_s1026" o:spt="20" style="position:absolute;left:2222500;top:3519170;height:297180;width:635;" filled="f" stroked="t" coordsize="21600,21600" o:gfxdata="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10YI1wAAAAYBAAAPAAAAAAAAAAEAIAAAACIAAABkcnMvZG93&#10;bnJldi54bWxQSwECFAAUAAAACACHTuJAdMzxFwECAADeAwAADgAAAAAAAAABACAAAAAmAQAAZHJz&#10;L2Uyb0RvYy54bWxQSwUGAAAAAAYABgBZAQAAmQUAAAAA&#10;">
                  <v:fill on="f" focussize="0,0"/>
                  <v:stroke color="#000000" joinstyle="round" endarrow="block"/>
                  <v:imagedata o:title=""/>
                  <o:lock v:ext="edit" aspectratio="f"/>
                </v:line>
                <v:shape id="自选图形 59" o:spid="_x0000_s1026" o:spt="116" type="#_x0000_t116" style="position:absolute;left:680085;top:6471920;height:594360;width:3200400;" fillcolor="#FFFFFF" filled="t" stroked="t" coordsize="21600,21600" o:gfxdata="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6FM&#10;9NYAAAAGAQAADwAAAAAAAAABACAAAAAiAAAAZHJzL2Rvd25yZXYueG1sUEsBAhQAFAAAAAgAh07i&#10;QB7IyJZdAgAAnAQAAA4AAAAAAAAAAQAgAAAAJQEAAGRycy9lMm9Eb2MueG1sUEsFBgAAAAAGAAYA&#10;WQEAAPQFAAAAAA==&#10;">
                  <v:fill on="t" focussize="0,0"/>
                  <v:stroke color="#000000" miterlimit="8" joinstyle="miter"/>
                  <v:imagedata o:title=""/>
                  <o:lock v:ext="edit" aspectratio="f"/>
                  <v:textbox inset="1.5mm,0.3mm,1.5mm,0.3mm">
                    <w:txbxContent>
                      <w:p>
                        <w:pPr>
                          <w:jc w:val="center"/>
                        </w:pPr>
                        <w:r>
                          <w:rPr>
                            <w:rFonts w:hint="eastAsia"/>
                          </w:rPr>
                          <w:t>陆河县人民政府对实物指标调查汇总成果</w:t>
                        </w:r>
                      </w:p>
                      <w:p>
                        <w:pPr>
                          <w:jc w:val="center"/>
                        </w:pPr>
                        <w:r>
                          <w:rPr>
                            <w:rFonts w:hint="eastAsia"/>
                          </w:rPr>
                          <w:t>签署意见</w:t>
                        </w:r>
                      </w:p>
                      <w:p/>
                    </w:txbxContent>
                  </v:textbox>
                </v:shape>
                <v:shape id="自选图形 60" o:spid="_x0000_s1026" o:spt="32" type="#_x0000_t32" style="position:absolute;left:2223135;top:5302250;flip:x;height:296545;width:9525;" filled="f" stroked="t" coordsize="21600,21600" o:gfxdata="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u83PXAAAABgEAAA8A&#10;AAAAAAAAAQAgAAAAIgAAAGRycy9kb3ducmV2LnhtbFBLAQIUABQAAAAIAIdO4kBX97PSGAIAAP0D&#10;AAAOAAAAAAAAAAEAIAAAACYBAABkcnMvZTJvRG9jLnhtbFBLBQYAAAAABgAGAFkBAACwBQAAAAA=&#10;">
                  <v:fill on="f" focussize="0,0"/>
                  <v:stroke color="#000000" joinstyle="round" endarrow="block"/>
                  <v:imagedata o:title=""/>
                  <o:lock v:ext="edit" aspectratio="f"/>
                </v:shape>
                <v:shape id="自选图形 61" o:spid="_x0000_s1026" o:spt="32" type="#_x0000_t32" style="position:absolute;left:2223135;top:4707890;flip:x;height:296545;width:9525;" filled="f" stroked="t" coordsize="21600,21600" o:gfxdata="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rvNz1wAAAAYBAAAP&#10;AAAAAAAAAAEAIAAAACIAAABkcnMvZG93bnJldi54bWxQSwECFAAUAAAACACHTuJApLXGaxkCAAD9&#10;AwAADgAAAAAAAAABACAAAAAmAQAAZHJzL2Uyb0RvYy54bWxQSwUGAAAAAAYABgBZAQAAsQUAAAAA&#10;">
                  <v:fill on="f" focussize="0,0"/>
                  <v:stroke color="#000000" joinstyle="round" endarrow="block"/>
                  <v:imagedata o:title=""/>
                  <o:lock v:ext="edit" aspectratio="f"/>
                </v:shape>
                <v:shape id="自选图形 62" o:spid="_x0000_s1026" o:spt="32" type="#_x0000_t32" style="position:absolute;left:2223135;top:4094480;flip:x;height:296545;width:9525;" filled="f" stroked="t" coordsize="21600,21600" o:gfxdata="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a7zc9cAAAAGAQAA&#10;DwAAAAAAAAABACAAAAAiAAAAZHJzL2Rvd25yZXYueG1sUEsBAhQAFAAAAAgAh07iQMEqjd8aAgAA&#10;/QMAAA4AAAAAAAAAAQAgAAAAJgEAAGRycy9lMm9Eb2MueG1sUEsFBgAAAAAGAAYAWQEAALIFAAAA&#10;AA==&#10;">
                  <v:fill on="f" focussize="0,0"/>
                  <v:stroke color="#000000" joinstyle="round" endarrow="block"/>
                  <v:imagedata o:title=""/>
                  <o:lock v:ext="edit" aspectratio="f"/>
                </v:shape>
                <v:shape id="自选图形 63" o:spid="_x0000_s1026" o:spt="32" type="#_x0000_t32" style="position:absolute;left:2223135;top:2407920;flip:x;height:296545;width:9525;" filled="f" stroked="t" coordsize="21600,21600" o:gfxdata="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u83PXAAAABgEAAA8A&#10;AAAAAAAAAQAgAAAAIgAAAGRycy9kb3ducmV2LnhtbFBLAQIUABQAAAAIAIdO4kDmFEM5GAIAAP0D&#10;AAAOAAAAAAAAAAEAIAAAACYBAABkcnMvZTJvRG9jLnhtbFBLBQYAAAAABgAGAFkBAACwBQAAAAA=&#10;">
                  <v:fill on="f" focussize="0,0"/>
                  <v:stroke color="#000000" joinstyle="round" endarrow="block"/>
                  <v:imagedata o:title=""/>
                  <o:lock v:ext="edit" aspectratio="f"/>
                </v:shape>
                <v:line id="直线 64" o:spid="_x0000_s1026" o:spt="20" style="position:absolute;left:2221865;top:2995930;height:226060;width:1270;" filled="f" stroked="t" coordsize="21600,21600" o:gfxdata="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9dGCNcAAAAGAQAADwAAAAAAAAABACAAAAAiAAAAZHJzL2Rv&#10;d25yZXYueG1sUEsBAhQAFAAAAAgAh07iQBcvEv4CAgAA3wMAAA4AAAAAAAAAAQAgAAAAJgEAAGRy&#10;cy9lMm9Eb2MueG1sUEsFBgAAAAAGAAYAWQEAAJoFAAAAAA==&#10;">
                  <v:fill on="f" focussize="0,0"/>
                  <v:stroke color="#000000" joinstyle="round" endarrow="block"/>
                  <v:imagedata o:title=""/>
                  <o:lock v:ext="edit" aspectratio="f"/>
                </v:line>
                <w10:wrap type="none"/>
                <w10:anchorlock/>
              </v:group>
            </w:pict>
          </mc:Fallback>
        </mc:AlternateContent>
      </w:r>
    </w:p>
    <w:p>
      <w:pPr>
        <w:adjustRightInd w:val="0"/>
        <w:snapToGrid w:val="0"/>
        <w:spacing w:line="460" w:lineRule="exact"/>
        <w:ind w:firstLine="482"/>
        <w:jc w:val="center"/>
        <w:rPr>
          <w:rFonts w:eastAsia="黑体" w:cs="Times New Roman"/>
          <w:sz w:val="24"/>
        </w:rPr>
      </w:pPr>
      <w:r>
        <w:rPr>
          <w:rFonts w:hint="eastAsia" w:eastAsia="黑体" w:cs="Times New Roman"/>
          <w:sz w:val="24"/>
        </w:rPr>
        <w:t>陆河</w:t>
      </w:r>
      <w:r>
        <w:rPr>
          <w:rFonts w:eastAsia="黑体" w:cs="Times New Roman"/>
          <w:sz w:val="24"/>
        </w:rPr>
        <w:t>抽水蓄能电站实物指标调查工作组织流程图</w:t>
      </w:r>
    </w:p>
    <w:p>
      <w:pPr>
        <w:adjustRightInd w:val="0"/>
        <w:snapToGrid w:val="0"/>
        <w:spacing w:line="460" w:lineRule="exact"/>
        <w:ind w:firstLine="482"/>
        <w:jc w:val="center"/>
        <w:rPr>
          <w:rFonts w:eastAsia="黑体" w:cs="Times New Roman"/>
          <w:sz w:val="24"/>
        </w:rPr>
      </w:pPr>
    </w:p>
    <w:p>
      <w:pPr>
        <w:adjustRightInd w:val="0"/>
        <w:snapToGrid w:val="0"/>
        <w:spacing w:line="460" w:lineRule="exact"/>
        <w:ind w:firstLine="482"/>
        <w:jc w:val="center"/>
        <w:rPr>
          <w:rFonts w:eastAsia="黑体" w:cs="Times New Roman"/>
          <w:sz w:val="24"/>
        </w:rPr>
        <w:sectPr>
          <w:footerReference r:id="rId10" w:type="default"/>
          <w:pgSz w:w="11907" w:h="16840"/>
          <w:pgMar w:top="1588" w:right="1565" w:bottom="1531" w:left="1565" w:header="1134" w:footer="1247" w:gutter="0"/>
          <w:cols w:space="720" w:num="1"/>
          <w:docGrid w:linePitch="312" w:charSpace="0"/>
        </w:sectPr>
      </w:pPr>
    </w:p>
    <w:p>
      <w:pPr>
        <w:pStyle w:val="5"/>
        <w:rPr>
          <w:rFonts w:cs="Times New Roman"/>
        </w:rPr>
      </w:pPr>
      <w:r>
        <w:rPr>
          <w:rFonts w:hint="eastAsia" w:cs="Times New Roman"/>
        </w:rPr>
        <w:t xml:space="preserve">3.2.2.3  </w:t>
      </w:r>
      <w:r>
        <w:rPr>
          <w:rFonts w:cs="Times New Roman"/>
        </w:rPr>
        <w:t>职责分工</w:t>
      </w:r>
    </w:p>
    <w:p>
      <w:pPr>
        <w:adjustRightInd w:val="0"/>
        <w:snapToGrid w:val="0"/>
        <w:spacing w:line="460" w:lineRule="exact"/>
        <w:ind w:firstLine="480" w:firstLineChars="200"/>
        <w:rPr>
          <w:rFonts w:cs="Times New Roman"/>
        </w:rPr>
      </w:pPr>
      <w:bookmarkStart w:id="78" w:name="_Toc18828"/>
      <w:bookmarkStart w:id="79" w:name="_Toc24398"/>
      <w:bookmarkStart w:id="80" w:name="_Toc13985"/>
      <w:bookmarkStart w:id="81" w:name="_Toc222287258"/>
      <w:bookmarkStart w:id="82" w:name="_Toc152995857"/>
      <w:bookmarkStart w:id="83" w:name="_Toc156031906"/>
      <w:bookmarkStart w:id="84" w:name="_Toc139949630"/>
      <w:bookmarkStart w:id="85" w:name="_Toc260902120"/>
      <w:bookmarkStart w:id="86" w:name="_Toc263688046"/>
      <w:r>
        <w:rPr>
          <w:rFonts w:cs="Times New Roman"/>
          <w:bCs w:val="0"/>
          <w:sz w:val="24"/>
        </w:rPr>
        <w:t xml:space="preserve">1) </w:t>
      </w:r>
      <w:r>
        <w:rPr>
          <w:rFonts w:hint="eastAsia" w:cs="Times New Roman"/>
          <w:bCs w:val="0"/>
          <w:sz w:val="24"/>
        </w:rPr>
        <w:t>汕尾市人民政府相关部门</w:t>
      </w:r>
      <w:bookmarkEnd w:id="78"/>
      <w:bookmarkEnd w:id="79"/>
      <w:bookmarkEnd w:id="80"/>
    </w:p>
    <w:p>
      <w:pPr>
        <w:adjustRightInd w:val="0"/>
        <w:snapToGrid w:val="0"/>
        <w:spacing w:line="460" w:lineRule="exact"/>
        <w:ind w:firstLine="480" w:firstLineChars="200"/>
        <w:rPr>
          <w:rFonts w:cs="Times New Roman"/>
          <w:sz w:val="24"/>
        </w:rPr>
      </w:pPr>
      <w:r>
        <w:rPr>
          <w:rFonts w:cs="Times New Roman"/>
          <w:sz w:val="24"/>
        </w:rPr>
        <w:t>a) 参与实物指标调查细则和调查登记工作方案的评审；</w:t>
      </w:r>
    </w:p>
    <w:p>
      <w:pPr>
        <w:adjustRightInd w:val="0"/>
        <w:snapToGrid w:val="0"/>
        <w:spacing w:line="460" w:lineRule="exact"/>
        <w:ind w:firstLine="480" w:firstLineChars="200"/>
        <w:rPr>
          <w:rFonts w:cs="Times New Roman"/>
          <w:sz w:val="24"/>
        </w:rPr>
      </w:pPr>
      <w:r>
        <w:rPr>
          <w:rFonts w:cs="Times New Roman"/>
          <w:sz w:val="24"/>
        </w:rPr>
        <w:t>b) 监督、指导、协调实物指标调查工作；</w:t>
      </w:r>
    </w:p>
    <w:p>
      <w:pPr>
        <w:adjustRightInd w:val="0"/>
        <w:snapToGrid w:val="0"/>
        <w:spacing w:line="460" w:lineRule="exact"/>
        <w:ind w:firstLine="480" w:firstLineChars="200"/>
        <w:rPr>
          <w:rFonts w:cs="Times New Roman"/>
          <w:sz w:val="24"/>
        </w:rPr>
      </w:pPr>
      <w:r>
        <w:rPr>
          <w:rFonts w:cs="Times New Roman"/>
          <w:sz w:val="24"/>
        </w:rPr>
        <w:t>c) 参与实物指标调查工作中重大问题的研究。</w:t>
      </w:r>
    </w:p>
    <w:p>
      <w:pPr>
        <w:adjustRightInd w:val="0"/>
        <w:snapToGrid w:val="0"/>
        <w:spacing w:line="460" w:lineRule="exact"/>
        <w:ind w:firstLine="480" w:firstLineChars="200"/>
        <w:rPr>
          <w:rFonts w:cs="Times New Roman"/>
        </w:rPr>
      </w:pPr>
      <w:bookmarkStart w:id="87" w:name="_Toc5067"/>
      <w:bookmarkStart w:id="88" w:name="_Toc10692"/>
      <w:bookmarkStart w:id="89" w:name="_Toc1949"/>
      <w:r>
        <w:rPr>
          <w:rFonts w:hint="eastAsia" w:cs="Times New Roman"/>
          <w:sz w:val="24"/>
        </w:rPr>
        <w:t xml:space="preserve">2) </w:t>
      </w:r>
      <w:r>
        <w:rPr>
          <w:rFonts w:cs="Times New Roman"/>
          <w:sz w:val="24"/>
        </w:rPr>
        <w:t>陆河县人民政府</w:t>
      </w:r>
      <w:bookmarkEnd w:id="81"/>
      <w:bookmarkEnd w:id="82"/>
      <w:bookmarkEnd w:id="83"/>
      <w:bookmarkEnd w:id="84"/>
      <w:r>
        <w:rPr>
          <w:rFonts w:cs="Times New Roman"/>
          <w:sz w:val="24"/>
        </w:rPr>
        <w:t>及相关部门</w:t>
      </w:r>
      <w:bookmarkEnd w:id="85"/>
      <w:bookmarkEnd w:id="86"/>
      <w:bookmarkEnd w:id="87"/>
      <w:bookmarkEnd w:id="88"/>
      <w:bookmarkEnd w:id="89"/>
    </w:p>
    <w:p>
      <w:pPr>
        <w:adjustRightInd w:val="0"/>
        <w:snapToGrid w:val="0"/>
        <w:spacing w:line="460" w:lineRule="exact"/>
        <w:ind w:firstLine="480" w:firstLineChars="200"/>
        <w:rPr>
          <w:rFonts w:cs="Times New Roman"/>
          <w:sz w:val="24"/>
        </w:rPr>
      </w:pPr>
      <w:r>
        <w:rPr>
          <w:rFonts w:cs="Times New Roman"/>
          <w:sz w:val="24"/>
        </w:rPr>
        <w:t>a) 参与调查细则和调查登记工作方案的评审；</w:t>
      </w:r>
    </w:p>
    <w:p>
      <w:pPr>
        <w:adjustRightInd w:val="0"/>
        <w:snapToGrid w:val="0"/>
        <w:spacing w:line="460" w:lineRule="exact"/>
        <w:ind w:firstLine="480" w:firstLineChars="200"/>
        <w:rPr>
          <w:rFonts w:cs="Times New Roman"/>
          <w:sz w:val="24"/>
        </w:rPr>
      </w:pPr>
      <w:r>
        <w:rPr>
          <w:rFonts w:cs="Times New Roman"/>
          <w:sz w:val="24"/>
        </w:rPr>
        <w:t>b) 负责界桩的保管工作；</w:t>
      </w:r>
    </w:p>
    <w:p>
      <w:pPr>
        <w:adjustRightInd w:val="0"/>
        <w:snapToGrid w:val="0"/>
        <w:spacing w:line="460" w:lineRule="exact"/>
        <w:ind w:firstLine="480" w:firstLineChars="200"/>
        <w:rPr>
          <w:rFonts w:cs="Times New Roman"/>
          <w:sz w:val="24"/>
        </w:rPr>
      </w:pPr>
      <w:r>
        <w:rPr>
          <w:rFonts w:cs="Times New Roman"/>
          <w:sz w:val="24"/>
        </w:rPr>
        <w:t>c) 负责与调查工作有关的宣传、动员与安全保障；</w:t>
      </w:r>
    </w:p>
    <w:p>
      <w:pPr>
        <w:adjustRightInd w:val="0"/>
        <w:snapToGrid w:val="0"/>
        <w:spacing w:line="460" w:lineRule="exact"/>
        <w:ind w:firstLine="480" w:firstLineChars="200"/>
        <w:rPr>
          <w:rFonts w:cs="Times New Roman"/>
          <w:sz w:val="24"/>
        </w:rPr>
      </w:pPr>
      <w:r>
        <w:rPr>
          <w:rFonts w:cs="Times New Roman"/>
          <w:sz w:val="24"/>
        </w:rPr>
        <w:t>d) 组织建设征地范围内实物指标调查工作；</w:t>
      </w:r>
    </w:p>
    <w:p>
      <w:pPr>
        <w:adjustRightInd w:val="0"/>
        <w:snapToGrid w:val="0"/>
        <w:spacing w:line="460" w:lineRule="exact"/>
        <w:ind w:firstLine="480" w:firstLineChars="200"/>
        <w:rPr>
          <w:rFonts w:cs="Times New Roman"/>
          <w:sz w:val="24"/>
        </w:rPr>
      </w:pPr>
      <w:r>
        <w:rPr>
          <w:rFonts w:cs="Times New Roman"/>
          <w:sz w:val="24"/>
        </w:rPr>
        <w:t>e) 负责调查过程中有关争议的处理；</w:t>
      </w:r>
    </w:p>
    <w:p>
      <w:pPr>
        <w:adjustRightInd w:val="0"/>
        <w:snapToGrid w:val="0"/>
        <w:spacing w:line="460" w:lineRule="exact"/>
        <w:ind w:firstLine="480" w:firstLineChars="200"/>
        <w:rPr>
          <w:rFonts w:cs="Times New Roman"/>
          <w:sz w:val="24"/>
        </w:rPr>
      </w:pPr>
      <w:r>
        <w:rPr>
          <w:rFonts w:cs="Times New Roman"/>
          <w:sz w:val="24"/>
        </w:rPr>
        <w:t>f) 主持实物指标调查工作中重大问题的研究；</w:t>
      </w:r>
    </w:p>
    <w:p>
      <w:pPr>
        <w:adjustRightInd w:val="0"/>
        <w:snapToGrid w:val="0"/>
        <w:spacing w:line="460" w:lineRule="exact"/>
        <w:ind w:firstLine="480" w:firstLineChars="200"/>
        <w:rPr>
          <w:rFonts w:cs="Times New Roman"/>
          <w:sz w:val="24"/>
        </w:rPr>
      </w:pPr>
      <w:r>
        <w:rPr>
          <w:rFonts w:cs="Times New Roman"/>
          <w:sz w:val="24"/>
        </w:rPr>
        <w:t>g) 负责组织移民与有关各方对调查成果签字、公示、复核；</w:t>
      </w:r>
    </w:p>
    <w:p>
      <w:pPr>
        <w:adjustRightInd w:val="0"/>
        <w:snapToGrid w:val="0"/>
        <w:spacing w:line="460" w:lineRule="exact"/>
        <w:ind w:firstLine="480" w:firstLineChars="200"/>
        <w:rPr>
          <w:rFonts w:cs="Times New Roman"/>
          <w:sz w:val="24"/>
        </w:rPr>
      </w:pPr>
      <w:r>
        <w:rPr>
          <w:rFonts w:cs="Times New Roman"/>
          <w:sz w:val="24"/>
        </w:rPr>
        <w:t>h) 负责对实物指标成果审核、签署意见；</w:t>
      </w:r>
    </w:p>
    <w:p>
      <w:pPr>
        <w:adjustRightInd w:val="0"/>
        <w:snapToGrid w:val="0"/>
        <w:spacing w:line="460" w:lineRule="exact"/>
        <w:ind w:firstLine="480" w:firstLineChars="200"/>
        <w:rPr>
          <w:rFonts w:cs="Times New Roman"/>
          <w:sz w:val="24"/>
        </w:rPr>
      </w:pPr>
      <w:r>
        <w:rPr>
          <w:rFonts w:cs="Times New Roman"/>
          <w:sz w:val="24"/>
        </w:rPr>
        <w:t>i) 负责提供正式、有效、合法的基础资料；</w:t>
      </w:r>
    </w:p>
    <w:p>
      <w:pPr>
        <w:adjustRightInd w:val="0"/>
        <w:snapToGrid w:val="0"/>
        <w:spacing w:line="460" w:lineRule="exact"/>
        <w:ind w:firstLine="480" w:firstLineChars="200"/>
        <w:rPr>
          <w:rFonts w:cs="Times New Roman"/>
          <w:sz w:val="24"/>
        </w:rPr>
      </w:pPr>
      <w:r>
        <w:rPr>
          <w:rFonts w:cs="Times New Roman"/>
          <w:sz w:val="24"/>
        </w:rPr>
        <w:t>j) 负责移民安置意愿调查；</w:t>
      </w:r>
    </w:p>
    <w:p>
      <w:pPr>
        <w:adjustRightInd w:val="0"/>
        <w:snapToGrid w:val="0"/>
        <w:spacing w:line="460" w:lineRule="exact"/>
        <w:ind w:firstLine="480" w:firstLineChars="200"/>
        <w:rPr>
          <w:rFonts w:cs="Times New Roman"/>
          <w:sz w:val="24"/>
        </w:rPr>
      </w:pPr>
      <w:r>
        <w:rPr>
          <w:rFonts w:cs="Times New Roman"/>
          <w:sz w:val="24"/>
        </w:rPr>
        <w:t>k) 对扩迁区搬迁安置对象出具正式确认文件；</w:t>
      </w:r>
    </w:p>
    <w:p>
      <w:pPr>
        <w:adjustRightInd w:val="0"/>
        <w:snapToGrid w:val="0"/>
        <w:spacing w:line="460" w:lineRule="exact"/>
        <w:ind w:firstLine="480" w:firstLineChars="200"/>
        <w:rPr>
          <w:rFonts w:cs="Times New Roman"/>
          <w:sz w:val="24"/>
        </w:rPr>
      </w:pPr>
      <w:r>
        <w:rPr>
          <w:rFonts w:cs="Times New Roman"/>
          <w:sz w:val="24"/>
        </w:rPr>
        <w:t>l) 负责制订和开展在实物指标调查过程中的维稳工作预案及应急措施。</w:t>
      </w:r>
    </w:p>
    <w:p>
      <w:pPr>
        <w:adjustRightInd w:val="0"/>
        <w:snapToGrid w:val="0"/>
        <w:spacing w:line="460" w:lineRule="exact"/>
        <w:ind w:firstLine="480" w:firstLineChars="200"/>
        <w:rPr>
          <w:rFonts w:cs="Times New Roman"/>
        </w:rPr>
      </w:pPr>
      <w:bookmarkStart w:id="90" w:name="_Toc12639"/>
      <w:bookmarkStart w:id="91" w:name="_Toc31770"/>
      <w:r>
        <w:rPr>
          <w:rFonts w:hint="eastAsia" w:cs="Times New Roman"/>
          <w:sz w:val="24"/>
        </w:rPr>
        <w:t xml:space="preserve">3) </w:t>
      </w:r>
      <w:r>
        <w:rPr>
          <w:rFonts w:cs="Times New Roman"/>
          <w:sz w:val="24"/>
        </w:rPr>
        <w:t>陆蓄公司</w:t>
      </w:r>
      <w:bookmarkEnd w:id="90"/>
      <w:bookmarkEnd w:id="91"/>
    </w:p>
    <w:p>
      <w:pPr>
        <w:adjustRightInd w:val="0"/>
        <w:snapToGrid w:val="0"/>
        <w:spacing w:line="460" w:lineRule="exact"/>
        <w:ind w:firstLine="480" w:firstLineChars="200"/>
        <w:rPr>
          <w:rFonts w:cs="Times New Roman"/>
          <w:sz w:val="24"/>
        </w:rPr>
      </w:pPr>
      <w:r>
        <w:rPr>
          <w:rFonts w:cs="Times New Roman"/>
          <w:sz w:val="24"/>
        </w:rPr>
        <w:t>a) 委托设计单位编制实物指标调查细则；</w:t>
      </w:r>
    </w:p>
    <w:p>
      <w:pPr>
        <w:adjustRightInd w:val="0"/>
        <w:snapToGrid w:val="0"/>
        <w:spacing w:line="460" w:lineRule="exact"/>
        <w:ind w:firstLine="480" w:firstLineChars="200"/>
        <w:rPr>
          <w:rFonts w:cs="Times New Roman"/>
          <w:sz w:val="24"/>
        </w:rPr>
      </w:pPr>
      <w:r>
        <w:rPr>
          <w:rFonts w:cs="Times New Roman"/>
          <w:sz w:val="24"/>
        </w:rPr>
        <w:t>b) 会同</w:t>
      </w:r>
      <w:r>
        <w:rPr>
          <w:rFonts w:hint="eastAsia" w:cs="Times New Roman"/>
          <w:sz w:val="24"/>
        </w:rPr>
        <w:t>陆河</w:t>
      </w:r>
      <w:r>
        <w:rPr>
          <w:rFonts w:cs="Times New Roman"/>
          <w:sz w:val="24"/>
        </w:rPr>
        <w:t>县人民政府组织相关单位、专家对调查细则进行审查；</w:t>
      </w:r>
    </w:p>
    <w:p>
      <w:pPr>
        <w:adjustRightInd w:val="0"/>
        <w:snapToGrid w:val="0"/>
        <w:spacing w:line="460" w:lineRule="exact"/>
        <w:ind w:firstLine="480" w:firstLineChars="200"/>
        <w:rPr>
          <w:rFonts w:cs="Times New Roman"/>
          <w:sz w:val="24"/>
        </w:rPr>
      </w:pPr>
      <w:r>
        <w:rPr>
          <w:rFonts w:cs="Times New Roman"/>
          <w:sz w:val="24"/>
        </w:rPr>
        <w:t>c) 会同</w:t>
      </w:r>
      <w:r>
        <w:rPr>
          <w:rFonts w:hint="eastAsia" w:cs="Times New Roman"/>
          <w:sz w:val="24"/>
        </w:rPr>
        <w:t>中南院</w:t>
      </w:r>
      <w:r>
        <w:rPr>
          <w:rFonts w:cs="Times New Roman"/>
          <w:sz w:val="24"/>
        </w:rPr>
        <w:t>落实实物指标调查工作的范围、内容与程序；</w:t>
      </w:r>
    </w:p>
    <w:p>
      <w:pPr>
        <w:adjustRightInd w:val="0"/>
        <w:snapToGrid w:val="0"/>
        <w:spacing w:line="460" w:lineRule="exact"/>
        <w:ind w:firstLine="480" w:firstLineChars="200"/>
        <w:rPr>
          <w:rFonts w:cs="Times New Roman"/>
          <w:sz w:val="24"/>
        </w:rPr>
      </w:pPr>
      <w:r>
        <w:rPr>
          <w:rFonts w:cs="Times New Roman"/>
          <w:sz w:val="24"/>
        </w:rPr>
        <w:t>d) 委托界桩测设；</w:t>
      </w:r>
    </w:p>
    <w:p>
      <w:pPr>
        <w:adjustRightInd w:val="0"/>
        <w:snapToGrid w:val="0"/>
        <w:spacing w:line="460" w:lineRule="exact"/>
        <w:ind w:firstLine="480" w:firstLineChars="200"/>
        <w:rPr>
          <w:rFonts w:cs="Times New Roman"/>
          <w:sz w:val="24"/>
        </w:rPr>
      </w:pPr>
      <w:r>
        <w:rPr>
          <w:rFonts w:cs="Times New Roman"/>
          <w:sz w:val="24"/>
        </w:rPr>
        <w:t>e) 负责界桩的验收和委托保管工作；</w:t>
      </w:r>
    </w:p>
    <w:p>
      <w:pPr>
        <w:adjustRightInd w:val="0"/>
        <w:snapToGrid w:val="0"/>
        <w:spacing w:line="460" w:lineRule="exact"/>
        <w:ind w:firstLine="480" w:firstLineChars="200"/>
        <w:rPr>
          <w:rFonts w:cs="Times New Roman"/>
          <w:sz w:val="24"/>
        </w:rPr>
      </w:pPr>
      <w:r>
        <w:rPr>
          <w:rFonts w:cs="Times New Roman"/>
          <w:sz w:val="24"/>
        </w:rPr>
        <w:t>f) 会同</w:t>
      </w:r>
      <w:r>
        <w:rPr>
          <w:rFonts w:hint="eastAsia" w:cs="Times New Roman"/>
          <w:sz w:val="24"/>
        </w:rPr>
        <w:t>陆河</w:t>
      </w:r>
      <w:r>
        <w:rPr>
          <w:rFonts w:cs="Times New Roman"/>
          <w:sz w:val="24"/>
        </w:rPr>
        <w:t>县人民政府，</w:t>
      </w:r>
      <w:r>
        <w:rPr>
          <w:rFonts w:hint="eastAsia" w:cs="Times New Roman"/>
          <w:sz w:val="24"/>
        </w:rPr>
        <w:t>中南院</w:t>
      </w:r>
      <w:r>
        <w:rPr>
          <w:rFonts w:cs="Times New Roman"/>
          <w:sz w:val="24"/>
        </w:rPr>
        <w:t>开展实物指标调查工作；</w:t>
      </w:r>
    </w:p>
    <w:p>
      <w:pPr>
        <w:adjustRightInd w:val="0"/>
        <w:snapToGrid w:val="0"/>
        <w:spacing w:line="460" w:lineRule="exact"/>
        <w:ind w:firstLine="480" w:firstLineChars="200"/>
        <w:rPr>
          <w:rFonts w:cs="Times New Roman"/>
          <w:sz w:val="24"/>
        </w:rPr>
      </w:pPr>
      <w:r>
        <w:rPr>
          <w:rFonts w:cs="Times New Roman"/>
          <w:sz w:val="24"/>
        </w:rPr>
        <w:t>g) 参与调查成果的签字、公示、复核、并对其签署意见；</w:t>
      </w:r>
    </w:p>
    <w:p>
      <w:pPr>
        <w:adjustRightInd w:val="0"/>
        <w:snapToGrid w:val="0"/>
        <w:spacing w:line="460" w:lineRule="exact"/>
        <w:ind w:firstLine="480" w:firstLineChars="200"/>
        <w:rPr>
          <w:rFonts w:cs="Times New Roman"/>
          <w:sz w:val="24"/>
        </w:rPr>
      </w:pPr>
      <w:r>
        <w:rPr>
          <w:rFonts w:cs="Times New Roman"/>
          <w:sz w:val="24"/>
        </w:rPr>
        <w:t>h) 参与研究实物指标调查工作中的重大问题；</w:t>
      </w:r>
    </w:p>
    <w:p>
      <w:pPr>
        <w:adjustRightInd w:val="0"/>
        <w:snapToGrid w:val="0"/>
        <w:spacing w:line="460" w:lineRule="exact"/>
        <w:ind w:firstLine="480" w:firstLineChars="200"/>
        <w:rPr>
          <w:rFonts w:cs="Times New Roman"/>
          <w:sz w:val="24"/>
        </w:rPr>
      </w:pPr>
      <w:r>
        <w:rPr>
          <w:rFonts w:cs="Times New Roman"/>
          <w:sz w:val="24"/>
        </w:rPr>
        <w:t>i) 负责协调各相关单位与地方政府的关系；</w:t>
      </w:r>
    </w:p>
    <w:p>
      <w:pPr>
        <w:adjustRightInd w:val="0"/>
        <w:snapToGrid w:val="0"/>
        <w:spacing w:line="460" w:lineRule="exact"/>
        <w:ind w:firstLine="480" w:firstLineChars="200"/>
        <w:rPr>
          <w:rFonts w:cs="Times New Roman"/>
          <w:sz w:val="24"/>
        </w:rPr>
      </w:pPr>
      <w:r>
        <w:rPr>
          <w:rFonts w:cs="Times New Roman"/>
          <w:sz w:val="24"/>
        </w:rPr>
        <w:t>j) 负责调查工作经费。</w:t>
      </w:r>
    </w:p>
    <w:p>
      <w:pPr>
        <w:adjustRightInd w:val="0"/>
        <w:snapToGrid w:val="0"/>
        <w:spacing w:line="460" w:lineRule="exact"/>
        <w:ind w:firstLine="480" w:firstLineChars="200"/>
        <w:rPr>
          <w:rFonts w:cs="Times New Roman"/>
        </w:rPr>
      </w:pPr>
      <w:bookmarkStart w:id="92" w:name="_Toc12277"/>
      <w:bookmarkStart w:id="93" w:name="_Toc26944"/>
      <w:bookmarkStart w:id="94" w:name="_Toc29959"/>
      <w:r>
        <w:rPr>
          <w:rFonts w:hint="eastAsia" w:cs="Times New Roman"/>
          <w:sz w:val="24"/>
        </w:rPr>
        <w:t xml:space="preserve">4) </w:t>
      </w:r>
      <w:r>
        <w:rPr>
          <w:rFonts w:cs="Times New Roman"/>
          <w:sz w:val="24"/>
        </w:rPr>
        <w:t>中南院</w:t>
      </w:r>
      <w:bookmarkEnd w:id="92"/>
      <w:bookmarkEnd w:id="93"/>
      <w:bookmarkEnd w:id="94"/>
    </w:p>
    <w:p>
      <w:pPr>
        <w:adjustRightInd w:val="0"/>
        <w:snapToGrid w:val="0"/>
        <w:spacing w:line="460" w:lineRule="exact"/>
        <w:ind w:firstLine="480" w:firstLineChars="200"/>
        <w:rPr>
          <w:rFonts w:cs="Times New Roman"/>
          <w:sz w:val="24"/>
        </w:rPr>
      </w:pPr>
      <w:r>
        <w:rPr>
          <w:rFonts w:cs="Times New Roman"/>
          <w:sz w:val="24"/>
        </w:rPr>
        <w:t>a) 配合项目法人落实实物指标调查工作的范围、内容与程序；</w:t>
      </w:r>
    </w:p>
    <w:p>
      <w:pPr>
        <w:adjustRightInd w:val="0"/>
        <w:snapToGrid w:val="0"/>
        <w:spacing w:line="460" w:lineRule="exact"/>
        <w:ind w:firstLine="480" w:firstLineChars="200"/>
        <w:rPr>
          <w:rFonts w:cs="Times New Roman"/>
          <w:sz w:val="24"/>
        </w:rPr>
      </w:pPr>
      <w:r>
        <w:rPr>
          <w:rFonts w:cs="Times New Roman"/>
          <w:sz w:val="24"/>
        </w:rPr>
        <w:t>b) 配合项目法人落实文物、压覆矿产、林业、国土等专业单位调查工作事宜；</w:t>
      </w:r>
    </w:p>
    <w:p>
      <w:pPr>
        <w:adjustRightInd w:val="0"/>
        <w:snapToGrid w:val="0"/>
        <w:spacing w:line="460" w:lineRule="exact"/>
        <w:ind w:firstLine="480" w:firstLineChars="200"/>
        <w:rPr>
          <w:rFonts w:cs="Times New Roman"/>
          <w:sz w:val="24"/>
        </w:rPr>
      </w:pPr>
      <w:r>
        <w:rPr>
          <w:rFonts w:cs="Times New Roman"/>
          <w:sz w:val="24"/>
        </w:rPr>
        <w:t>c) 编制实物指标调查细则；</w:t>
      </w:r>
    </w:p>
    <w:p>
      <w:pPr>
        <w:adjustRightInd w:val="0"/>
        <w:snapToGrid w:val="0"/>
        <w:spacing w:line="460" w:lineRule="exact"/>
        <w:ind w:firstLine="480" w:firstLineChars="200"/>
        <w:rPr>
          <w:rFonts w:cs="Times New Roman"/>
          <w:sz w:val="24"/>
        </w:rPr>
      </w:pPr>
      <w:r>
        <w:rPr>
          <w:rFonts w:cs="Times New Roman"/>
          <w:sz w:val="24"/>
        </w:rPr>
        <w:t>d) 负责组织开展具体的调查工作和技术归口；</w:t>
      </w:r>
    </w:p>
    <w:p>
      <w:pPr>
        <w:adjustRightInd w:val="0"/>
        <w:snapToGrid w:val="0"/>
        <w:spacing w:line="460" w:lineRule="exact"/>
        <w:ind w:firstLine="480" w:firstLineChars="200"/>
        <w:rPr>
          <w:rFonts w:cs="Times New Roman"/>
          <w:sz w:val="24"/>
        </w:rPr>
      </w:pPr>
      <w:r>
        <w:rPr>
          <w:rFonts w:cs="Times New Roman"/>
          <w:sz w:val="24"/>
        </w:rPr>
        <w:t>e) 提供实物指标调查的技术服务工作；</w:t>
      </w:r>
    </w:p>
    <w:p>
      <w:pPr>
        <w:adjustRightInd w:val="0"/>
        <w:snapToGrid w:val="0"/>
        <w:spacing w:line="460" w:lineRule="exact"/>
        <w:ind w:firstLine="480" w:firstLineChars="200"/>
        <w:rPr>
          <w:rFonts w:cs="Times New Roman"/>
          <w:sz w:val="24"/>
        </w:rPr>
      </w:pPr>
      <w:r>
        <w:rPr>
          <w:rFonts w:cs="Times New Roman"/>
          <w:sz w:val="24"/>
        </w:rPr>
        <w:t>f) 参与实物指标调查工作中重大问题的研究；</w:t>
      </w:r>
    </w:p>
    <w:p>
      <w:pPr>
        <w:adjustRightInd w:val="0"/>
        <w:snapToGrid w:val="0"/>
        <w:spacing w:line="460" w:lineRule="exact"/>
        <w:ind w:firstLine="480" w:firstLineChars="200"/>
        <w:rPr>
          <w:rFonts w:cs="Times New Roman"/>
          <w:sz w:val="24"/>
        </w:rPr>
      </w:pPr>
      <w:r>
        <w:rPr>
          <w:rFonts w:cs="Times New Roman"/>
          <w:sz w:val="24"/>
        </w:rPr>
        <w:t>g) 参与调查成果的签字、汇总、公示、复核、确认。</w:t>
      </w:r>
    </w:p>
    <w:p>
      <w:pPr>
        <w:pStyle w:val="5"/>
      </w:pPr>
      <w:r>
        <w:t>3.2.2.</w:t>
      </w:r>
      <w:r>
        <w:rPr>
          <w:rFonts w:hint="eastAsia"/>
        </w:rPr>
        <w:t xml:space="preserve">4 </w:t>
      </w:r>
      <w:r>
        <w:t xml:space="preserve"> 宣传动员</w:t>
      </w:r>
    </w:p>
    <w:p>
      <w:pPr>
        <w:overflowPunct w:val="0"/>
        <w:autoSpaceDE w:val="0"/>
        <w:autoSpaceDN w:val="0"/>
        <w:adjustRightInd w:val="0"/>
        <w:spacing w:line="480" w:lineRule="exact"/>
        <w:ind w:firstLine="480" w:firstLineChars="200"/>
        <w:rPr>
          <w:sz w:val="24"/>
        </w:rPr>
      </w:pPr>
      <w:r>
        <w:rPr>
          <w:sz w:val="24"/>
        </w:rPr>
        <w:t>2021</w:t>
      </w:r>
      <w:r>
        <w:rPr>
          <w:rFonts w:hAnsi="宋体"/>
          <w:sz w:val="24"/>
        </w:rPr>
        <w:t>年</w:t>
      </w:r>
      <w:r>
        <w:rPr>
          <w:rFonts w:hint="eastAsia" w:hAnsi="宋体"/>
          <w:sz w:val="24"/>
        </w:rPr>
        <w:t>1</w:t>
      </w:r>
      <w:r>
        <w:rPr>
          <w:rFonts w:hAnsi="宋体"/>
          <w:sz w:val="24"/>
        </w:rPr>
        <w:t>0月</w:t>
      </w:r>
      <w:r>
        <w:rPr>
          <w:sz w:val="24"/>
        </w:rPr>
        <w:t>16</w:t>
      </w:r>
      <w:r>
        <w:rPr>
          <w:rFonts w:hAnsi="宋体"/>
          <w:sz w:val="24"/>
        </w:rPr>
        <w:t>日，由</w:t>
      </w:r>
      <w:r>
        <w:rPr>
          <w:rFonts w:hint="eastAsia" w:hAnsi="宋体"/>
          <w:sz w:val="24"/>
        </w:rPr>
        <w:t>陆河</w:t>
      </w:r>
      <w:r>
        <w:rPr>
          <w:rFonts w:hAnsi="宋体"/>
          <w:sz w:val="24"/>
        </w:rPr>
        <w:t>县人民政府组织召开了</w:t>
      </w:r>
      <w:r>
        <w:rPr>
          <w:rFonts w:hint="eastAsia" w:hAnsi="宋体"/>
          <w:sz w:val="24"/>
        </w:rPr>
        <w:t>陆河</w:t>
      </w:r>
      <w:r>
        <w:rPr>
          <w:rFonts w:hAnsi="宋体"/>
          <w:sz w:val="24"/>
        </w:rPr>
        <w:t>抽水蓄能电站实物指标调查启动会议，</w:t>
      </w:r>
      <w:r>
        <w:rPr>
          <w:rFonts w:hint="eastAsia" w:hAnsi="宋体"/>
          <w:sz w:val="24"/>
        </w:rPr>
        <w:t>陆河</w:t>
      </w:r>
      <w:r>
        <w:rPr>
          <w:rFonts w:hAnsi="宋体"/>
          <w:sz w:val="24"/>
        </w:rPr>
        <w:t>县人民政府及相关职能部门、各乡镇人民政府、</w:t>
      </w:r>
      <w:r>
        <w:rPr>
          <w:rFonts w:hint="eastAsia" w:hAnsi="宋体"/>
          <w:color w:val="000000"/>
          <w:sz w:val="24"/>
        </w:rPr>
        <w:t>广东能源陆河蓄能发电有限公司</w:t>
      </w:r>
      <w:r>
        <w:rPr>
          <w:rFonts w:hAnsi="宋体"/>
          <w:sz w:val="24"/>
        </w:rPr>
        <w:t>及</w:t>
      </w:r>
      <w:r>
        <w:rPr>
          <w:rFonts w:hint="eastAsia" w:hAnsi="宋体"/>
          <w:sz w:val="24"/>
        </w:rPr>
        <w:t>我院</w:t>
      </w:r>
      <w:r>
        <w:rPr>
          <w:rFonts w:hAnsi="宋体"/>
          <w:sz w:val="24"/>
        </w:rPr>
        <w:t>有关领导及人员参加了会议。会议中</w:t>
      </w:r>
      <w:r>
        <w:rPr>
          <w:rFonts w:hint="eastAsia" w:hAnsi="宋体"/>
          <w:sz w:val="24"/>
        </w:rPr>
        <w:t>陆河</w:t>
      </w:r>
      <w:r>
        <w:rPr>
          <w:rFonts w:hAnsi="宋体"/>
          <w:sz w:val="24"/>
        </w:rPr>
        <w:t>县就</w:t>
      </w:r>
      <w:r>
        <w:rPr>
          <w:rFonts w:hint="eastAsia" w:hAnsi="宋体"/>
          <w:sz w:val="24"/>
        </w:rPr>
        <w:t>陆河</w:t>
      </w:r>
      <w:r>
        <w:rPr>
          <w:rFonts w:hAnsi="宋体"/>
          <w:sz w:val="24"/>
        </w:rPr>
        <w:t>抽水蓄能电站实物指标调查工作的重要性进行了宣传动员，并由我院对参加本次实物指标调查工作的人员进行了业务培训。</w:t>
      </w:r>
    </w:p>
    <w:p>
      <w:pPr>
        <w:pStyle w:val="4"/>
      </w:pPr>
      <w:bookmarkStart w:id="95" w:name="_Toc85660207"/>
      <w:bookmarkStart w:id="96" w:name="_Toc85632439"/>
      <w:bookmarkStart w:id="97" w:name="_Toc85487684"/>
      <w:r>
        <w:t>3.2.3  调查</w:t>
      </w:r>
      <w:r>
        <w:rPr>
          <w:rFonts w:hint="eastAsia"/>
        </w:rPr>
        <w:t>统计基准时间</w:t>
      </w:r>
      <w:bookmarkEnd w:id="95"/>
      <w:bookmarkEnd w:id="96"/>
      <w:bookmarkEnd w:id="97"/>
    </w:p>
    <w:p>
      <w:pPr>
        <w:overflowPunct w:val="0"/>
        <w:autoSpaceDE w:val="0"/>
        <w:autoSpaceDN w:val="0"/>
        <w:adjustRightInd w:val="0"/>
        <w:spacing w:line="480" w:lineRule="exact"/>
        <w:ind w:firstLine="480" w:firstLineChars="200"/>
        <w:rPr>
          <w:kern w:val="0"/>
          <w:sz w:val="24"/>
        </w:rPr>
      </w:pPr>
      <w:r>
        <w:rPr>
          <w:rFonts w:hAnsi="宋体"/>
          <w:kern w:val="0"/>
          <w:sz w:val="24"/>
        </w:rPr>
        <w:t>根据《调查细则》</w:t>
      </w:r>
      <w:r>
        <w:rPr>
          <w:rFonts w:hint="eastAsia" w:hAnsi="宋体"/>
          <w:kern w:val="0"/>
          <w:sz w:val="24"/>
        </w:rPr>
        <w:t>，</w:t>
      </w:r>
      <w:r>
        <w:rPr>
          <w:rFonts w:hAnsi="宋体"/>
          <w:kern w:val="0"/>
          <w:sz w:val="24"/>
        </w:rPr>
        <w:t>以</w:t>
      </w:r>
      <w:r>
        <w:rPr>
          <w:rFonts w:hint="eastAsia" w:hAnsi="宋体"/>
          <w:sz w:val="24"/>
        </w:rPr>
        <w:t>广东</w:t>
      </w:r>
      <w:r>
        <w:rPr>
          <w:rFonts w:hAnsi="宋体"/>
          <w:sz w:val="24"/>
        </w:rPr>
        <w:t>省</w:t>
      </w:r>
      <w:r>
        <w:rPr>
          <w:rFonts w:hAnsi="宋体"/>
          <w:kern w:val="0"/>
          <w:sz w:val="24"/>
        </w:rPr>
        <w:t>人民政府发布</w:t>
      </w:r>
      <w:r>
        <w:rPr>
          <w:rFonts w:hint="eastAsia" w:hAnsi="宋体"/>
          <w:kern w:val="0"/>
          <w:sz w:val="24"/>
        </w:rPr>
        <w:t>《广东省人民政府关于禁止在广东陆河抽水蓄能电站项目工程占地及淹没区新增建设项目和迁入人口的通告》(粤府函〔2021〕368号)</w:t>
      </w:r>
      <w:r>
        <w:rPr>
          <w:rFonts w:hAnsi="宋体"/>
          <w:kern w:val="0"/>
          <w:sz w:val="24"/>
        </w:rPr>
        <w:t>时间为</w:t>
      </w:r>
      <w:r>
        <w:rPr>
          <w:rFonts w:hint="eastAsia" w:hAnsi="宋体"/>
          <w:kern w:val="0"/>
          <w:sz w:val="24"/>
        </w:rPr>
        <w:t>统计</w:t>
      </w:r>
      <w:r>
        <w:rPr>
          <w:rFonts w:hAnsi="宋体"/>
          <w:kern w:val="0"/>
          <w:sz w:val="24"/>
        </w:rPr>
        <w:t>基准时间，即</w:t>
      </w:r>
      <w:r>
        <w:rPr>
          <w:rFonts w:hint="eastAsia" w:hAnsi="宋体"/>
          <w:kern w:val="0"/>
          <w:sz w:val="24"/>
        </w:rPr>
        <w:t>2021年12月13日</w:t>
      </w:r>
      <w:r>
        <w:rPr>
          <w:rFonts w:hAnsi="宋体"/>
          <w:kern w:val="0"/>
          <w:sz w:val="24"/>
        </w:rPr>
        <w:t>。</w:t>
      </w:r>
    </w:p>
    <w:p>
      <w:pPr>
        <w:pStyle w:val="4"/>
      </w:pPr>
      <w:bookmarkStart w:id="98" w:name="_Toc85660208"/>
      <w:bookmarkStart w:id="99" w:name="_Toc85487685"/>
      <w:bookmarkStart w:id="100" w:name="_Toc85632440"/>
      <w:r>
        <w:t>3.2.4  调查内容和方法</w:t>
      </w:r>
      <w:bookmarkEnd w:id="98"/>
      <w:bookmarkEnd w:id="99"/>
      <w:bookmarkEnd w:id="100"/>
    </w:p>
    <w:p>
      <w:pPr>
        <w:overflowPunct w:val="0"/>
        <w:autoSpaceDE w:val="0"/>
        <w:autoSpaceDN w:val="0"/>
        <w:adjustRightInd w:val="0"/>
        <w:spacing w:line="480" w:lineRule="exact"/>
        <w:ind w:firstLine="480" w:firstLineChars="200"/>
        <w:rPr>
          <w:sz w:val="24"/>
        </w:rPr>
      </w:pPr>
      <w:r>
        <w:rPr>
          <w:rFonts w:hint="eastAsia" w:hAnsi="宋体"/>
          <w:kern w:val="0"/>
          <w:sz w:val="24"/>
        </w:rPr>
        <w:t>陆河</w:t>
      </w:r>
      <w:r>
        <w:rPr>
          <w:rFonts w:hAnsi="宋体"/>
          <w:spacing w:val="-2"/>
          <w:kern w:val="0"/>
          <w:sz w:val="24"/>
        </w:rPr>
        <w:t>抽水蓄能电站实物指标调查范围包括经济</w:t>
      </w:r>
      <w:r>
        <w:rPr>
          <w:rFonts w:hAnsi="宋体"/>
          <w:spacing w:val="-2"/>
          <w:sz w:val="24"/>
        </w:rPr>
        <w:t>社会</w:t>
      </w:r>
      <w:r>
        <w:rPr>
          <w:rFonts w:hAnsi="宋体"/>
          <w:spacing w:val="-2"/>
          <w:kern w:val="0"/>
          <w:sz w:val="24"/>
        </w:rPr>
        <w:t>调查、农村调查和专业项目调查。依据不同类别项目对应的调查方式收集资料或现场调查后，相应调查成果应由被调查者</w:t>
      </w:r>
      <w:r>
        <w:rPr>
          <w:spacing w:val="-2"/>
          <w:kern w:val="0"/>
          <w:sz w:val="24"/>
        </w:rPr>
        <w:t>(</w:t>
      </w:r>
      <w:r>
        <w:rPr>
          <w:rFonts w:hAnsi="宋体"/>
          <w:spacing w:val="-2"/>
          <w:kern w:val="0"/>
          <w:sz w:val="24"/>
        </w:rPr>
        <w:t>权属人</w:t>
      </w:r>
      <w:r>
        <w:rPr>
          <w:spacing w:val="-2"/>
          <w:kern w:val="0"/>
          <w:sz w:val="24"/>
        </w:rPr>
        <w:t>)</w:t>
      </w:r>
      <w:r>
        <w:rPr>
          <w:rFonts w:hAnsi="宋体"/>
          <w:spacing w:val="-2"/>
          <w:kern w:val="0"/>
          <w:sz w:val="24"/>
        </w:rPr>
        <w:t>和调查组参与各方签字确认。经公示复核后，由</w:t>
      </w:r>
      <w:r>
        <w:rPr>
          <w:rFonts w:hint="eastAsia" w:hAnsi="宋体"/>
          <w:spacing w:val="-2"/>
          <w:kern w:val="0"/>
          <w:sz w:val="24"/>
        </w:rPr>
        <w:t>陆河</w:t>
      </w:r>
      <w:r>
        <w:rPr>
          <w:rFonts w:hAnsi="宋体"/>
          <w:spacing w:val="-2"/>
          <w:kern w:val="0"/>
          <w:sz w:val="24"/>
        </w:rPr>
        <w:t>县人民政府确认</w:t>
      </w:r>
      <w:r>
        <w:rPr>
          <w:rFonts w:hAnsi="宋体"/>
          <w:spacing w:val="-2"/>
          <w:sz w:val="24"/>
        </w:rPr>
        <w:t>。</w:t>
      </w:r>
    </w:p>
    <w:p>
      <w:pPr>
        <w:pStyle w:val="5"/>
      </w:pPr>
      <w:r>
        <w:t>3.2.4.1  经济社会调查</w:t>
      </w:r>
    </w:p>
    <w:p>
      <w:pPr>
        <w:overflowPunct w:val="0"/>
        <w:autoSpaceDE w:val="0"/>
        <w:autoSpaceDN w:val="0"/>
        <w:adjustRightInd w:val="0"/>
        <w:spacing w:line="480" w:lineRule="exact"/>
        <w:ind w:firstLine="480" w:firstLineChars="200"/>
        <w:rPr>
          <w:sz w:val="24"/>
        </w:rPr>
      </w:pPr>
      <w:r>
        <w:rPr>
          <w:rFonts w:hAnsi="宋体"/>
          <w:sz w:val="24"/>
        </w:rPr>
        <w:t>经济社会调查目的是为分析、评价征地移民对区域社会、经济影响，进行移民安置规划，编制补偿投资概</w:t>
      </w:r>
      <w:r>
        <w:rPr>
          <w:sz w:val="24"/>
        </w:rPr>
        <w:t>(</w:t>
      </w:r>
      <w:r>
        <w:rPr>
          <w:rFonts w:hAnsi="宋体"/>
          <w:sz w:val="24"/>
        </w:rPr>
        <w:t>估</w:t>
      </w:r>
      <w:r>
        <w:rPr>
          <w:sz w:val="24"/>
        </w:rPr>
        <w:t>)</w:t>
      </w:r>
      <w:r>
        <w:rPr>
          <w:rFonts w:hAnsi="宋体"/>
          <w:sz w:val="24"/>
        </w:rPr>
        <w:t>算提供基础资料。经济社会调查的内容包括经济社会现状、国民经济和社会发展近期计划和远景规划两个方面。经济社会现状主要包括人口、文化程度、民族结构、宗教信仰、风俗习惯、劳力及其就业，自然资源及开发利用，工农业生产情况</w:t>
      </w:r>
      <w:r>
        <w:rPr>
          <w:sz w:val="24"/>
        </w:rPr>
        <w:t>(</w:t>
      </w:r>
      <w:r>
        <w:rPr>
          <w:rFonts w:hAnsi="宋体"/>
          <w:sz w:val="24"/>
        </w:rPr>
        <w:t>产值、产业结构等</w:t>
      </w:r>
      <w:r>
        <w:rPr>
          <w:sz w:val="24"/>
        </w:rPr>
        <w:t>)</w:t>
      </w:r>
      <w:r>
        <w:rPr>
          <w:rFonts w:hAnsi="宋体"/>
          <w:sz w:val="24"/>
        </w:rPr>
        <w:t>，基础设施，居民经济收入等。国民经济和社会发展近期计划和远景规划包括人口增长率、人民群众的收入水平预测、工农业生产发展等规划资料。</w:t>
      </w:r>
    </w:p>
    <w:p>
      <w:pPr>
        <w:pStyle w:val="5"/>
      </w:pPr>
      <w:r>
        <w:t>3.2.4.2  农村调查</w:t>
      </w:r>
    </w:p>
    <w:p>
      <w:pPr>
        <w:overflowPunct w:val="0"/>
        <w:autoSpaceDE w:val="0"/>
        <w:autoSpaceDN w:val="0"/>
        <w:adjustRightInd w:val="0"/>
        <w:spacing w:line="480" w:lineRule="exact"/>
        <w:ind w:firstLine="480" w:firstLineChars="200"/>
        <w:rPr>
          <w:sz w:val="24"/>
        </w:rPr>
      </w:pPr>
      <w:r>
        <w:rPr>
          <w:rFonts w:hAnsi="宋体"/>
          <w:sz w:val="24"/>
        </w:rPr>
        <w:t>农村部分调查内容包括人口、土地调查、房屋及附属建筑物</w:t>
      </w:r>
      <w:r>
        <w:rPr>
          <w:rFonts w:hint="eastAsia" w:hAnsi="宋体"/>
          <w:sz w:val="24"/>
        </w:rPr>
        <w:t>、农村小型专项设施和农副业设施、个体工商户及其他项目</w:t>
      </w:r>
      <w:r>
        <w:rPr>
          <w:rFonts w:hAnsi="宋体"/>
          <w:sz w:val="24"/>
        </w:rPr>
        <w:t>。</w:t>
      </w:r>
    </w:p>
    <w:p>
      <w:pPr>
        <w:numPr>
          <w:ilvl w:val="0"/>
          <w:numId w:val="4"/>
        </w:numPr>
        <w:overflowPunct w:val="0"/>
        <w:autoSpaceDE w:val="0"/>
        <w:autoSpaceDN w:val="0"/>
        <w:adjustRightInd w:val="0"/>
        <w:spacing w:line="480" w:lineRule="exact"/>
        <w:ind w:left="0" w:firstLine="480" w:firstLineChars="200"/>
        <w:rPr>
          <w:rFonts w:hAnsi="宋体"/>
          <w:sz w:val="24"/>
        </w:rPr>
      </w:pPr>
      <w:r>
        <w:rPr>
          <w:rFonts w:hint="eastAsia" w:hAnsi="宋体"/>
          <w:sz w:val="24"/>
        </w:rPr>
        <w:t xml:space="preserve"> </w:t>
      </w:r>
      <w:r>
        <w:rPr>
          <w:rFonts w:hAnsi="宋体"/>
          <w:sz w:val="24"/>
        </w:rPr>
        <w:t>搬迁人口调查</w:t>
      </w:r>
    </w:p>
    <w:p>
      <w:pPr>
        <w:overflowPunct w:val="0"/>
        <w:autoSpaceDE w:val="0"/>
        <w:autoSpaceDN w:val="0"/>
        <w:adjustRightInd w:val="0"/>
        <w:spacing w:line="480" w:lineRule="exact"/>
        <w:ind w:firstLine="480" w:firstLineChars="200"/>
        <w:rPr>
          <w:sz w:val="24"/>
        </w:rPr>
      </w:pPr>
      <w:r>
        <w:rPr>
          <w:rFonts w:hAnsi="宋体"/>
          <w:sz w:val="24"/>
        </w:rPr>
        <w:t>调查对象为所有居住在建设征地影响范围内的人口。</w:t>
      </w:r>
    </w:p>
    <w:p>
      <w:pPr>
        <w:overflowPunct w:val="0"/>
        <w:autoSpaceDE w:val="0"/>
        <w:autoSpaceDN w:val="0"/>
        <w:adjustRightInd w:val="0"/>
        <w:spacing w:line="480" w:lineRule="exact"/>
        <w:ind w:firstLine="480" w:firstLineChars="200"/>
        <w:rPr>
          <w:sz w:val="24"/>
        </w:rPr>
      </w:pPr>
      <w:r>
        <w:rPr>
          <w:sz w:val="24"/>
        </w:rPr>
        <w:t>2014</w:t>
      </w:r>
      <w:r>
        <w:rPr>
          <w:rFonts w:hAnsi="宋体"/>
          <w:spacing w:val="-2"/>
          <w:sz w:val="24"/>
        </w:rPr>
        <w:t>年</w:t>
      </w:r>
      <w:r>
        <w:rPr>
          <w:spacing w:val="-2"/>
          <w:sz w:val="24"/>
        </w:rPr>
        <w:t>7</w:t>
      </w:r>
      <w:r>
        <w:rPr>
          <w:rFonts w:hAnsi="宋体"/>
          <w:spacing w:val="-2"/>
          <w:sz w:val="24"/>
        </w:rPr>
        <w:t>月</w:t>
      </w:r>
      <w:r>
        <w:rPr>
          <w:spacing w:val="-2"/>
          <w:sz w:val="24"/>
        </w:rPr>
        <w:t>24</w:t>
      </w:r>
      <w:r>
        <w:rPr>
          <w:rFonts w:hAnsi="宋体"/>
          <w:spacing w:val="-2"/>
          <w:sz w:val="24"/>
        </w:rPr>
        <w:t>日，国务院印发《关于进一步推进户籍制度改革的意见》，意见指出，建立城乡统一的户口登记制度，取消农业户口与非农业户口性质区分和由此衍生的蓝印户口等户口类型，统一登记为居民户口。因此对于</w:t>
      </w:r>
      <w:r>
        <w:rPr>
          <w:rFonts w:hint="eastAsia" w:hAnsi="宋体"/>
          <w:spacing w:val="-2"/>
          <w:sz w:val="24"/>
          <w:lang w:eastAsia="zh-CN"/>
        </w:rPr>
        <w:t>户口簿</w:t>
      </w:r>
      <w:r>
        <w:rPr>
          <w:rFonts w:hAnsi="宋体"/>
          <w:spacing w:val="-2"/>
          <w:sz w:val="24"/>
        </w:rPr>
        <w:t>仍为</w:t>
      </w:r>
      <w:r>
        <w:rPr>
          <w:spacing w:val="-2"/>
          <w:sz w:val="24"/>
        </w:rPr>
        <w:t>2014</w:t>
      </w:r>
      <w:r>
        <w:rPr>
          <w:rFonts w:hAnsi="宋体"/>
          <w:spacing w:val="-2"/>
          <w:sz w:val="24"/>
        </w:rPr>
        <w:t>年户籍制度改革前的移民户，按户籍划分为农业和非农业人口两大类；对于</w:t>
      </w:r>
      <w:r>
        <w:rPr>
          <w:rFonts w:hint="eastAsia" w:hAnsi="宋体"/>
          <w:spacing w:val="-2"/>
          <w:sz w:val="24"/>
          <w:lang w:eastAsia="zh-CN"/>
        </w:rPr>
        <w:t>户口簿</w:t>
      </w:r>
      <w:bookmarkStart w:id="669" w:name="_GoBack"/>
      <w:bookmarkEnd w:id="669"/>
      <w:r>
        <w:rPr>
          <w:rFonts w:hAnsi="宋体"/>
          <w:spacing w:val="-2"/>
          <w:sz w:val="24"/>
        </w:rPr>
        <w:t>已按</w:t>
      </w:r>
      <w:r>
        <w:rPr>
          <w:spacing w:val="-2"/>
          <w:sz w:val="24"/>
        </w:rPr>
        <w:t>2014</w:t>
      </w:r>
      <w:r>
        <w:rPr>
          <w:rFonts w:hAnsi="宋体"/>
          <w:spacing w:val="-2"/>
          <w:sz w:val="24"/>
        </w:rPr>
        <w:t>年户籍制度改革后登记为居民户口的移民户，</w:t>
      </w:r>
      <w:r>
        <w:rPr>
          <w:rFonts w:hAnsi="宋体"/>
          <w:spacing w:val="-2"/>
          <w:kern w:val="0"/>
          <w:sz w:val="24"/>
        </w:rPr>
        <w:t>按是否有承包地分别计列为农业和非农业人口</w:t>
      </w:r>
      <w:r>
        <w:rPr>
          <w:rFonts w:hAnsi="宋体"/>
          <w:spacing w:val="-2"/>
          <w:sz w:val="24"/>
        </w:rPr>
        <w:t>。</w:t>
      </w:r>
    </w:p>
    <w:p>
      <w:pPr>
        <w:numPr>
          <w:ilvl w:val="0"/>
          <w:numId w:val="4"/>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土地调查</w:t>
      </w:r>
    </w:p>
    <w:p>
      <w:pPr>
        <w:overflowPunct w:val="0"/>
        <w:autoSpaceDE w:val="0"/>
        <w:autoSpaceDN w:val="0"/>
        <w:adjustRightInd w:val="0"/>
        <w:spacing w:line="480" w:lineRule="exact"/>
        <w:ind w:firstLine="480" w:firstLineChars="200"/>
        <w:rPr>
          <w:sz w:val="24"/>
        </w:rPr>
      </w:pPr>
      <w:r>
        <w:rPr>
          <w:rFonts w:hAnsi="宋体"/>
          <w:sz w:val="24"/>
        </w:rPr>
        <w:t>按照《土地利用现状分类》</w:t>
      </w:r>
      <w:r>
        <w:rPr>
          <w:sz w:val="24"/>
        </w:rPr>
        <w:t>(GB/T21010-2017)</w:t>
      </w:r>
      <w:r>
        <w:rPr>
          <w:rFonts w:hAnsi="宋体"/>
          <w:sz w:val="24"/>
        </w:rPr>
        <w:t>的规定，结合</w:t>
      </w:r>
      <w:r>
        <w:rPr>
          <w:rFonts w:hint="eastAsia" w:hAnsi="宋体"/>
          <w:sz w:val="24"/>
        </w:rPr>
        <w:t>陆河</w:t>
      </w:r>
      <w:r>
        <w:rPr>
          <w:rFonts w:hAnsi="宋体"/>
          <w:sz w:val="24"/>
        </w:rPr>
        <w:t>抽水蓄能电站建设征地区的具体情况合理确定建设征地区土地分类，土地面积以标准亩计</w:t>
      </w:r>
      <w:r>
        <w:rPr>
          <w:sz w:val="24"/>
        </w:rPr>
        <w:t>(1</w:t>
      </w:r>
      <w:r>
        <w:rPr>
          <w:rFonts w:hAnsi="宋体"/>
          <w:sz w:val="24"/>
        </w:rPr>
        <w:t>标准亩</w:t>
      </w:r>
      <w:r>
        <w:rPr>
          <w:sz w:val="24"/>
        </w:rPr>
        <w:t>=666.67m</w:t>
      </w:r>
      <w:r>
        <w:rPr>
          <w:sz w:val="24"/>
          <w:vertAlign w:val="superscript"/>
        </w:rPr>
        <w:t>2</w:t>
      </w:r>
      <w:r>
        <w:rPr>
          <w:sz w:val="24"/>
        </w:rPr>
        <w:t>)</w:t>
      </w:r>
      <w:r>
        <w:rPr>
          <w:rFonts w:hAnsi="宋体"/>
          <w:sz w:val="24"/>
        </w:rPr>
        <w:t>，均采用水平投影面积。</w:t>
      </w:r>
    </w:p>
    <w:p>
      <w:pPr>
        <w:overflowPunct w:val="0"/>
        <w:autoSpaceDE w:val="0"/>
        <w:autoSpaceDN w:val="0"/>
        <w:adjustRightInd w:val="0"/>
        <w:spacing w:line="480" w:lineRule="exact"/>
        <w:ind w:firstLine="480" w:firstLineChars="200"/>
        <w:rPr>
          <w:sz w:val="24"/>
        </w:rPr>
      </w:pPr>
      <w:r>
        <w:rPr>
          <w:rFonts w:hAnsi="宋体"/>
          <w:sz w:val="24"/>
        </w:rPr>
        <w:t>土地类型依据最新实测的</w:t>
      </w:r>
      <w:r>
        <w:rPr>
          <w:rFonts w:hint="eastAsia"/>
          <w:sz w:val="24"/>
        </w:rPr>
        <w:t>1:1000</w:t>
      </w:r>
      <w:r>
        <w:rPr>
          <w:rFonts w:hAnsi="宋体"/>
          <w:sz w:val="24"/>
        </w:rPr>
        <w:t>地类地形图及正射</w:t>
      </w:r>
      <w:r>
        <w:rPr>
          <w:rFonts w:hint="eastAsia" w:hAnsi="宋体"/>
          <w:sz w:val="24"/>
        </w:rPr>
        <w:t>影像</w:t>
      </w:r>
      <w:r>
        <w:rPr>
          <w:rFonts w:hAnsi="宋体"/>
          <w:sz w:val="24"/>
        </w:rPr>
        <w:t>成果，由联合调查组运用移民信息采集系统软件在县自然资源和规划局、县林业局等部门的参与下，逐块现场踏勘复核地类。经核实，实测的</w:t>
      </w:r>
      <w:r>
        <w:rPr>
          <w:rFonts w:hint="eastAsia"/>
          <w:sz w:val="24"/>
        </w:rPr>
        <w:t>1:1000</w:t>
      </w:r>
      <w:r>
        <w:rPr>
          <w:rFonts w:hAnsi="宋体"/>
          <w:sz w:val="24"/>
        </w:rPr>
        <w:t>地类地形图的土地地类信息基本准确，联合调查组确定以最新实测</w:t>
      </w:r>
      <w:r>
        <w:rPr>
          <w:rFonts w:hint="eastAsia"/>
          <w:sz w:val="24"/>
        </w:rPr>
        <w:t>1:1000</w:t>
      </w:r>
      <w:r>
        <w:rPr>
          <w:rFonts w:hAnsi="宋体"/>
          <w:sz w:val="24"/>
        </w:rPr>
        <w:t>地类地形图数据库中图斑地类信息作为本次土地类型核定的依据。</w:t>
      </w:r>
    </w:p>
    <w:p>
      <w:pPr>
        <w:overflowPunct w:val="0"/>
        <w:autoSpaceDE w:val="0"/>
        <w:autoSpaceDN w:val="0"/>
        <w:adjustRightInd w:val="0"/>
        <w:spacing w:line="480" w:lineRule="exact"/>
        <w:ind w:firstLine="480" w:firstLineChars="200"/>
        <w:rPr>
          <w:sz w:val="24"/>
        </w:rPr>
      </w:pPr>
      <w:r>
        <w:rPr>
          <w:rFonts w:hAnsi="宋体"/>
          <w:sz w:val="24"/>
        </w:rPr>
        <w:t>土地村组界线由联合调查组现场实地测量，然后在实测</w:t>
      </w:r>
      <w:r>
        <w:rPr>
          <w:rFonts w:hint="eastAsia"/>
          <w:sz w:val="24"/>
        </w:rPr>
        <w:t>1:1000</w:t>
      </w:r>
      <w:r>
        <w:rPr>
          <w:rFonts w:hAnsi="宋体"/>
          <w:sz w:val="24"/>
        </w:rPr>
        <w:t>地类地形图上标注乡</w:t>
      </w:r>
      <w:r>
        <w:rPr>
          <w:sz w:val="24"/>
        </w:rPr>
        <w:t>(</w:t>
      </w:r>
      <w:r>
        <w:rPr>
          <w:rFonts w:hAnsi="宋体"/>
          <w:sz w:val="24"/>
        </w:rPr>
        <w:t>镇</w:t>
      </w:r>
      <w:r>
        <w:rPr>
          <w:sz w:val="24"/>
        </w:rPr>
        <w:t>)</w:t>
      </w:r>
      <w:r>
        <w:rPr>
          <w:rFonts w:hAnsi="宋体"/>
          <w:sz w:val="24"/>
        </w:rPr>
        <w:t>、村和村民小组的行政界线，并经联合调查组签字确认后录入到计算机，采用</w:t>
      </w:r>
      <w:r>
        <w:rPr>
          <w:sz w:val="24"/>
        </w:rPr>
        <w:t>ArcGIS</w:t>
      </w:r>
      <w:r>
        <w:rPr>
          <w:rFonts w:hAnsi="宋体"/>
          <w:sz w:val="24"/>
        </w:rPr>
        <w:t>软件量算面积并以村民小组为单位分级统计汇总。</w:t>
      </w:r>
    </w:p>
    <w:p>
      <w:pPr>
        <w:numPr>
          <w:ilvl w:val="0"/>
          <w:numId w:val="4"/>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房屋及附属建筑物调查</w:t>
      </w:r>
    </w:p>
    <w:p>
      <w:pPr>
        <w:overflowPunct w:val="0"/>
        <w:autoSpaceDE w:val="0"/>
        <w:autoSpaceDN w:val="0"/>
        <w:adjustRightInd w:val="0"/>
        <w:spacing w:line="480" w:lineRule="exact"/>
        <w:ind w:firstLine="480" w:firstLineChars="200"/>
        <w:rPr>
          <w:kern w:val="0"/>
          <w:sz w:val="24"/>
        </w:rPr>
      </w:pPr>
      <w:r>
        <w:rPr>
          <w:rFonts w:hAnsi="宋体"/>
          <w:kern w:val="0"/>
          <w:sz w:val="24"/>
        </w:rPr>
        <w:t>对调查范围内所有的房屋及附属建筑物按下列内容逐户逐栋全面调查登记。</w:t>
      </w:r>
    </w:p>
    <w:p>
      <w:pPr>
        <w:overflowPunct w:val="0"/>
        <w:autoSpaceDE w:val="0"/>
        <w:autoSpaceDN w:val="0"/>
        <w:adjustRightInd w:val="0"/>
        <w:spacing w:line="480" w:lineRule="exact"/>
        <w:ind w:firstLine="480" w:firstLineChars="200"/>
        <w:rPr>
          <w:kern w:val="0"/>
          <w:sz w:val="24"/>
        </w:rPr>
      </w:pPr>
      <w:r>
        <w:rPr>
          <w:rFonts w:hAnsi="宋体"/>
          <w:kern w:val="0"/>
          <w:sz w:val="24"/>
        </w:rPr>
        <w:t>房屋调查内容包括：房屋所在行政区域名称</w:t>
      </w:r>
      <w:r>
        <w:rPr>
          <w:kern w:val="0"/>
          <w:sz w:val="24"/>
        </w:rPr>
        <w:t>(</w:t>
      </w:r>
      <w:r>
        <w:rPr>
          <w:rFonts w:hAnsi="宋体"/>
          <w:kern w:val="0"/>
          <w:sz w:val="24"/>
        </w:rPr>
        <w:t>市</w:t>
      </w:r>
      <w:r>
        <w:rPr>
          <w:kern w:val="0"/>
          <w:sz w:val="24"/>
        </w:rPr>
        <w:t>/</w:t>
      </w:r>
      <w:r>
        <w:rPr>
          <w:rFonts w:hAnsi="宋体"/>
          <w:kern w:val="0"/>
          <w:sz w:val="24"/>
        </w:rPr>
        <w:t>县、乡</w:t>
      </w:r>
      <w:r>
        <w:rPr>
          <w:kern w:val="0"/>
          <w:sz w:val="24"/>
        </w:rPr>
        <w:t>/</w:t>
      </w:r>
      <w:r>
        <w:rPr>
          <w:rFonts w:hAnsi="宋体"/>
          <w:kern w:val="0"/>
          <w:sz w:val="24"/>
        </w:rPr>
        <w:t>镇、村、村民小组</w:t>
      </w:r>
      <w:r>
        <w:rPr>
          <w:kern w:val="0"/>
          <w:sz w:val="24"/>
        </w:rPr>
        <w:t>)</w:t>
      </w:r>
      <w:r>
        <w:rPr>
          <w:rFonts w:hAnsi="宋体"/>
          <w:kern w:val="0"/>
          <w:sz w:val="24"/>
        </w:rPr>
        <w:t>、门牌号、户主姓名、所属征地区域</w:t>
      </w:r>
      <w:r>
        <w:rPr>
          <w:kern w:val="0"/>
          <w:sz w:val="24"/>
        </w:rPr>
        <w:t>(</w:t>
      </w:r>
      <w:r>
        <w:rPr>
          <w:rFonts w:hAnsi="宋体"/>
          <w:kern w:val="0"/>
          <w:sz w:val="24"/>
        </w:rPr>
        <w:t>淹没区、影响区、枢纽区</w:t>
      </w:r>
      <w:r>
        <w:rPr>
          <w:kern w:val="0"/>
          <w:sz w:val="24"/>
        </w:rPr>
        <w:t>)</w:t>
      </w:r>
      <w:r>
        <w:rPr>
          <w:rFonts w:hAnsi="宋体"/>
          <w:kern w:val="0"/>
          <w:sz w:val="24"/>
        </w:rPr>
        <w:t>、房屋权属</w:t>
      </w:r>
      <w:r>
        <w:rPr>
          <w:kern w:val="0"/>
          <w:sz w:val="24"/>
        </w:rPr>
        <w:t>(</w:t>
      </w:r>
      <w:r>
        <w:rPr>
          <w:rFonts w:hAnsi="宋体"/>
          <w:kern w:val="0"/>
          <w:sz w:val="24"/>
        </w:rPr>
        <w:t>公房或私房</w:t>
      </w:r>
      <w:r>
        <w:rPr>
          <w:kern w:val="0"/>
          <w:sz w:val="24"/>
        </w:rPr>
        <w:t>)</w:t>
      </w:r>
      <w:r>
        <w:rPr>
          <w:rFonts w:hAnsi="宋体"/>
          <w:kern w:val="0"/>
          <w:sz w:val="24"/>
        </w:rPr>
        <w:t>、房屋结构</w:t>
      </w:r>
      <w:r>
        <w:rPr>
          <w:kern w:val="0"/>
          <w:sz w:val="24"/>
        </w:rPr>
        <w:t>(</w:t>
      </w:r>
      <w:r>
        <w:rPr>
          <w:rFonts w:hAnsi="宋体"/>
          <w:sz w:val="24"/>
        </w:rPr>
        <w:t>钢混</w:t>
      </w:r>
      <w:r>
        <w:rPr>
          <w:rFonts w:hAnsi="宋体"/>
          <w:kern w:val="0"/>
          <w:sz w:val="24"/>
        </w:rPr>
        <w:t>、砖混等</w:t>
      </w:r>
      <w:r>
        <w:rPr>
          <w:kern w:val="0"/>
          <w:sz w:val="24"/>
        </w:rPr>
        <w:t>)</w:t>
      </w:r>
      <w:r>
        <w:rPr>
          <w:rFonts w:hAnsi="宋体"/>
          <w:kern w:val="0"/>
          <w:sz w:val="24"/>
        </w:rPr>
        <w:t>、房屋用途、房屋面积、房屋层高、附属建筑物类别等情况。</w:t>
      </w:r>
    </w:p>
    <w:p>
      <w:pPr>
        <w:overflowPunct w:val="0"/>
        <w:autoSpaceDE w:val="0"/>
        <w:autoSpaceDN w:val="0"/>
        <w:adjustRightInd w:val="0"/>
        <w:spacing w:line="480" w:lineRule="exact"/>
        <w:ind w:firstLine="480" w:firstLineChars="200"/>
        <w:rPr>
          <w:kern w:val="0"/>
          <w:sz w:val="24"/>
        </w:rPr>
      </w:pPr>
      <w:r>
        <w:rPr>
          <w:rFonts w:hAnsi="宋体"/>
          <w:kern w:val="0"/>
          <w:sz w:val="24"/>
        </w:rPr>
        <w:t>对建设征地区</w:t>
      </w:r>
      <w:r>
        <w:rPr>
          <w:rFonts w:hint="eastAsia"/>
          <w:kern w:val="0"/>
          <w:sz w:val="24"/>
        </w:rPr>
        <w:t>“</w:t>
      </w:r>
      <w:r>
        <w:rPr>
          <w:rFonts w:hAnsi="宋体"/>
          <w:kern w:val="0"/>
          <w:sz w:val="24"/>
        </w:rPr>
        <w:t>禁建通告</w:t>
      </w:r>
      <w:r>
        <w:rPr>
          <w:rFonts w:hint="eastAsia"/>
          <w:kern w:val="0"/>
          <w:sz w:val="24"/>
        </w:rPr>
        <w:t>”</w:t>
      </w:r>
      <w:r>
        <w:rPr>
          <w:rFonts w:hAnsi="宋体"/>
          <w:kern w:val="0"/>
          <w:sz w:val="24"/>
        </w:rPr>
        <w:t>下达时在建的房屋及其附属建筑物，按实际建成的建筑面积予以登记。</w:t>
      </w:r>
    </w:p>
    <w:p>
      <w:pPr>
        <w:overflowPunct w:val="0"/>
        <w:autoSpaceDE w:val="0"/>
        <w:autoSpaceDN w:val="0"/>
        <w:adjustRightInd w:val="0"/>
        <w:spacing w:line="480" w:lineRule="exact"/>
        <w:ind w:firstLine="464" w:firstLineChars="200"/>
        <w:rPr>
          <w:spacing w:val="-4"/>
          <w:kern w:val="0"/>
          <w:sz w:val="24"/>
        </w:rPr>
      </w:pPr>
      <w:r>
        <w:rPr>
          <w:rFonts w:hAnsi="宋体"/>
          <w:spacing w:val="-4"/>
          <w:kern w:val="0"/>
          <w:sz w:val="24"/>
        </w:rPr>
        <w:t>对工程建设征地范围内的所有坟墓，采取由村组自报，调查组现场核实的方式调查。</w:t>
      </w:r>
    </w:p>
    <w:p>
      <w:pPr>
        <w:overflowPunct w:val="0"/>
        <w:autoSpaceDE w:val="0"/>
        <w:autoSpaceDN w:val="0"/>
        <w:adjustRightInd w:val="0"/>
        <w:spacing w:line="480" w:lineRule="exact"/>
        <w:ind w:firstLine="480" w:firstLineChars="200"/>
        <w:rPr>
          <w:rFonts w:hAnsi="宋体"/>
          <w:kern w:val="0"/>
          <w:sz w:val="24"/>
        </w:rPr>
      </w:pPr>
      <w:r>
        <w:rPr>
          <w:rFonts w:hAnsi="宋体"/>
          <w:kern w:val="0"/>
          <w:sz w:val="24"/>
        </w:rPr>
        <w:t>房屋及附属建筑物调查表由权属人</w:t>
      </w:r>
      <w:r>
        <w:rPr>
          <w:kern w:val="0"/>
          <w:sz w:val="24"/>
        </w:rPr>
        <w:t>(</w:t>
      </w:r>
      <w:r>
        <w:rPr>
          <w:rFonts w:hAnsi="宋体"/>
          <w:kern w:val="0"/>
          <w:sz w:val="24"/>
        </w:rPr>
        <w:t>单位</w:t>
      </w:r>
      <w:r>
        <w:rPr>
          <w:kern w:val="0"/>
          <w:sz w:val="24"/>
        </w:rPr>
        <w:t>)</w:t>
      </w:r>
      <w:r>
        <w:rPr>
          <w:rFonts w:hAnsi="宋体"/>
          <w:kern w:val="0"/>
          <w:sz w:val="24"/>
        </w:rPr>
        <w:t>、联合调查组成员现场签字确认。</w:t>
      </w:r>
    </w:p>
    <w:p>
      <w:pPr>
        <w:numPr>
          <w:ilvl w:val="0"/>
          <w:numId w:val="4"/>
        </w:numPr>
        <w:overflowPunct w:val="0"/>
        <w:autoSpaceDE w:val="0"/>
        <w:autoSpaceDN w:val="0"/>
        <w:adjustRightInd w:val="0"/>
        <w:spacing w:line="480" w:lineRule="exact"/>
        <w:ind w:left="0" w:firstLine="480" w:firstLineChars="200"/>
        <w:rPr>
          <w:rFonts w:hAnsi="宋体"/>
          <w:sz w:val="24"/>
        </w:rPr>
      </w:pPr>
      <w:r>
        <w:rPr>
          <w:rFonts w:hint="eastAsia" w:hAnsi="宋体"/>
          <w:sz w:val="24"/>
        </w:rPr>
        <w:t xml:space="preserve"> </w:t>
      </w:r>
      <w:r>
        <w:rPr>
          <w:rFonts w:hAnsi="宋体"/>
          <w:sz w:val="24"/>
        </w:rPr>
        <w:t>农村小型专项设施和农副业设施</w:t>
      </w:r>
    </w:p>
    <w:p>
      <w:pPr>
        <w:overflowPunct w:val="0"/>
        <w:autoSpaceDE w:val="0"/>
        <w:autoSpaceDN w:val="0"/>
        <w:adjustRightInd w:val="0"/>
        <w:spacing w:line="480" w:lineRule="exact"/>
        <w:ind w:firstLine="464" w:firstLineChars="200"/>
        <w:rPr>
          <w:rFonts w:hAnsi="宋体"/>
          <w:spacing w:val="-4"/>
          <w:kern w:val="0"/>
          <w:sz w:val="24"/>
        </w:rPr>
      </w:pPr>
      <w:r>
        <w:rPr>
          <w:rFonts w:hAnsi="宋体"/>
          <w:spacing w:val="-4"/>
          <w:kern w:val="0"/>
          <w:sz w:val="24"/>
        </w:rPr>
        <w:t>农村小型专项设施指乡级以下农村集体、单位、个人投资或管护的小型农田水利设施、供水设施、小型水电站、10kV等级以下的输配电设施、交通设施等项目。调查内容包括工程名称、地点、权属、投产(建成)年月、规模、效益、结构类型、高程分布、固定资产投资、占地面积等主要经济技术指标。从有关部门收集资料或由权属人、经营者报请调查统计，实地逐项现场核实，并对其原功能的影响程度、恢复原功能的必要性和可能性进行调查了解，并提出建议。私人所有小型专项设施可随房屋进行调查登记。调查成果由权属人和调查者签字(盖章)认可。</w:t>
      </w:r>
    </w:p>
    <w:p>
      <w:pPr>
        <w:pStyle w:val="5"/>
      </w:pPr>
      <w:r>
        <w:t>3.2.4.3  个体工商户调查</w:t>
      </w:r>
    </w:p>
    <w:p>
      <w:pPr>
        <w:overflowPunct w:val="0"/>
        <w:autoSpaceDE w:val="0"/>
        <w:autoSpaceDN w:val="0"/>
        <w:adjustRightInd w:val="0"/>
        <w:spacing w:line="480" w:lineRule="exact"/>
        <w:ind w:firstLine="480" w:firstLineChars="200"/>
        <w:rPr>
          <w:kern w:val="0"/>
          <w:sz w:val="24"/>
        </w:rPr>
      </w:pPr>
      <w:r>
        <w:rPr>
          <w:rFonts w:hAnsi="宋体"/>
          <w:kern w:val="0"/>
          <w:sz w:val="24"/>
        </w:rPr>
        <w:t>个体工商户按行业分为生产行业、餐饮行业</w:t>
      </w:r>
      <w:r>
        <w:rPr>
          <w:rFonts w:hAnsi="宋体"/>
          <w:sz w:val="24"/>
        </w:rPr>
        <w:t>、</w:t>
      </w:r>
      <w:r>
        <w:rPr>
          <w:rFonts w:hAnsi="宋体"/>
          <w:kern w:val="0"/>
          <w:sz w:val="24"/>
        </w:rPr>
        <w:t>旅店服务行业、批发零售业四类，主要调查个体工商户所属行业与经营项目；个体工商户开业时间；个体工商户从业人员数量；个体工商户不可搬迁生产经营设备、设施；个体工商户近三年年均纳税情况</w:t>
      </w:r>
      <w:r>
        <w:rPr>
          <w:kern w:val="0"/>
          <w:sz w:val="24"/>
        </w:rPr>
        <w:t>(</w:t>
      </w:r>
      <w:r>
        <w:rPr>
          <w:rFonts w:hAnsi="宋体"/>
          <w:kern w:val="0"/>
          <w:sz w:val="24"/>
        </w:rPr>
        <w:t>含免税</w:t>
      </w:r>
      <w:r>
        <w:rPr>
          <w:kern w:val="0"/>
          <w:sz w:val="24"/>
        </w:rPr>
        <w:t>)</w:t>
      </w:r>
      <w:r>
        <w:rPr>
          <w:rFonts w:hAnsi="宋体"/>
          <w:kern w:val="0"/>
          <w:sz w:val="24"/>
        </w:rPr>
        <w:t>等。调查成果由权属人和调查者签字</w:t>
      </w:r>
      <w:r>
        <w:rPr>
          <w:kern w:val="0"/>
          <w:sz w:val="24"/>
        </w:rPr>
        <w:t>(</w:t>
      </w:r>
      <w:r>
        <w:rPr>
          <w:rFonts w:hAnsi="宋体"/>
          <w:kern w:val="0"/>
          <w:sz w:val="24"/>
        </w:rPr>
        <w:t>盖章</w:t>
      </w:r>
      <w:r>
        <w:rPr>
          <w:kern w:val="0"/>
          <w:sz w:val="24"/>
        </w:rPr>
        <w:t>)</w:t>
      </w:r>
      <w:r>
        <w:rPr>
          <w:rFonts w:hAnsi="宋体"/>
          <w:kern w:val="0"/>
          <w:sz w:val="24"/>
        </w:rPr>
        <w:t>确认。</w:t>
      </w:r>
    </w:p>
    <w:p>
      <w:pPr>
        <w:pStyle w:val="5"/>
      </w:pPr>
      <w:r>
        <w:t>3.2.4.</w:t>
      </w:r>
      <w:r>
        <w:rPr>
          <w:rFonts w:hint="eastAsia"/>
        </w:rPr>
        <w:t>4</w:t>
      </w:r>
      <w:r>
        <w:t xml:space="preserve">  专业项目调查</w:t>
      </w:r>
    </w:p>
    <w:p>
      <w:pPr>
        <w:overflowPunct w:val="0"/>
        <w:autoSpaceDE w:val="0"/>
        <w:autoSpaceDN w:val="0"/>
        <w:adjustRightInd w:val="0"/>
        <w:spacing w:line="480" w:lineRule="exact"/>
        <w:ind w:firstLine="480" w:firstLineChars="200"/>
        <w:rPr>
          <w:sz w:val="24"/>
        </w:rPr>
      </w:pPr>
      <w:r>
        <w:rPr>
          <w:rFonts w:hAnsi="宋体"/>
          <w:sz w:val="24"/>
        </w:rPr>
        <w:t>专业项目调查包括交通、电力、电信、文物古迹、矿产资源等项目。</w:t>
      </w:r>
    </w:p>
    <w:p>
      <w:pPr>
        <w:numPr>
          <w:ilvl w:val="0"/>
          <w:numId w:val="5"/>
        </w:numPr>
        <w:overflowPunct w:val="0"/>
        <w:autoSpaceDE w:val="0"/>
        <w:autoSpaceDN w:val="0"/>
        <w:adjustRightInd w:val="0"/>
        <w:spacing w:line="480" w:lineRule="exact"/>
        <w:ind w:left="0" w:firstLine="480" w:firstLineChars="200"/>
        <w:rPr>
          <w:rFonts w:hAnsi="宋体"/>
          <w:sz w:val="24"/>
        </w:rPr>
      </w:pPr>
      <w:r>
        <w:rPr>
          <w:rFonts w:hint="eastAsia" w:hAnsi="宋体"/>
          <w:sz w:val="24"/>
        </w:rPr>
        <w:t xml:space="preserve"> </w:t>
      </w:r>
      <w:r>
        <w:rPr>
          <w:rFonts w:hAnsi="宋体"/>
          <w:sz w:val="24"/>
        </w:rPr>
        <w:t>交通设施调查</w:t>
      </w:r>
    </w:p>
    <w:p>
      <w:pPr>
        <w:overflowPunct w:val="0"/>
        <w:autoSpaceDE w:val="0"/>
        <w:autoSpaceDN w:val="0"/>
        <w:adjustRightInd w:val="0"/>
        <w:spacing w:line="480" w:lineRule="exact"/>
        <w:ind w:firstLine="480" w:firstLineChars="200"/>
        <w:rPr>
          <w:sz w:val="24"/>
        </w:rPr>
      </w:pPr>
      <w:r>
        <w:rPr>
          <w:rFonts w:hAnsi="宋体"/>
          <w:sz w:val="24"/>
        </w:rPr>
        <w:t>交通运输工程调查包括公路和农村道路的调查，公路等级划分应符合现行行业标准《公路工程技术标准》</w:t>
      </w:r>
      <w:r>
        <w:rPr>
          <w:sz w:val="24"/>
        </w:rPr>
        <w:t>(JTG B01)</w:t>
      </w:r>
      <w:r>
        <w:rPr>
          <w:rFonts w:hAnsi="宋体"/>
          <w:sz w:val="24"/>
        </w:rPr>
        <w:t>的有关规定，农村道路包括汽车便道、机耕道。</w:t>
      </w:r>
    </w:p>
    <w:p>
      <w:pPr>
        <w:overflowPunct w:val="0"/>
        <w:autoSpaceDE w:val="0"/>
        <w:autoSpaceDN w:val="0"/>
        <w:adjustRightInd w:val="0"/>
        <w:spacing w:line="480" w:lineRule="exact"/>
        <w:ind w:firstLine="480" w:firstLineChars="200"/>
        <w:rPr>
          <w:kern w:val="0"/>
          <w:sz w:val="24"/>
        </w:rPr>
      </w:pPr>
      <w:r>
        <w:rPr>
          <w:rFonts w:hAnsi="宋体"/>
          <w:kern w:val="0"/>
          <w:sz w:val="24"/>
        </w:rPr>
        <w:t>调查内容包括名称、长度、起讫地点、线路等级、占地面积、隶属关系</w:t>
      </w:r>
      <w:r>
        <w:rPr>
          <w:kern w:val="0"/>
          <w:sz w:val="24"/>
        </w:rPr>
        <w:t>(</w:t>
      </w:r>
      <w:r>
        <w:rPr>
          <w:rFonts w:hAnsi="宋体"/>
          <w:kern w:val="0"/>
          <w:sz w:val="24"/>
        </w:rPr>
        <w:t>国道、省道、县乡或单位专用道</w:t>
      </w:r>
      <w:r>
        <w:rPr>
          <w:kern w:val="0"/>
          <w:sz w:val="24"/>
        </w:rPr>
        <w:t>)</w:t>
      </w:r>
      <w:r>
        <w:rPr>
          <w:rFonts w:hAnsi="宋体"/>
          <w:kern w:val="0"/>
          <w:sz w:val="24"/>
        </w:rPr>
        <w:t>、路桥面高度、路面材料。</w:t>
      </w:r>
    </w:p>
    <w:p>
      <w:pPr>
        <w:numPr>
          <w:ilvl w:val="0"/>
          <w:numId w:val="5"/>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电力设施调查</w:t>
      </w:r>
    </w:p>
    <w:p>
      <w:pPr>
        <w:overflowPunct w:val="0"/>
        <w:autoSpaceDE w:val="0"/>
        <w:autoSpaceDN w:val="0"/>
        <w:adjustRightInd w:val="0"/>
        <w:spacing w:line="480" w:lineRule="exact"/>
        <w:ind w:firstLine="480" w:firstLineChars="200"/>
        <w:rPr>
          <w:sz w:val="24"/>
        </w:rPr>
      </w:pPr>
      <w:r>
        <w:rPr>
          <w:rFonts w:hAnsi="宋体"/>
          <w:sz w:val="24"/>
        </w:rPr>
        <w:t>调查内容主要包括输电线路、变</w:t>
      </w:r>
      <w:r>
        <w:rPr>
          <w:sz w:val="24"/>
        </w:rPr>
        <w:t>(</w:t>
      </w:r>
      <w:r>
        <w:rPr>
          <w:rFonts w:hAnsi="宋体"/>
          <w:sz w:val="24"/>
        </w:rPr>
        <w:t>供</w:t>
      </w:r>
      <w:r>
        <w:rPr>
          <w:sz w:val="24"/>
        </w:rPr>
        <w:t>)</w:t>
      </w:r>
      <w:r>
        <w:rPr>
          <w:rFonts w:hAnsi="宋体"/>
          <w:sz w:val="24"/>
        </w:rPr>
        <w:t>电设施的名称、地点、线路起讫地点及长度、高程分布情况、电压等级、输送容量、导线型号和截面积、主管部门、建成年月，供电范围，建筑物结构和建筑面积，构筑物名称、结构及数量，主要设备的规格、数量，运行管理机构等。</w:t>
      </w:r>
    </w:p>
    <w:p>
      <w:pPr>
        <w:numPr>
          <w:ilvl w:val="0"/>
          <w:numId w:val="5"/>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电信设施调查</w:t>
      </w:r>
    </w:p>
    <w:p>
      <w:pPr>
        <w:overflowPunct w:val="0"/>
        <w:autoSpaceDE w:val="0"/>
        <w:autoSpaceDN w:val="0"/>
        <w:adjustRightInd w:val="0"/>
        <w:spacing w:line="480" w:lineRule="exact"/>
        <w:ind w:firstLine="464" w:firstLineChars="200"/>
        <w:rPr>
          <w:spacing w:val="-4"/>
          <w:sz w:val="24"/>
        </w:rPr>
      </w:pPr>
      <w:r>
        <w:rPr>
          <w:rFonts w:hAnsi="宋体"/>
          <w:spacing w:val="-4"/>
          <w:sz w:val="24"/>
        </w:rPr>
        <w:t>电信设施主要包括线路、设施及设备等，按通信方式分为有线通信和无线通信两类。</w:t>
      </w:r>
    </w:p>
    <w:p>
      <w:pPr>
        <w:overflowPunct w:val="0"/>
        <w:autoSpaceDE w:val="0"/>
        <w:autoSpaceDN w:val="0"/>
        <w:adjustRightInd w:val="0"/>
        <w:spacing w:line="480" w:lineRule="exact"/>
        <w:ind w:firstLine="480" w:firstLineChars="200"/>
        <w:rPr>
          <w:sz w:val="24"/>
        </w:rPr>
      </w:pPr>
      <w:r>
        <w:rPr>
          <w:rFonts w:hAnsi="宋体"/>
          <w:sz w:val="24"/>
        </w:rPr>
        <w:t>线路调查内容主要包括线路名称、权属、等级、起讫地点、建成年月、每杆对数、杆质、线材及线径，架空</w:t>
      </w:r>
      <w:r>
        <w:rPr>
          <w:sz w:val="24"/>
        </w:rPr>
        <w:t>(</w:t>
      </w:r>
      <w:r>
        <w:rPr>
          <w:rFonts w:hAnsi="宋体"/>
          <w:sz w:val="24"/>
        </w:rPr>
        <w:t>埋设</w:t>
      </w:r>
      <w:r>
        <w:rPr>
          <w:sz w:val="24"/>
        </w:rPr>
        <w:t>)</w:t>
      </w:r>
      <w:r>
        <w:rPr>
          <w:rFonts w:hAnsi="宋体"/>
          <w:sz w:val="24"/>
        </w:rPr>
        <w:t>电缆、光缆的型号、长度与容量、占地面积等。</w:t>
      </w:r>
    </w:p>
    <w:p>
      <w:pPr>
        <w:overflowPunct w:val="0"/>
        <w:autoSpaceDE w:val="0"/>
        <w:autoSpaceDN w:val="0"/>
        <w:adjustRightInd w:val="0"/>
        <w:spacing w:line="480" w:lineRule="exact"/>
        <w:ind w:firstLine="480" w:firstLineChars="200"/>
        <w:rPr>
          <w:sz w:val="24"/>
        </w:rPr>
      </w:pPr>
      <w:r>
        <w:rPr>
          <w:rFonts w:hAnsi="宋体"/>
          <w:sz w:val="24"/>
        </w:rPr>
        <w:t>设施包括无线通信基站、信号塔等，调查内容包括名称、权属、等级、规模、地点、建设年月、结构类型、数量</w:t>
      </w:r>
      <w:r>
        <w:rPr>
          <w:sz w:val="24"/>
        </w:rPr>
        <w:t>(</w:t>
      </w:r>
      <w:r>
        <w:rPr>
          <w:rFonts w:hAnsi="宋体"/>
          <w:sz w:val="24"/>
        </w:rPr>
        <w:t>工程量</w:t>
      </w:r>
      <w:r>
        <w:rPr>
          <w:sz w:val="24"/>
        </w:rPr>
        <w:t>)</w:t>
      </w:r>
      <w:r>
        <w:rPr>
          <w:rFonts w:hAnsi="宋体"/>
          <w:sz w:val="24"/>
        </w:rPr>
        <w:t>、占地面积等。</w:t>
      </w:r>
    </w:p>
    <w:p>
      <w:pPr>
        <w:overflowPunct w:val="0"/>
        <w:autoSpaceDE w:val="0"/>
        <w:autoSpaceDN w:val="0"/>
        <w:adjustRightInd w:val="0"/>
        <w:spacing w:line="480" w:lineRule="exact"/>
        <w:ind w:firstLine="480" w:firstLineChars="200"/>
        <w:rPr>
          <w:sz w:val="24"/>
        </w:rPr>
      </w:pPr>
      <w:r>
        <w:rPr>
          <w:rFonts w:hAnsi="宋体"/>
          <w:sz w:val="24"/>
        </w:rPr>
        <w:t>线路调查内容主要包括线路名称、权属、等级、起讫地点、建成年月、每杆对数、杆质、线材及线径，架空</w:t>
      </w:r>
      <w:r>
        <w:rPr>
          <w:sz w:val="24"/>
        </w:rPr>
        <w:t>(</w:t>
      </w:r>
      <w:r>
        <w:rPr>
          <w:rFonts w:hAnsi="宋体"/>
          <w:sz w:val="24"/>
        </w:rPr>
        <w:t>埋设</w:t>
      </w:r>
      <w:r>
        <w:rPr>
          <w:rFonts w:hint="eastAsia" w:hAnsi="宋体"/>
          <w:sz w:val="24"/>
        </w:rPr>
        <w:t>)</w:t>
      </w:r>
      <w:r>
        <w:rPr>
          <w:rFonts w:hAnsi="宋体"/>
          <w:sz w:val="24"/>
        </w:rPr>
        <w:t>电缆、光缆的型号、长度与容量、占地面积等。</w:t>
      </w:r>
    </w:p>
    <w:p>
      <w:pPr>
        <w:overflowPunct w:val="0"/>
        <w:autoSpaceDE w:val="0"/>
        <w:autoSpaceDN w:val="0"/>
        <w:adjustRightInd w:val="0"/>
        <w:spacing w:line="480" w:lineRule="exact"/>
        <w:ind w:firstLine="480" w:firstLineChars="200"/>
        <w:rPr>
          <w:sz w:val="24"/>
        </w:rPr>
      </w:pPr>
      <w:r>
        <w:rPr>
          <w:rFonts w:hAnsi="宋体"/>
          <w:sz w:val="24"/>
        </w:rPr>
        <w:t>设施包括无线通信基站、信号塔等，调查内容包括名称、权属、等级、规模、地点、建设年月、结构类型、数量</w:t>
      </w:r>
      <w:r>
        <w:rPr>
          <w:sz w:val="24"/>
        </w:rPr>
        <w:t>(</w:t>
      </w:r>
      <w:r>
        <w:rPr>
          <w:rFonts w:hAnsi="宋体"/>
          <w:sz w:val="24"/>
        </w:rPr>
        <w:t>工程量</w:t>
      </w:r>
      <w:r>
        <w:rPr>
          <w:sz w:val="24"/>
        </w:rPr>
        <w:t>)</w:t>
      </w:r>
      <w:r>
        <w:rPr>
          <w:rFonts w:hAnsi="宋体"/>
          <w:sz w:val="24"/>
        </w:rPr>
        <w:t>、占地面积等。</w:t>
      </w:r>
    </w:p>
    <w:p>
      <w:pPr>
        <w:overflowPunct w:val="0"/>
        <w:autoSpaceDE w:val="0"/>
        <w:autoSpaceDN w:val="0"/>
        <w:adjustRightInd w:val="0"/>
        <w:spacing w:line="480" w:lineRule="exact"/>
        <w:ind w:firstLine="480" w:firstLineChars="200"/>
        <w:rPr>
          <w:sz w:val="24"/>
        </w:rPr>
      </w:pPr>
      <w:r>
        <w:rPr>
          <w:rFonts w:hAnsi="宋体"/>
          <w:sz w:val="24"/>
        </w:rPr>
        <w:t>设备调查的项目主要有名称、型号、容量、数量等。</w:t>
      </w:r>
    </w:p>
    <w:p>
      <w:pPr>
        <w:numPr>
          <w:ilvl w:val="0"/>
          <w:numId w:val="5"/>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水利设施</w:t>
      </w:r>
    </w:p>
    <w:p>
      <w:pPr>
        <w:overflowPunct w:val="0"/>
        <w:autoSpaceDE w:val="0"/>
        <w:autoSpaceDN w:val="0"/>
        <w:adjustRightInd w:val="0"/>
        <w:spacing w:line="480" w:lineRule="exact"/>
        <w:ind w:firstLine="480" w:firstLineChars="200"/>
        <w:rPr>
          <w:sz w:val="24"/>
        </w:rPr>
      </w:pPr>
      <w:r>
        <w:rPr>
          <w:rFonts w:hAnsi="宋体"/>
          <w:sz w:val="24"/>
        </w:rPr>
        <w:t>水利设施包括乡级</w:t>
      </w:r>
      <w:r>
        <w:rPr>
          <w:sz w:val="24"/>
        </w:rPr>
        <w:t>(</w:t>
      </w:r>
      <w:r>
        <w:rPr>
          <w:rFonts w:hAnsi="宋体"/>
          <w:sz w:val="24"/>
        </w:rPr>
        <w:t>含乡级</w:t>
      </w:r>
      <w:r>
        <w:rPr>
          <w:sz w:val="24"/>
        </w:rPr>
        <w:t>)</w:t>
      </w:r>
      <w:r>
        <w:rPr>
          <w:rFonts w:hAnsi="宋体"/>
          <w:sz w:val="24"/>
        </w:rPr>
        <w:t>以上单位直属的水库、提水泵站、引水闸</w:t>
      </w:r>
      <w:r>
        <w:rPr>
          <w:sz w:val="24"/>
        </w:rPr>
        <w:t>(</w:t>
      </w:r>
      <w:r>
        <w:rPr>
          <w:rFonts w:hAnsi="宋体"/>
          <w:sz w:val="24"/>
        </w:rPr>
        <w:t>坝</w:t>
      </w:r>
      <w:r>
        <w:rPr>
          <w:sz w:val="24"/>
        </w:rPr>
        <w:t>)</w:t>
      </w:r>
      <w:r>
        <w:rPr>
          <w:rFonts w:hAnsi="宋体"/>
          <w:sz w:val="24"/>
        </w:rPr>
        <w:t>、渠道</w:t>
      </w:r>
      <w:r>
        <w:rPr>
          <w:sz w:val="24"/>
        </w:rPr>
        <w:t>(</w:t>
      </w:r>
      <w:r>
        <w:rPr>
          <w:rFonts w:hAnsi="宋体"/>
          <w:sz w:val="24"/>
        </w:rPr>
        <w:t>管道</w:t>
      </w:r>
      <w:r>
        <w:rPr>
          <w:sz w:val="24"/>
        </w:rPr>
        <w:t>)</w:t>
      </w:r>
      <w:r>
        <w:rPr>
          <w:rFonts w:hAnsi="宋体"/>
          <w:sz w:val="24"/>
        </w:rPr>
        <w:t>等及其配套设施。</w:t>
      </w:r>
    </w:p>
    <w:p>
      <w:pPr>
        <w:overflowPunct w:val="0"/>
        <w:autoSpaceDE w:val="0"/>
        <w:autoSpaceDN w:val="0"/>
        <w:adjustRightInd w:val="0"/>
        <w:spacing w:line="480" w:lineRule="exact"/>
        <w:ind w:firstLine="480" w:firstLineChars="200"/>
        <w:rPr>
          <w:sz w:val="24"/>
        </w:rPr>
      </w:pPr>
      <w:r>
        <w:rPr>
          <w:rFonts w:hAnsi="宋体"/>
          <w:sz w:val="24"/>
        </w:rPr>
        <w:t>水利工程调查内容包括项目名称、位置、权属、建成年月、规模、效益，主要建筑物名称、高程、数量、结构、规格，受益区受影响程度，职工人数等。</w:t>
      </w:r>
    </w:p>
    <w:p>
      <w:pPr>
        <w:overflowPunct w:val="0"/>
        <w:autoSpaceDE w:val="0"/>
        <w:autoSpaceDN w:val="0"/>
        <w:adjustRightInd w:val="0"/>
        <w:spacing w:line="480" w:lineRule="exact"/>
        <w:ind w:firstLine="480" w:firstLineChars="200"/>
        <w:rPr>
          <w:sz w:val="24"/>
        </w:rPr>
      </w:pPr>
      <w:r>
        <w:rPr>
          <w:rFonts w:hAnsi="宋体"/>
          <w:sz w:val="24"/>
        </w:rPr>
        <w:t>从有关部门收集设计、竣工等相关资料，持</w:t>
      </w:r>
      <w:r>
        <w:rPr>
          <w:sz w:val="24"/>
        </w:rPr>
        <w:t>1</w:t>
      </w:r>
      <w:r>
        <w:rPr>
          <w:rFonts w:ascii="宋体" w:hAnsi="宋体"/>
          <w:sz w:val="24"/>
        </w:rPr>
        <w:t>:</w:t>
      </w:r>
      <w:r>
        <w:rPr>
          <w:sz w:val="24"/>
        </w:rPr>
        <w:t>2000</w:t>
      </w:r>
      <w:r>
        <w:rPr>
          <w:rFonts w:hAnsi="宋体"/>
          <w:sz w:val="24"/>
        </w:rPr>
        <w:t>地类地形图对各设施涉及的内容进行逐项调查、丈量、核实；同时对水利设施原功能的影响程度、以及恢复原功能的必要性及可能性进行了解，并提出评价和建议；调查成果由项目权属人</w:t>
      </w:r>
      <w:r>
        <w:rPr>
          <w:sz w:val="24"/>
        </w:rPr>
        <w:t>(</w:t>
      </w:r>
      <w:r>
        <w:rPr>
          <w:rFonts w:hAnsi="宋体"/>
          <w:sz w:val="24"/>
        </w:rPr>
        <w:t>管理单位</w:t>
      </w:r>
      <w:r>
        <w:rPr>
          <w:sz w:val="24"/>
        </w:rPr>
        <w:t>)</w:t>
      </w:r>
      <w:r>
        <w:rPr>
          <w:rFonts w:hAnsi="宋体"/>
          <w:sz w:val="24"/>
        </w:rPr>
        <w:t>和调查者签字</w:t>
      </w:r>
      <w:r>
        <w:rPr>
          <w:sz w:val="24"/>
        </w:rPr>
        <w:t>(</w:t>
      </w:r>
      <w:r>
        <w:rPr>
          <w:rFonts w:hAnsi="宋体"/>
          <w:sz w:val="24"/>
        </w:rPr>
        <w:t>盖章</w:t>
      </w:r>
      <w:r>
        <w:rPr>
          <w:sz w:val="24"/>
        </w:rPr>
        <w:t>)</w:t>
      </w:r>
      <w:r>
        <w:rPr>
          <w:rFonts w:hAnsi="宋体"/>
          <w:sz w:val="24"/>
        </w:rPr>
        <w:t>认可。</w:t>
      </w:r>
    </w:p>
    <w:p>
      <w:pPr>
        <w:numPr>
          <w:ilvl w:val="0"/>
          <w:numId w:val="5"/>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压覆矿产资源调查</w:t>
      </w:r>
    </w:p>
    <w:p>
      <w:pPr>
        <w:overflowPunct w:val="0"/>
        <w:autoSpaceDE w:val="0"/>
        <w:autoSpaceDN w:val="0"/>
        <w:adjustRightInd w:val="0"/>
        <w:spacing w:line="480" w:lineRule="exact"/>
        <w:ind w:firstLine="480" w:firstLineChars="200"/>
        <w:rPr>
          <w:sz w:val="24"/>
        </w:rPr>
      </w:pPr>
      <w:r>
        <w:rPr>
          <w:rFonts w:hAnsi="宋体"/>
          <w:sz w:val="24"/>
        </w:rPr>
        <w:t>压覆矿产资源调查内容包括征</w:t>
      </w:r>
      <w:r>
        <w:rPr>
          <w:sz w:val="24"/>
        </w:rPr>
        <w:t>(</w:t>
      </w:r>
      <w:r>
        <w:rPr>
          <w:rFonts w:hAnsi="宋体"/>
          <w:sz w:val="24"/>
        </w:rPr>
        <w:t>占</w:t>
      </w:r>
      <w:r>
        <w:rPr>
          <w:sz w:val="24"/>
        </w:rPr>
        <w:t>)</w:t>
      </w:r>
      <w:r>
        <w:rPr>
          <w:rFonts w:hAnsi="宋体"/>
          <w:sz w:val="24"/>
        </w:rPr>
        <w:t>地影响的矿产资源名称、位置、范围、矿藏种类、品位、等级、储量等资料，工程建设征</w:t>
      </w:r>
      <w:r>
        <w:rPr>
          <w:sz w:val="24"/>
        </w:rPr>
        <w:t>(</w:t>
      </w:r>
      <w:r>
        <w:rPr>
          <w:rFonts w:hAnsi="宋体"/>
          <w:sz w:val="24"/>
        </w:rPr>
        <w:t>占</w:t>
      </w:r>
      <w:r>
        <w:rPr>
          <w:sz w:val="24"/>
        </w:rPr>
        <w:t>)</w:t>
      </w:r>
      <w:r>
        <w:rPr>
          <w:rFonts w:hAnsi="宋体"/>
          <w:sz w:val="24"/>
        </w:rPr>
        <w:t>对矿藏开采的影响，以及提前开采可能性等。调查方式为委托有资质的矿产部门调查，调查成果得到矿产主管部门认可。</w:t>
      </w:r>
    </w:p>
    <w:p>
      <w:pPr>
        <w:numPr>
          <w:ilvl w:val="0"/>
          <w:numId w:val="5"/>
        </w:numPr>
        <w:overflowPunct w:val="0"/>
        <w:autoSpaceDE w:val="0"/>
        <w:autoSpaceDN w:val="0"/>
        <w:adjustRightInd w:val="0"/>
        <w:spacing w:line="480" w:lineRule="exact"/>
        <w:ind w:left="0" w:firstLine="480" w:firstLineChars="200"/>
        <w:rPr>
          <w:sz w:val="24"/>
        </w:rPr>
      </w:pPr>
      <w:r>
        <w:rPr>
          <w:rFonts w:hint="eastAsia" w:hAnsi="宋体"/>
          <w:sz w:val="24"/>
        </w:rPr>
        <w:t xml:space="preserve"> </w:t>
      </w:r>
      <w:r>
        <w:rPr>
          <w:rFonts w:hAnsi="宋体"/>
          <w:sz w:val="24"/>
        </w:rPr>
        <w:t>文物古迹调查</w:t>
      </w:r>
    </w:p>
    <w:p>
      <w:pPr>
        <w:overflowPunct w:val="0"/>
        <w:autoSpaceDE w:val="0"/>
        <w:autoSpaceDN w:val="0"/>
        <w:adjustRightInd w:val="0"/>
        <w:spacing w:line="480" w:lineRule="exact"/>
        <w:ind w:firstLine="480" w:firstLineChars="200"/>
        <w:rPr>
          <w:sz w:val="24"/>
        </w:rPr>
      </w:pPr>
      <w:r>
        <w:rPr>
          <w:rFonts w:hAnsi="宋体"/>
          <w:sz w:val="24"/>
        </w:rPr>
        <w:t>文物古迹调查内容包括地面文物和地下文物两部分。地面文物调查内容包括受征</w:t>
      </w:r>
      <w:r>
        <w:rPr>
          <w:sz w:val="24"/>
        </w:rPr>
        <w:t>(</w:t>
      </w:r>
      <w:r>
        <w:rPr>
          <w:rFonts w:hAnsi="宋体"/>
          <w:sz w:val="24"/>
        </w:rPr>
        <w:t>占</w:t>
      </w:r>
      <w:r>
        <w:rPr>
          <w:sz w:val="24"/>
        </w:rPr>
        <w:t>)</w:t>
      </w:r>
      <w:r>
        <w:rPr>
          <w:rFonts w:hAnsi="宋体"/>
          <w:sz w:val="24"/>
        </w:rPr>
        <w:t>地影响的文物名称、占地面积、文物年代、建筑结构、规模、保护级别等。地下文物调查内容包括受征</w:t>
      </w:r>
      <w:r>
        <w:rPr>
          <w:sz w:val="24"/>
        </w:rPr>
        <w:t>(</w:t>
      </w:r>
      <w:r>
        <w:rPr>
          <w:rFonts w:hAnsi="宋体"/>
          <w:sz w:val="24"/>
        </w:rPr>
        <w:t>占</w:t>
      </w:r>
      <w:r>
        <w:rPr>
          <w:sz w:val="24"/>
        </w:rPr>
        <w:t>)</w:t>
      </w:r>
      <w:r>
        <w:rPr>
          <w:rFonts w:hAnsi="宋体"/>
          <w:sz w:val="24"/>
        </w:rPr>
        <w:t>地影响的文物名称、位置、年代、规模、保护级别等，对所涉及的文物进行拍照</w:t>
      </w:r>
      <w:r>
        <w:rPr>
          <w:sz w:val="24"/>
        </w:rPr>
        <w:t>(</w:t>
      </w:r>
      <w:r>
        <w:rPr>
          <w:rFonts w:hAnsi="宋体"/>
          <w:sz w:val="24"/>
        </w:rPr>
        <w:t>或录影</w:t>
      </w:r>
      <w:r>
        <w:rPr>
          <w:sz w:val="24"/>
        </w:rPr>
        <w:t>)</w:t>
      </w:r>
      <w:r>
        <w:rPr>
          <w:rFonts w:hAnsi="宋体"/>
          <w:sz w:val="24"/>
        </w:rPr>
        <w:t>，记录其原始图像资料。</w:t>
      </w:r>
    </w:p>
    <w:p>
      <w:pPr>
        <w:overflowPunct w:val="0"/>
        <w:autoSpaceDE w:val="0"/>
        <w:autoSpaceDN w:val="0"/>
        <w:adjustRightInd w:val="0"/>
        <w:spacing w:line="480" w:lineRule="exact"/>
        <w:ind w:firstLine="480" w:firstLineChars="200"/>
        <w:rPr>
          <w:sz w:val="24"/>
        </w:rPr>
      </w:pPr>
      <w:r>
        <w:rPr>
          <w:rFonts w:hAnsi="宋体"/>
          <w:sz w:val="24"/>
        </w:rPr>
        <w:t>调查方式为委托有资质的文物调查部门调查并提出处理方案，无地下文物古迹或不影响地下文物古迹的，应由文物主管部门提供证明。受委托单位最终应提供得到文物主管部门评审通过的调查评价报告。</w:t>
      </w:r>
    </w:p>
    <w:p>
      <w:pPr>
        <w:pStyle w:val="4"/>
        <w:rPr>
          <w:color w:val="000000"/>
        </w:rPr>
      </w:pPr>
      <w:bookmarkStart w:id="101" w:name="_Toc85632441"/>
      <w:bookmarkStart w:id="102" w:name="_Toc85487686"/>
      <w:bookmarkStart w:id="103" w:name="_Toc85660209"/>
      <w:r>
        <w:rPr>
          <w:color w:val="000000"/>
        </w:rPr>
        <w:t>3.2.5  调查成果</w:t>
      </w:r>
      <w:bookmarkEnd w:id="101"/>
      <w:bookmarkEnd w:id="102"/>
      <w:bookmarkEnd w:id="103"/>
    </w:p>
    <w:p>
      <w:pPr>
        <w:overflowPunct w:val="0"/>
        <w:autoSpaceDE w:val="0"/>
        <w:autoSpaceDN w:val="0"/>
        <w:adjustRightInd w:val="0"/>
        <w:spacing w:line="480" w:lineRule="exact"/>
        <w:ind w:firstLine="480" w:firstLineChars="200"/>
        <w:rPr>
          <w:color w:val="000000"/>
          <w:sz w:val="24"/>
        </w:rPr>
      </w:pPr>
      <w:r>
        <w:rPr>
          <w:rFonts w:hint="eastAsia" w:hAnsi="宋体"/>
          <w:color w:val="000000"/>
          <w:sz w:val="24"/>
        </w:rPr>
        <w:t>广东陆河</w:t>
      </w:r>
      <w:r>
        <w:rPr>
          <w:rFonts w:hAnsi="宋体"/>
          <w:color w:val="000000"/>
          <w:sz w:val="24"/>
        </w:rPr>
        <w:t>抽水蓄能电站建设征地涉及实物指标包括土地、房屋</w:t>
      </w:r>
      <w:r>
        <w:rPr>
          <w:rFonts w:hint="eastAsia" w:hAnsi="宋体"/>
          <w:color w:val="000000"/>
          <w:sz w:val="24"/>
        </w:rPr>
        <w:t>、</w:t>
      </w:r>
      <w:r>
        <w:rPr>
          <w:rFonts w:hAnsi="宋体"/>
          <w:color w:val="000000"/>
          <w:sz w:val="24"/>
        </w:rPr>
        <w:t>附属建筑物、</w:t>
      </w:r>
      <w:r>
        <w:rPr>
          <w:rFonts w:hint="eastAsia" w:hAnsi="宋体"/>
          <w:color w:val="000000"/>
          <w:sz w:val="24"/>
        </w:rPr>
        <w:t>零星树木、坟墓、个体工商户、</w:t>
      </w:r>
      <w:r>
        <w:rPr>
          <w:rFonts w:hAnsi="宋体"/>
          <w:color w:val="000000"/>
          <w:sz w:val="24"/>
        </w:rPr>
        <w:t>专业项目等</w:t>
      </w:r>
      <w:r>
        <w:rPr>
          <w:color w:val="000000"/>
          <w:sz w:val="24"/>
        </w:rPr>
        <w:t>8</w:t>
      </w:r>
      <w:r>
        <w:rPr>
          <w:rFonts w:hAnsi="宋体"/>
          <w:color w:val="000000"/>
          <w:sz w:val="24"/>
        </w:rPr>
        <w:t>类。</w:t>
      </w:r>
    </w:p>
    <w:p>
      <w:pPr>
        <w:overflowPunct w:val="0"/>
        <w:autoSpaceDE w:val="0"/>
        <w:autoSpaceDN w:val="0"/>
        <w:adjustRightInd w:val="0"/>
        <w:spacing w:line="480" w:lineRule="exact"/>
        <w:ind w:firstLine="480" w:firstLineChars="200"/>
        <w:rPr>
          <w:rFonts w:hAnsi="宋体"/>
          <w:color w:val="FF0000"/>
          <w:sz w:val="24"/>
        </w:rPr>
      </w:pPr>
      <w:r>
        <w:rPr>
          <w:rFonts w:hint="eastAsia" w:hAnsi="宋体"/>
          <w:color w:val="000000"/>
          <w:sz w:val="24"/>
        </w:rPr>
        <w:t>广东陆河</w:t>
      </w:r>
      <w:r>
        <w:rPr>
          <w:rFonts w:hAnsi="宋体"/>
          <w:color w:val="000000"/>
          <w:sz w:val="24"/>
        </w:rPr>
        <w:t>抽水蓄能电站建设征地影响涉及</w:t>
      </w:r>
      <w:bookmarkStart w:id="104" w:name="_Hlk95897126"/>
      <w:r>
        <w:rPr>
          <w:rFonts w:hint="eastAsia" w:hAnsi="宋体"/>
          <w:color w:val="000000"/>
          <w:sz w:val="24"/>
        </w:rPr>
        <w:t>陆河</w:t>
      </w:r>
      <w:r>
        <w:rPr>
          <w:rFonts w:hAnsi="宋体"/>
          <w:color w:val="000000"/>
          <w:sz w:val="24"/>
        </w:rPr>
        <w:t>县</w:t>
      </w:r>
      <w:r>
        <w:rPr>
          <w:rFonts w:hint="eastAsia" w:hAnsi="宋体"/>
          <w:color w:val="000000"/>
          <w:sz w:val="24"/>
        </w:rPr>
        <w:t>新田</w:t>
      </w:r>
      <w:r>
        <w:rPr>
          <w:rFonts w:hAnsi="宋体"/>
          <w:color w:val="000000"/>
          <w:sz w:val="24"/>
        </w:rPr>
        <w:t>镇</w:t>
      </w:r>
      <w:r>
        <w:rPr>
          <w:rFonts w:hint="eastAsia" w:hAnsi="宋体"/>
          <w:color w:val="000000"/>
          <w:sz w:val="24"/>
        </w:rPr>
        <w:t>胡坑村、激石溪村、吉溪林场</w:t>
      </w:r>
      <w:bookmarkEnd w:id="104"/>
      <w:r>
        <w:rPr>
          <w:rFonts w:hint="eastAsia" w:hAnsi="宋体"/>
          <w:color w:val="000000"/>
          <w:sz w:val="24"/>
        </w:rPr>
        <w:t>，采用各村民小组作为统计对象。</w:t>
      </w:r>
    </w:p>
    <w:p>
      <w:pPr>
        <w:overflowPunct w:val="0"/>
        <w:autoSpaceDE w:val="0"/>
        <w:autoSpaceDN w:val="0"/>
        <w:adjustRightInd w:val="0"/>
        <w:spacing w:line="480" w:lineRule="exact"/>
        <w:ind w:firstLine="480" w:firstLineChars="200"/>
        <w:rPr>
          <w:color w:val="FF0000"/>
          <w:sz w:val="24"/>
        </w:rPr>
        <w:sectPr>
          <w:headerReference r:id="rId11" w:type="default"/>
          <w:footerReference r:id="rId12" w:type="default"/>
          <w:pgSz w:w="11906" w:h="16838"/>
          <w:pgMar w:top="1588" w:right="1565" w:bottom="1531" w:left="1565" w:header="1134" w:footer="1247" w:gutter="0"/>
          <w:cols w:space="720" w:num="1"/>
          <w:docGrid w:linePitch="312" w:charSpace="0"/>
        </w:sectPr>
      </w:pPr>
    </w:p>
    <w:p>
      <w:pPr>
        <w:pStyle w:val="517"/>
        <w:rPr>
          <w:color w:val="000000"/>
          <w:kern w:val="2"/>
        </w:rPr>
      </w:pPr>
      <w:bookmarkStart w:id="105" w:name="_Hlk85999547"/>
      <w:r>
        <w:rPr>
          <w:color w:val="000000"/>
          <w:kern w:val="2"/>
        </w:rPr>
        <w:t>表</w:t>
      </w:r>
      <w:r>
        <w:rPr>
          <w:rFonts w:hint="eastAsia"/>
          <w:color w:val="000000"/>
          <w:kern w:val="2"/>
        </w:rPr>
        <w:t>3</w:t>
      </w:r>
      <w:r>
        <w:rPr>
          <w:color w:val="000000"/>
          <w:kern w:val="2"/>
        </w:rPr>
        <w:t xml:space="preserve">.2.5-1  </w:t>
      </w:r>
      <w:r>
        <w:rPr>
          <w:rFonts w:hint="eastAsia"/>
          <w:color w:val="000000"/>
          <w:kern w:val="2"/>
        </w:rPr>
        <w:t>陆河</w:t>
      </w:r>
      <w:r>
        <w:rPr>
          <w:color w:val="000000"/>
          <w:kern w:val="2"/>
        </w:rPr>
        <w:t>抽水蓄能电站建设征地实物指标汇总表</w:t>
      </w:r>
    </w:p>
    <w:bookmarkEnd w:id="105"/>
    <w:tbl>
      <w:tblPr>
        <w:tblStyle w:val="79"/>
        <w:tblW w:w="136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4"/>
        <w:gridCol w:w="2656"/>
        <w:gridCol w:w="1224"/>
        <w:gridCol w:w="1224"/>
        <w:gridCol w:w="1225"/>
        <w:gridCol w:w="1225"/>
        <w:gridCol w:w="1233"/>
        <w:gridCol w:w="1225"/>
        <w:gridCol w:w="1225"/>
        <w:gridCol w:w="1233"/>
        <w:gridCol w:w="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tblHeader/>
          <w:jc w:val="center"/>
        </w:trPr>
        <w:tc>
          <w:tcPr>
            <w:tcW w:w="1224" w:type="dxa"/>
            <w:vMerge w:val="restart"/>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序号</w:t>
            </w:r>
          </w:p>
        </w:tc>
        <w:tc>
          <w:tcPr>
            <w:tcW w:w="2656" w:type="dxa"/>
            <w:vMerge w:val="restart"/>
            <w:vAlign w:val="center"/>
          </w:tcPr>
          <w:p>
            <w:pPr>
              <w:widowControl/>
              <w:adjustRightInd w:val="0"/>
              <w:snapToGrid w:val="0"/>
              <w:jc w:val="center"/>
              <w:textAlignment w:val="center"/>
              <w:rPr>
                <w:rFonts w:cs="Times New Roman"/>
                <w:b/>
                <w:bCs/>
                <w:color w:val="000000"/>
              </w:rPr>
            </w:pPr>
            <w:r>
              <w:rPr>
                <w:rFonts w:hAnsi="宋体" w:cs="Times New Roman"/>
                <w:b/>
                <w:bCs/>
                <w:color w:val="000000"/>
              </w:rPr>
              <w:t>项</w:t>
            </w:r>
            <w:r>
              <w:rPr>
                <w:rFonts w:cs="Times New Roman"/>
                <w:b/>
                <w:bCs/>
                <w:color w:val="000000"/>
              </w:rPr>
              <w:t xml:space="preserve">    </w:t>
            </w:r>
            <w:r>
              <w:rPr>
                <w:rFonts w:hAnsi="宋体" w:cs="Times New Roman"/>
                <w:b/>
                <w:bCs/>
                <w:color w:val="000000"/>
              </w:rPr>
              <w:t>目</w:t>
            </w:r>
          </w:p>
        </w:tc>
        <w:tc>
          <w:tcPr>
            <w:tcW w:w="1224" w:type="dxa"/>
            <w:vMerge w:val="restart"/>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单位</w:t>
            </w:r>
          </w:p>
        </w:tc>
        <w:tc>
          <w:tcPr>
            <w:tcW w:w="1224" w:type="dxa"/>
            <w:vMerge w:val="restart"/>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合计</w:t>
            </w:r>
          </w:p>
        </w:tc>
        <w:tc>
          <w:tcPr>
            <w:tcW w:w="3683" w:type="dxa"/>
            <w:gridSpan w:val="3"/>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枢纽工程建设区</w:t>
            </w:r>
          </w:p>
        </w:tc>
        <w:tc>
          <w:tcPr>
            <w:tcW w:w="3683" w:type="dxa"/>
            <w:gridSpan w:val="3"/>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水库淹没影响区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tblHeader/>
          <w:jc w:val="center"/>
        </w:trPr>
        <w:tc>
          <w:tcPr>
            <w:tcW w:w="1224" w:type="dxa"/>
            <w:vMerge w:val="continue"/>
            <w:vAlign w:val="center"/>
          </w:tcPr>
          <w:p>
            <w:pPr>
              <w:adjustRightInd w:val="0"/>
              <w:snapToGrid w:val="0"/>
              <w:jc w:val="center"/>
              <w:rPr>
                <w:rFonts w:cs="Times New Roman"/>
                <w:b/>
                <w:bCs/>
                <w:color w:val="000000"/>
              </w:rPr>
            </w:pPr>
          </w:p>
        </w:tc>
        <w:tc>
          <w:tcPr>
            <w:tcW w:w="2656" w:type="dxa"/>
            <w:vMerge w:val="continue"/>
            <w:vAlign w:val="center"/>
          </w:tcPr>
          <w:p>
            <w:pPr>
              <w:adjustRightInd w:val="0"/>
              <w:snapToGrid w:val="0"/>
              <w:jc w:val="center"/>
              <w:rPr>
                <w:rFonts w:cs="Times New Roman"/>
                <w:b/>
                <w:bCs/>
                <w:color w:val="000000"/>
              </w:rPr>
            </w:pPr>
          </w:p>
        </w:tc>
        <w:tc>
          <w:tcPr>
            <w:tcW w:w="1224" w:type="dxa"/>
            <w:vMerge w:val="continue"/>
            <w:vAlign w:val="center"/>
          </w:tcPr>
          <w:p>
            <w:pPr>
              <w:adjustRightInd w:val="0"/>
              <w:snapToGrid w:val="0"/>
              <w:jc w:val="center"/>
              <w:rPr>
                <w:rFonts w:cs="Times New Roman"/>
                <w:b/>
                <w:bCs/>
                <w:color w:val="000000"/>
              </w:rPr>
            </w:pPr>
          </w:p>
        </w:tc>
        <w:tc>
          <w:tcPr>
            <w:tcW w:w="1224" w:type="dxa"/>
            <w:vMerge w:val="continue"/>
            <w:vAlign w:val="center"/>
          </w:tcPr>
          <w:p>
            <w:pPr>
              <w:adjustRightInd w:val="0"/>
              <w:snapToGrid w:val="0"/>
              <w:jc w:val="center"/>
              <w:rPr>
                <w:rFonts w:cs="Times New Roman"/>
                <w:b/>
                <w:bCs/>
                <w:color w:val="000000"/>
              </w:rPr>
            </w:pPr>
          </w:p>
        </w:tc>
        <w:tc>
          <w:tcPr>
            <w:tcW w:w="1225" w:type="dxa"/>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小计</w:t>
            </w:r>
          </w:p>
        </w:tc>
        <w:tc>
          <w:tcPr>
            <w:tcW w:w="1225" w:type="dxa"/>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永久占地</w:t>
            </w:r>
          </w:p>
        </w:tc>
        <w:tc>
          <w:tcPr>
            <w:tcW w:w="1233" w:type="dxa"/>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临时用地</w:t>
            </w:r>
          </w:p>
        </w:tc>
        <w:tc>
          <w:tcPr>
            <w:tcW w:w="1225" w:type="dxa"/>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小计</w:t>
            </w:r>
          </w:p>
        </w:tc>
        <w:tc>
          <w:tcPr>
            <w:tcW w:w="1225" w:type="dxa"/>
            <w:vAlign w:val="center"/>
          </w:tcPr>
          <w:p>
            <w:pPr>
              <w:widowControl/>
              <w:adjustRightInd w:val="0"/>
              <w:snapToGrid w:val="0"/>
              <w:jc w:val="center"/>
              <w:textAlignment w:val="center"/>
              <w:rPr>
                <w:rFonts w:hAnsi="宋体" w:cs="Times New Roman"/>
                <w:b/>
                <w:bCs/>
                <w:color w:val="000000"/>
                <w:kern w:val="0"/>
                <w:lang w:bidi="ar"/>
              </w:rPr>
            </w:pPr>
            <w:r>
              <w:rPr>
                <w:rFonts w:hAnsi="宋体" w:cs="Times New Roman"/>
                <w:b/>
                <w:bCs/>
                <w:color w:val="000000"/>
                <w:kern w:val="0"/>
                <w:lang w:bidi="ar"/>
              </w:rPr>
              <w:t>上水库</w:t>
            </w:r>
          </w:p>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淹没区</w:t>
            </w:r>
          </w:p>
        </w:tc>
        <w:tc>
          <w:tcPr>
            <w:tcW w:w="1233" w:type="dxa"/>
            <w:vAlign w:val="center"/>
          </w:tcPr>
          <w:p>
            <w:pPr>
              <w:widowControl/>
              <w:adjustRightInd w:val="0"/>
              <w:snapToGrid w:val="0"/>
              <w:jc w:val="center"/>
              <w:textAlignment w:val="center"/>
              <w:rPr>
                <w:rFonts w:hAnsi="宋体" w:cs="Times New Roman"/>
                <w:b/>
                <w:bCs/>
                <w:color w:val="000000"/>
                <w:kern w:val="0"/>
                <w:lang w:bidi="ar"/>
              </w:rPr>
            </w:pPr>
            <w:r>
              <w:rPr>
                <w:rFonts w:hAnsi="宋体" w:cs="Times New Roman"/>
                <w:b/>
                <w:bCs/>
                <w:color w:val="000000"/>
                <w:kern w:val="0"/>
                <w:lang w:bidi="ar"/>
              </w:rPr>
              <w:t>下水库</w:t>
            </w:r>
          </w:p>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一</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土地面积</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4791.33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3412.43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2450.60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961.83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1378.90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872.79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506.11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陆地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4643.49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3402.96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2441.13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961.83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1240.53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765.92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474.61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水域</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147.84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9.47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9.47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138.37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106.87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耕地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516.19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222.47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206.92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15.55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293.71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151.28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142.43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365.28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168.40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152.86 </w:t>
            </w:r>
          </w:p>
        </w:tc>
        <w:tc>
          <w:tcPr>
            <w:tcW w:w="1233" w:type="dxa"/>
            <w:shd w:val="clear" w:color="auto" w:fill="auto"/>
            <w:vAlign w:val="center"/>
          </w:tcPr>
          <w:p>
            <w:pPr>
              <w:adjustRightInd w:val="0"/>
              <w:snapToGrid w:val="0"/>
              <w:jc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15.54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196.88 </w:t>
            </w:r>
          </w:p>
        </w:tc>
        <w:tc>
          <w:tcPr>
            <w:tcW w:w="1225" w:type="dxa"/>
            <w:shd w:val="clear" w:color="auto" w:fill="auto"/>
            <w:vAlign w:val="center"/>
          </w:tcPr>
          <w:p>
            <w:pPr>
              <w:adjustRightInd w:val="0"/>
              <w:snapToGrid w:val="0"/>
              <w:jc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79.09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117.79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旱地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150.90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54.08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54.06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0.02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96.83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72.19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24.64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园地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27.67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19.66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15.98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3.68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8.01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8.01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果园</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19.95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18.57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14.89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3.68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1.39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1.39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茶园</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7.72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1.09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1.09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6.62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6.62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林地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4014.36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3128.27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2195.91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932.36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886.09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579.60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306.49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有林地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3980.31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3124.90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2192.54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932.36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855.41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549.25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306.16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灌木林地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34.05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3.37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3.37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30.68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30.35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0.33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草地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21.35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2.28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2.26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0.02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19.08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14.75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4.33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4" w:type="dxa"/>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其他草地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21.35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2.28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2.26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0.02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19.08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14.75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4.33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blHeader/>
          <w:jc w:val="center"/>
        </w:trPr>
        <w:tc>
          <w:tcPr>
            <w:tcW w:w="13698" w:type="dxa"/>
            <w:gridSpan w:val="11"/>
            <w:tcBorders>
              <w:top w:val="nil"/>
              <w:left w:val="nil"/>
              <w:bottom w:val="single" w:color="auto" w:sz="12" w:space="0"/>
              <w:right w:val="nil"/>
            </w:tcBorders>
            <w:vAlign w:val="center"/>
          </w:tcPr>
          <w:p>
            <w:pPr>
              <w:widowControl/>
              <w:adjustRightInd w:val="0"/>
              <w:snapToGrid w:val="0"/>
              <w:jc w:val="center"/>
              <w:textAlignment w:val="center"/>
              <w:rPr>
                <w:rFonts w:eastAsia="黑体" w:cs="Times New Roman"/>
                <w:b/>
                <w:bCs/>
                <w:color w:val="000000"/>
                <w:kern w:val="0"/>
                <w:sz w:val="24"/>
                <w:szCs w:val="24"/>
                <w:lang w:bidi="ar"/>
              </w:rPr>
            </w:pPr>
            <w:r>
              <w:rPr>
                <w:rFonts w:hAnsi="黑体" w:eastAsia="黑体" w:cs="Times New Roman"/>
                <w:color w:val="000000"/>
                <w:sz w:val="24"/>
                <w:szCs w:val="24"/>
              </w:rPr>
              <w:t>表</w:t>
            </w:r>
            <w:r>
              <w:rPr>
                <w:rFonts w:eastAsia="黑体" w:cs="Times New Roman"/>
                <w:color w:val="000000"/>
                <w:sz w:val="24"/>
                <w:szCs w:val="24"/>
              </w:rPr>
              <w:t>3.2.5-1(</w:t>
            </w:r>
            <w:r>
              <w:rPr>
                <w:rFonts w:hAnsi="黑体" w:eastAsia="黑体" w:cs="Times New Roman"/>
                <w:color w:val="000000"/>
                <w:sz w:val="24"/>
                <w:szCs w:val="24"/>
              </w:rPr>
              <w:t>续</w:t>
            </w:r>
            <w:r>
              <w:rPr>
                <w:rFonts w:eastAsia="黑体" w:cs="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blHeader/>
          <w:jc w:val="center"/>
        </w:trPr>
        <w:tc>
          <w:tcPr>
            <w:tcW w:w="1224" w:type="dxa"/>
            <w:vMerge w:val="restart"/>
            <w:tcBorders>
              <w:top w:val="single" w:color="auto" w:sz="12" w:space="0"/>
            </w:tcBorders>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序号</w:t>
            </w:r>
          </w:p>
        </w:tc>
        <w:tc>
          <w:tcPr>
            <w:tcW w:w="2656" w:type="dxa"/>
            <w:vMerge w:val="restart"/>
            <w:tcBorders>
              <w:top w:val="single" w:color="auto" w:sz="12" w:space="0"/>
            </w:tcBorders>
            <w:vAlign w:val="center"/>
          </w:tcPr>
          <w:p>
            <w:pPr>
              <w:widowControl/>
              <w:adjustRightInd w:val="0"/>
              <w:snapToGrid w:val="0"/>
              <w:jc w:val="center"/>
              <w:textAlignment w:val="center"/>
              <w:rPr>
                <w:rFonts w:cs="Times New Roman"/>
                <w:b/>
                <w:bCs/>
                <w:color w:val="000000"/>
              </w:rPr>
            </w:pPr>
            <w:r>
              <w:rPr>
                <w:rFonts w:hAnsi="宋体" w:cs="Times New Roman"/>
                <w:b/>
                <w:bCs/>
                <w:color w:val="000000"/>
              </w:rPr>
              <w:t>项</w:t>
            </w:r>
            <w:r>
              <w:rPr>
                <w:rFonts w:cs="Times New Roman"/>
                <w:b/>
                <w:bCs/>
                <w:color w:val="000000"/>
              </w:rPr>
              <w:t xml:space="preserve">    </w:t>
            </w:r>
            <w:r>
              <w:rPr>
                <w:rFonts w:hAnsi="宋体" w:cs="Times New Roman"/>
                <w:b/>
                <w:bCs/>
                <w:color w:val="000000"/>
              </w:rPr>
              <w:t>目</w:t>
            </w:r>
          </w:p>
        </w:tc>
        <w:tc>
          <w:tcPr>
            <w:tcW w:w="1224" w:type="dxa"/>
            <w:vMerge w:val="restart"/>
            <w:tcBorders>
              <w:top w:val="single" w:color="auto" w:sz="12" w:space="0"/>
            </w:tcBorders>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单位</w:t>
            </w:r>
          </w:p>
        </w:tc>
        <w:tc>
          <w:tcPr>
            <w:tcW w:w="1224" w:type="dxa"/>
            <w:vMerge w:val="restart"/>
            <w:tcBorders>
              <w:top w:val="single" w:color="auto" w:sz="12" w:space="0"/>
            </w:tcBorders>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合计</w:t>
            </w:r>
          </w:p>
        </w:tc>
        <w:tc>
          <w:tcPr>
            <w:tcW w:w="3683" w:type="dxa"/>
            <w:gridSpan w:val="3"/>
            <w:tcBorders>
              <w:top w:val="single" w:color="auto" w:sz="12" w:space="0"/>
            </w:tcBorders>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枢纽工程建设区</w:t>
            </w:r>
          </w:p>
        </w:tc>
        <w:tc>
          <w:tcPr>
            <w:tcW w:w="3687" w:type="dxa"/>
            <w:gridSpan w:val="4"/>
            <w:tcBorders>
              <w:top w:val="single" w:color="auto" w:sz="12" w:space="0"/>
            </w:tcBorders>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水库淹没影响区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tblHeader/>
          <w:jc w:val="center"/>
        </w:trPr>
        <w:tc>
          <w:tcPr>
            <w:tcW w:w="1224" w:type="dxa"/>
            <w:vMerge w:val="continue"/>
            <w:vAlign w:val="center"/>
          </w:tcPr>
          <w:p>
            <w:pPr>
              <w:adjustRightInd w:val="0"/>
              <w:snapToGrid w:val="0"/>
              <w:jc w:val="center"/>
              <w:rPr>
                <w:rFonts w:cs="Times New Roman"/>
                <w:b/>
                <w:bCs/>
                <w:color w:val="000000"/>
              </w:rPr>
            </w:pPr>
          </w:p>
        </w:tc>
        <w:tc>
          <w:tcPr>
            <w:tcW w:w="2656" w:type="dxa"/>
            <w:vMerge w:val="continue"/>
            <w:vAlign w:val="center"/>
          </w:tcPr>
          <w:p>
            <w:pPr>
              <w:adjustRightInd w:val="0"/>
              <w:snapToGrid w:val="0"/>
              <w:jc w:val="center"/>
              <w:rPr>
                <w:rFonts w:cs="Times New Roman"/>
                <w:b/>
                <w:bCs/>
                <w:color w:val="000000"/>
              </w:rPr>
            </w:pPr>
          </w:p>
        </w:tc>
        <w:tc>
          <w:tcPr>
            <w:tcW w:w="1224" w:type="dxa"/>
            <w:vMerge w:val="continue"/>
            <w:vAlign w:val="center"/>
          </w:tcPr>
          <w:p>
            <w:pPr>
              <w:adjustRightInd w:val="0"/>
              <w:snapToGrid w:val="0"/>
              <w:jc w:val="center"/>
              <w:rPr>
                <w:rFonts w:cs="Times New Roman"/>
                <w:b/>
                <w:bCs/>
                <w:color w:val="000000"/>
              </w:rPr>
            </w:pPr>
          </w:p>
        </w:tc>
        <w:tc>
          <w:tcPr>
            <w:tcW w:w="1224" w:type="dxa"/>
            <w:vMerge w:val="continue"/>
            <w:vAlign w:val="center"/>
          </w:tcPr>
          <w:p>
            <w:pPr>
              <w:adjustRightInd w:val="0"/>
              <w:snapToGrid w:val="0"/>
              <w:jc w:val="center"/>
              <w:rPr>
                <w:rFonts w:cs="Times New Roman"/>
                <w:b/>
                <w:bCs/>
                <w:color w:val="000000"/>
              </w:rPr>
            </w:pPr>
          </w:p>
        </w:tc>
        <w:tc>
          <w:tcPr>
            <w:tcW w:w="1225" w:type="dxa"/>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小计</w:t>
            </w:r>
          </w:p>
        </w:tc>
        <w:tc>
          <w:tcPr>
            <w:tcW w:w="1225" w:type="dxa"/>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永久占地</w:t>
            </w:r>
          </w:p>
        </w:tc>
        <w:tc>
          <w:tcPr>
            <w:tcW w:w="1233" w:type="dxa"/>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临时用地</w:t>
            </w:r>
          </w:p>
        </w:tc>
        <w:tc>
          <w:tcPr>
            <w:tcW w:w="1225" w:type="dxa"/>
            <w:vAlign w:val="center"/>
          </w:tcPr>
          <w:p>
            <w:pPr>
              <w:widowControl/>
              <w:adjustRightInd w:val="0"/>
              <w:snapToGrid w:val="0"/>
              <w:jc w:val="center"/>
              <w:textAlignment w:val="center"/>
              <w:rPr>
                <w:rFonts w:cs="Times New Roman"/>
                <w:b/>
                <w:bCs/>
                <w:color w:val="000000"/>
              </w:rPr>
            </w:pPr>
            <w:r>
              <w:rPr>
                <w:rFonts w:hAnsi="宋体" w:cs="Times New Roman"/>
                <w:b/>
                <w:bCs/>
                <w:color w:val="000000"/>
                <w:kern w:val="0"/>
                <w:lang w:bidi="ar"/>
              </w:rPr>
              <w:t>小计</w:t>
            </w:r>
          </w:p>
        </w:tc>
        <w:tc>
          <w:tcPr>
            <w:tcW w:w="1225" w:type="dxa"/>
            <w:vAlign w:val="center"/>
          </w:tcPr>
          <w:p>
            <w:pPr>
              <w:widowControl/>
              <w:adjustRightInd w:val="0"/>
              <w:snapToGrid w:val="0"/>
              <w:jc w:val="center"/>
              <w:textAlignment w:val="center"/>
              <w:rPr>
                <w:rFonts w:hAnsi="宋体" w:cs="Times New Roman"/>
                <w:b/>
                <w:bCs/>
                <w:color w:val="000000"/>
                <w:kern w:val="0"/>
                <w:lang w:bidi="ar"/>
              </w:rPr>
            </w:pPr>
            <w:r>
              <w:rPr>
                <w:rFonts w:hAnsi="宋体" w:cs="Times New Roman"/>
                <w:b/>
                <w:bCs/>
                <w:color w:val="000000"/>
                <w:kern w:val="0"/>
                <w:lang w:bidi="ar"/>
              </w:rPr>
              <w:t>上水库</w:t>
            </w:r>
          </w:p>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淹没区</w:t>
            </w:r>
          </w:p>
        </w:tc>
        <w:tc>
          <w:tcPr>
            <w:tcW w:w="1237" w:type="dxa"/>
            <w:gridSpan w:val="2"/>
            <w:vAlign w:val="center"/>
          </w:tcPr>
          <w:p>
            <w:pPr>
              <w:widowControl/>
              <w:adjustRightInd w:val="0"/>
              <w:snapToGrid w:val="0"/>
              <w:jc w:val="center"/>
              <w:textAlignment w:val="center"/>
              <w:rPr>
                <w:rFonts w:hAnsi="宋体" w:cs="Times New Roman"/>
                <w:b/>
                <w:bCs/>
                <w:color w:val="000000"/>
                <w:kern w:val="0"/>
                <w:lang w:bidi="ar"/>
              </w:rPr>
            </w:pPr>
            <w:r>
              <w:rPr>
                <w:rFonts w:hAnsi="宋体" w:cs="Times New Roman"/>
                <w:b/>
                <w:bCs/>
                <w:color w:val="000000"/>
                <w:kern w:val="0"/>
                <w:lang w:bidi="ar"/>
              </w:rPr>
              <w:t>下水库</w:t>
            </w:r>
          </w:p>
          <w:p>
            <w:pPr>
              <w:widowControl/>
              <w:adjustRightInd w:val="0"/>
              <w:snapToGrid w:val="0"/>
              <w:jc w:val="center"/>
              <w:textAlignment w:val="center"/>
              <w:rPr>
                <w:rFonts w:cs="Times New Roman"/>
                <w:b/>
                <w:bCs/>
                <w:color w:val="000000"/>
              </w:rPr>
            </w:pPr>
            <w:r>
              <w:rPr>
                <w:rFonts w:hAnsi="宋体" w:cs="Times New Roman"/>
                <w:b/>
                <w:bCs/>
                <w:color w:val="000000"/>
                <w:kern w:val="0"/>
                <w:lang w:bidi="ar"/>
              </w:rPr>
              <w:t>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住宅用地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2.48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0.60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0.60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1.88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7" w:type="dxa"/>
            <w:gridSpan w:val="2"/>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1.88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农村宅基地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2.48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0.60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0.60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1.88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7" w:type="dxa"/>
            <w:gridSpan w:val="2"/>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1.88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交通运输用地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61.43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29.67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19.46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10.22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31.76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20.29 </w:t>
            </w:r>
          </w:p>
        </w:tc>
        <w:tc>
          <w:tcPr>
            <w:tcW w:w="1237" w:type="dxa"/>
            <w:gridSpan w:val="2"/>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11.47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公路用地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10.45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4.75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4.75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5.70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7" w:type="dxa"/>
            <w:gridSpan w:val="2"/>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农村道路</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50.98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24.92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14.71 </w:t>
            </w:r>
          </w:p>
        </w:tc>
        <w:tc>
          <w:tcPr>
            <w:tcW w:w="1233"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10.22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26.06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20.29 </w:t>
            </w:r>
          </w:p>
        </w:tc>
        <w:tc>
          <w:tcPr>
            <w:tcW w:w="1237" w:type="dxa"/>
            <w:gridSpan w:val="2"/>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5.77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水域及水利设施用地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147.84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9.47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9.47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138.37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106.87 </w:t>
            </w:r>
          </w:p>
        </w:tc>
        <w:tc>
          <w:tcPr>
            <w:tcW w:w="1237" w:type="dxa"/>
            <w:gridSpan w:val="2"/>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河流水面</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32.14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9.47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9.47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22.67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7" w:type="dxa"/>
            <w:gridSpan w:val="2"/>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22.67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水库水面</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99.79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99.79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99.79 </w:t>
            </w:r>
          </w:p>
        </w:tc>
        <w:tc>
          <w:tcPr>
            <w:tcW w:w="1237" w:type="dxa"/>
            <w:gridSpan w:val="2"/>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水工建筑用地</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亩</w:t>
            </w:r>
          </w:p>
        </w:tc>
        <w:tc>
          <w:tcPr>
            <w:tcW w:w="1224"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15.91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33" w:type="dxa"/>
            <w:shd w:val="clear" w:color="auto" w:fill="auto"/>
            <w:vAlign w:val="center"/>
          </w:tcPr>
          <w:p>
            <w:pPr>
              <w:adjustRightInd w:val="0"/>
              <w:snapToGrid w:val="0"/>
              <w:jc w:val="center"/>
              <w:rPr>
                <w:rFonts w:cs="Times New Roman"/>
                <w:color w:val="000000"/>
                <w:kern w:val="0"/>
                <w:lang w:bidi="ar"/>
              </w:rPr>
            </w:pPr>
            <w:r>
              <w:rPr>
                <w:rFonts w:hint="eastAsia" w:ascii="Times New Roman" w:hAnsi="Times New Roman" w:eastAsia="宋体" w:cs="Times New Roman"/>
                <w:color w:val="000000"/>
                <w:kern w:val="0"/>
                <w:sz w:val="21"/>
                <w:szCs w:val="21"/>
                <w:lang w:bidi="ar"/>
              </w:rPr>
              <w:t>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15.91 </w:t>
            </w:r>
          </w:p>
        </w:tc>
        <w:tc>
          <w:tcPr>
            <w:tcW w:w="1225" w:type="dxa"/>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7.08 </w:t>
            </w:r>
          </w:p>
        </w:tc>
        <w:tc>
          <w:tcPr>
            <w:tcW w:w="1237" w:type="dxa"/>
            <w:gridSpan w:val="2"/>
            <w:shd w:val="clear" w:color="auto" w:fill="auto"/>
            <w:vAlign w:val="center"/>
          </w:tcPr>
          <w:p>
            <w:pPr>
              <w:widowControl/>
              <w:adjustRightInd w:val="0"/>
              <w:snapToGrid w:val="0"/>
              <w:jc w:val="center"/>
              <w:textAlignment w:val="center"/>
              <w:rPr>
                <w:rFonts w:cs="Times New Roman"/>
                <w:color w:val="000000"/>
                <w:kern w:val="0"/>
                <w:lang w:bidi="ar"/>
              </w:rPr>
            </w:pPr>
            <w:r>
              <w:rPr>
                <w:rFonts w:ascii="Times New Roman" w:hAnsi="Times New Roman" w:eastAsia="宋体" w:cs="Times New Roman"/>
                <w:color w:val="000000"/>
                <w:kern w:val="0"/>
                <w:sz w:val="21"/>
                <w:szCs w:val="21"/>
                <w:lang w:bidi="ar"/>
              </w:rPr>
              <w:t xml:space="preserve">8.83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二</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房屋</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1086.63</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1086.63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1086.63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框架结构</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砖混结构</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133.43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133.43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133.43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砖木结构</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土木结构</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193.53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193.53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193.53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木结构</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简易结构</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其他结构</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747.44</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747.44</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747.44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三</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附属建筑物</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rPr>
              <w:t>地坪</w:t>
            </w:r>
            <w:r>
              <w:rPr>
                <w:rFonts w:cs="Times New Roman"/>
                <w:color w:val="000000"/>
              </w:rPr>
              <w:t>(m</w:t>
            </w:r>
            <w:r>
              <w:rPr>
                <w:rFonts w:cs="Times New Roman"/>
                <w:color w:val="000000"/>
                <w:vertAlign w:val="superscript"/>
              </w:rPr>
              <w:t>2</w:t>
            </w:r>
            <w:r>
              <w:rPr>
                <w:rFonts w:cs="Times New Roman"/>
                <w:color w:val="000000"/>
              </w:rPr>
              <w:t>)</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1300.73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1300.73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1300.73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水泥</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1218.72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1218.72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1218.72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铺砖</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82.01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82.01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82.01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砖砌围墙</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圈舍</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90.81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90.81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90.81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护栏</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56.61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56.61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56.61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排碑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2.24</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2.24</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香炉</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2.59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2.59</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浆砌石基础</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204.42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204.42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204.42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铁门</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遮阴网棚</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213.27</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213.27</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213.27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屋外灶台</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rPr>
              <w:t>入户道路</w:t>
            </w:r>
            <w:r>
              <w:rPr>
                <w:rFonts w:cs="Times New Roman"/>
                <w:color w:val="000000"/>
              </w:rPr>
              <w:t>(m</w:t>
            </w:r>
            <w:r>
              <w:rPr>
                <w:rFonts w:cs="Times New Roman"/>
                <w:color w:val="000000"/>
                <w:vertAlign w:val="superscript"/>
              </w:rPr>
              <w:t>2</w:t>
            </w:r>
            <w:r>
              <w:rPr>
                <w:rFonts w:cs="Times New Roman"/>
                <w:color w:val="000000"/>
              </w:rPr>
              <w:t>)</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188.48</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188.48</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188.48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三合土</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86.4</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86.4</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86.4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土</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102.08</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102.08</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102.08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化粪池</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个</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蜂箱</w:t>
            </w:r>
            <w:r>
              <w:rPr>
                <w:rFonts w:cs="Times New Roman"/>
                <w:color w:val="000000"/>
                <w:kern w:val="0"/>
                <w:lang w:bidi="ar"/>
              </w:rPr>
              <w:t>(</w:t>
            </w:r>
            <w:r>
              <w:rPr>
                <w:rFonts w:hAnsi="宋体" w:cs="Times New Roman"/>
                <w:color w:val="000000"/>
                <w:kern w:val="0"/>
                <w:lang w:bidi="ar"/>
              </w:rPr>
              <w:t>个</w:t>
            </w:r>
            <w:r>
              <w:rPr>
                <w:rFonts w:cs="Times New Roman"/>
                <w:color w:val="000000"/>
                <w:kern w:val="0"/>
                <w:lang w:bidi="ar"/>
              </w:rPr>
              <w:t>)</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600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600</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有蜂</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500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500</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无蜂</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100</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四</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零星树木</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棵</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221</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221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杨桃</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葡萄</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枇杷</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杨梅</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树菠萝</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柿子</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沙糖桔</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龙眼</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百香果</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15</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15</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香蕉</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柚子</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黄皮</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番石榴</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桂花</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橄榄</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榆树</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火炬松</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仙人掌</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木棉树</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三角梅</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芙蓉树</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榕树</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杉树</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七里香</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紫薇</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杂树</w:t>
            </w:r>
            <w:r>
              <w:rPr>
                <w:rFonts w:cs="Times New Roman"/>
                <w:color w:val="000000"/>
                <w:kern w:val="0"/>
                <w:lang w:bidi="ar"/>
              </w:rPr>
              <w:t>(</w:t>
            </w:r>
            <w:r>
              <w:rPr>
                <w:rFonts w:hAnsi="宋体" w:cs="Times New Roman"/>
                <w:color w:val="000000"/>
                <w:kern w:val="0"/>
                <w:lang w:bidi="ar"/>
              </w:rPr>
              <w:t>棵</w:t>
            </w:r>
            <w:r>
              <w:rPr>
                <w:rFonts w:cs="Times New Roman"/>
                <w:color w:val="000000"/>
                <w:kern w:val="0"/>
                <w:lang w:bidi="ar"/>
              </w:rPr>
              <w:t>)</w:t>
            </w: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小计</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43</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成树</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43</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43</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4" w:type="dxa"/>
            <w:noWrap/>
            <w:vAlign w:val="center"/>
          </w:tcPr>
          <w:p>
            <w:pPr>
              <w:adjustRightInd w:val="0"/>
              <w:snapToGrid w:val="0"/>
              <w:jc w:val="center"/>
              <w:rPr>
                <w:rFonts w:cs="Times New Roman"/>
                <w:color w:val="000000"/>
              </w:rPr>
            </w:pPr>
          </w:p>
        </w:tc>
        <w:tc>
          <w:tcPr>
            <w:tcW w:w="2656" w:type="dxa"/>
            <w:vMerge w:val="continue"/>
            <w:noWrap/>
            <w:vAlign w:val="center"/>
          </w:tcPr>
          <w:p>
            <w:pPr>
              <w:adjustRightInd w:val="0"/>
              <w:snapToGrid w:val="0"/>
              <w:jc w:val="center"/>
              <w:rPr>
                <w:rFonts w:cs="Times New Roman"/>
                <w:color w:val="000000"/>
              </w:rPr>
            </w:pPr>
          </w:p>
        </w:tc>
        <w:tc>
          <w:tcPr>
            <w:tcW w:w="1224"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幼苗</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五</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坟墓</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1886</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932</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735</w:t>
            </w:r>
          </w:p>
        </w:tc>
        <w:tc>
          <w:tcPr>
            <w:tcW w:w="1233"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197</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954</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432</w:t>
            </w: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522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大坟</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447</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260</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190</w:t>
            </w:r>
          </w:p>
        </w:tc>
        <w:tc>
          <w:tcPr>
            <w:tcW w:w="1233"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70</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187</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57</w:t>
            </w: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中坟</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292</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150</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125</w:t>
            </w:r>
          </w:p>
        </w:tc>
        <w:tc>
          <w:tcPr>
            <w:tcW w:w="1233"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25</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142</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60</w:t>
            </w: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金斗</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1147</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522</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420</w:t>
            </w:r>
          </w:p>
        </w:tc>
        <w:tc>
          <w:tcPr>
            <w:tcW w:w="1233"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102</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625</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315</w:t>
            </w: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310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六</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农村小型专项</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灌溉渠道</w:t>
            </w:r>
            <w:r>
              <w:rPr>
                <w:rFonts w:cs="Times New Roman"/>
                <w:color w:val="000000"/>
                <w:kern w:val="0"/>
                <w:lang w:bidi="ar"/>
              </w:rPr>
              <w:t>(</w:t>
            </w:r>
            <w:r>
              <w:rPr>
                <w:rFonts w:hAnsi="宋体" w:cs="Times New Roman"/>
                <w:color w:val="000000"/>
                <w:kern w:val="0"/>
                <w:lang w:bidi="ar"/>
              </w:rPr>
              <w:t>混凝土</w:t>
            </w:r>
            <w:r>
              <w:rPr>
                <w:rFonts w:cs="Times New Roman"/>
                <w:color w:val="000000"/>
                <w:kern w:val="0"/>
                <w:lang w:bidi="ar"/>
              </w:rPr>
              <w:t>)</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3.5</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3.5</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灌溉渠道</w:t>
            </w:r>
            <w:r>
              <w:rPr>
                <w:rFonts w:cs="Times New Roman"/>
                <w:color w:val="000000"/>
                <w:kern w:val="0"/>
                <w:lang w:bidi="ar"/>
              </w:rPr>
              <w:t>(</w:t>
            </w:r>
            <w:r>
              <w:rPr>
                <w:rFonts w:hAnsi="宋体" w:cs="Times New Roman"/>
                <w:color w:val="000000"/>
                <w:kern w:val="0"/>
                <w:lang w:bidi="ar"/>
              </w:rPr>
              <w:t>三合土</w:t>
            </w:r>
            <w:r>
              <w:rPr>
                <w:rFonts w:cs="Times New Roman"/>
                <w:color w:val="000000"/>
                <w:kern w:val="0"/>
                <w:lang w:bidi="ar"/>
              </w:rPr>
              <w:t>)</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6.5</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6.5</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拦河坝</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处</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FF0000"/>
              </w:rPr>
            </w:pPr>
            <w:r>
              <w:rPr>
                <w:rFonts w:cs="Times New Roman"/>
                <w:color w:val="FF0000"/>
                <w:kern w:val="0"/>
                <w:lang w:bidi="ar"/>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七</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个体工商</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户</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FF0000"/>
              </w:rPr>
            </w:pPr>
            <w:r>
              <w:rPr>
                <w:rFonts w:cs="Times New Roman"/>
                <w:color w:val="FF0000"/>
                <w:kern w:val="0"/>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八</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专业项目</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交通</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四级公路</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1.76 </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0.23 </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0.23 </w:t>
            </w: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1.53 </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1.53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农村道路</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11.33 </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11.33 </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10.33 </w:t>
            </w: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电力</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0.4kV</w:t>
            </w:r>
            <w:r>
              <w:rPr>
                <w:rFonts w:hAnsi="宋体" w:cs="Times New Roman"/>
                <w:color w:val="000000"/>
                <w:kern w:val="0"/>
                <w:lang w:bidi="ar"/>
              </w:rPr>
              <w:t>线路</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 xml:space="preserve">0.40 </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0.4</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10kV</w:t>
            </w:r>
            <w:r>
              <w:rPr>
                <w:rFonts w:hAnsi="宋体" w:cs="Times New Roman"/>
                <w:color w:val="000000"/>
                <w:kern w:val="0"/>
                <w:lang w:bidi="ar"/>
              </w:rPr>
              <w:t>线路</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17.27</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0.97</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0.97</w:t>
            </w: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16.3</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35kV</w:t>
            </w:r>
            <w:r>
              <w:rPr>
                <w:rFonts w:hAnsi="宋体" w:cs="Times New Roman"/>
                <w:color w:val="000000"/>
                <w:kern w:val="0"/>
                <w:lang w:bidi="ar"/>
              </w:rPr>
              <w:t>线路</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0.80</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0.80</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变压器</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r>
              <w:rPr>
                <w:rFonts w:cs="Times New Roman"/>
                <w:color w:val="000000"/>
                <w:kern w:val="0"/>
                <w:lang w:bidi="ar"/>
              </w:rPr>
              <w:t>/kVA</w:t>
            </w: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通信</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3.1</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移动</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w:t>
            </w:r>
            <w:r>
              <w:rPr>
                <w:rFonts w:hAnsi="宋体" w:cs="Times New Roman"/>
                <w:color w:val="000000"/>
                <w:kern w:val="0"/>
                <w:lang w:bidi="ar"/>
              </w:rPr>
              <w:t>芯光缆</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48</w:t>
            </w:r>
            <w:r>
              <w:rPr>
                <w:rFonts w:hAnsi="宋体" w:cs="Times New Roman"/>
                <w:color w:val="000000"/>
                <w:kern w:val="0"/>
                <w:lang w:bidi="ar"/>
              </w:rPr>
              <w:t>芯光缆</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3.2</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电信</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w:t>
            </w:r>
            <w:r>
              <w:rPr>
                <w:rFonts w:hAnsi="宋体" w:cs="Times New Roman"/>
                <w:color w:val="000000"/>
                <w:kern w:val="0"/>
                <w:lang w:bidi="ar"/>
              </w:rPr>
              <w:t>芯光缆</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24</w:t>
            </w:r>
            <w:r>
              <w:rPr>
                <w:rFonts w:hAnsi="宋体" w:cs="Times New Roman"/>
                <w:color w:val="000000"/>
                <w:kern w:val="0"/>
                <w:lang w:bidi="ar"/>
              </w:rPr>
              <w:t>芯光缆</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2.80</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0.40</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0.40</w:t>
            </w: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2.4</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基站设备</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套</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3.3</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泰源伟业集团</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16</w:t>
            </w:r>
            <w:r>
              <w:rPr>
                <w:rFonts w:hAnsi="宋体" w:cs="Times New Roman"/>
                <w:color w:val="000000"/>
                <w:kern w:val="0"/>
                <w:lang w:bidi="ar"/>
              </w:rPr>
              <w:t>芯光缆</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km</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9.32</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9.32</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9.32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3.4</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铁塔公司</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铁塔</w:t>
            </w:r>
            <w:r>
              <w:rPr>
                <w:rFonts w:cs="Times New Roman"/>
                <w:color w:val="000000"/>
                <w:kern w:val="0"/>
                <w:lang w:bidi="ar"/>
              </w:rPr>
              <w:t>(</w:t>
            </w:r>
            <w:r>
              <w:rPr>
                <w:rFonts w:hAnsi="宋体" w:cs="Times New Roman"/>
                <w:color w:val="000000"/>
                <w:kern w:val="0"/>
                <w:lang w:bidi="ar"/>
              </w:rPr>
              <w:t>含设备</w:t>
            </w:r>
            <w:r>
              <w:rPr>
                <w:rFonts w:cs="Times New Roman"/>
                <w:color w:val="000000"/>
                <w:kern w:val="0"/>
                <w:lang w:bidi="ar"/>
              </w:rPr>
              <w:t>)</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水电水利设施</w:t>
            </w:r>
          </w:p>
        </w:tc>
        <w:tc>
          <w:tcPr>
            <w:tcW w:w="1224" w:type="dxa"/>
            <w:vAlign w:val="center"/>
          </w:tcPr>
          <w:p>
            <w:pPr>
              <w:adjustRightInd w:val="0"/>
              <w:snapToGrid w:val="0"/>
              <w:jc w:val="center"/>
              <w:rPr>
                <w:rFonts w:cs="Times New Roman"/>
                <w:color w:val="000000"/>
              </w:rPr>
            </w:pPr>
          </w:p>
        </w:tc>
        <w:tc>
          <w:tcPr>
            <w:tcW w:w="1224"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7" w:type="dxa"/>
            <w:gridSpan w:val="2"/>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4.1</w:t>
            </w: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激石溪老区水电站</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r>
              <w:rPr>
                <w:rFonts w:cs="Times New Roman"/>
                <w:color w:val="000000"/>
                <w:kern w:val="0"/>
                <w:lang w:bidi="ar"/>
              </w:rPr>
              <w:t>/kw</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1/1200</w:t>
            </w:r>
          </w:p>
        </w:tc>
        <w:tc>
          <w:tcPr>
            <w:tcW w:w="1225" w:type="dxa"/>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33" w:type="dxa"/>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1/1200</w:t>
            </w:r>
          </w:p>
        </w:tc>
        <w:tc>
          <w:tcPr>
            <w:tcW w:w="1225" w:type="dxa"/>
            <w:vAlign w:val="center"/>
          </w:tcPr>
          <w:p>
            <w:pPr>
              <w:adjustRightInd w:val="0"/>
              <w:snapToGrid w:val="0"/>
              <w:jc w:val="center"/>
              <w:rPr>
                <w:rFonts w:cs="Times New Roman"/>
                <w:color w:val="000000"/>
              </w:rPr>
            </w:pPr>
          </w:p>
        </w:tc>
        <w:tc>
          <w:tcPr>
            <w:tcW w:w="1237" w:type="dxa"/>
            <w:gridSpan w:val="2"/>
            <w:vAlign w:val="center"/>
          </w:tcPr>
          <w:p>
            <w:pPr>
              <w:widowControl/>
              <w:adjustRightInd w:val="0"/>
              <w:snapToGrid w:val="0"/>
              <w:jc w:val="center"/>
              <w:textAlignment w:val="center"/>
              <w:rPr>
                <w:rFonts w:cs="Times New Roman"/>
                <w:color w:val="000000"/>
              </w:rPr>
            </w:pPr>
            <w:r>
              <w:rPr>
                <w:rFonts w:cs="Times New Roman"/>
                <w:color w:val="000000"/>
                <w:kern w:val="0"/>
                <w:lang w:bidi="ar"/>
              </w:rPr>
              <w:t>1/1200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rPr>
              <w:t>框架</w:t>
            </w:r>
            <w:r>
              <w:rPr>
                <w:rFonts w:cs="Times New Roman"/>
                <w:color w:val="000000"/>
              </w:rPr>
              <w:t>(m</w:t>
            </w:r>
            <w:r>
              <w:rPr>
                <w:rFonts w:cs="Times New Roman"/>
                <w:color w:val="000000"/>
                <w:vertAlign w:val="superscript"/>
              </w:rPr>
              <w:t>2</w:t>
            </w:r>
            <w:r>
              <w:rPr>
                <w:rFonts w:cs="Times New Roman"/>
                <w:color w:val="000000"/>
              </w:rPr>
              <w:t>)</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274.95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274.95</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274.95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rPr>
              <w:t>水泥晒坪</w:t>
            </w:r>
            <w:r>
              <w:rPr>
                <w:rFonts w:cs="Times New Roman"/>
                <w:color w:val="000000"/>
              </w:rPr>
              <w:t>(m</w:t>
            </w:r>
            <w:r>
              <w:rPr>
                <w:rFonts w:cs="Times New Roman"/>
                <w:color w:val="000000"/>
                <w:vertAlign w:val="superscript"/>
              </w:rPr>
              <w:t>2</w:t>
            </w:r>
            <w:r>
              <w:rPr>
                <w:rFonts w:cs="Times New Roman"/>
                <w:color w:val="000000"/>
              </w:rPr>
              <w:t>)</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542</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542</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rPr>
              <w:t>围墙</w:t>
            </w:r>
            <w:r>
              <w:rPr>
                <w:rFonts w:cs="Times New Roman"/>
                <w:color w:val="000000"/>
              </w:rPr>
              <w:t>(m</w:t>
            </w:r>
            <w:r>
              <w:rPr>
                <w:rFonts w:cs="Times New Roman"/>
                <w:color w:val="000000"/>
                <w:vertAlign w:val="superscript"/>
              </w:rPr>
              <w:t>2</w:t>
            </w:r>
            <w:r>
              <w:rPr>
                <w:rFonts w:cs="Times New Roman"/>
                <w:color w:val="000000"/>
              </w:rPr>
              <w:t>)</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126.9</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126.9</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126.9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4.2</w:t>
            </w: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三江口水电站</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r>
              <w:rPr>
                <w:rFonts w:cs="Times New Roman"/>
                <w:color w:val="000000"/>
                <w:kern w:val="0"/>
                <w:lang w:bidi="ar"/>
              </w:rPr>
              <w:t>/kw</w:t>
            </w:r>
          </w:p>
        </w:tc>
        <w:tc>
          <w:tcPr>
            <w:tcW w:w="122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1/3150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1/3150</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1/3150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框架</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324.24</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324.24</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324.24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砖混</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636.44</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636.44</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636.44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水泥晒坪</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861</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861</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861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地砖坪</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585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585</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草地坪</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3018</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3018</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鱼塘</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28</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28</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铁棚</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164.4</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164.4</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164.4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围墙</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800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800</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4.3</w:t>
            </w: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三坑水电站</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r>
              <w:rPr>
                <w:rFonts w:cs="Times New Roman"/>
                <w:color w:val="000000"/>
                <w:kern w:val="0"/>
                <w:lang w:bidi="ar"/>
              </w:rPr>
              <w:t>/kw</w:t>
            </w:r>
          </w:p>
        </w:tc>
        <w:tc>
          <w:tcPr>
            <w:tcW w:w="122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1/1580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1/1580</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1/1580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框架</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289.6</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289.6</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289.6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4.4</w:t>
            </w: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大沥唇水电站</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r>
              <w:rPr>
                <w:rFonts w:cs="Times New Roman"/>
                <w:color w:val="000000"/>
                <w:kern w:val="0"/>
                <w:lang w:bidi="ar"/>
              </w:rPr>
              <w:t>/kw</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1/830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1/830</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1/830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框架</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149.25</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149.25</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149.25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水泥晒坪</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380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380</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围墙</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210</w:t>
            </w: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3" w:type="dxa"/>
            <w:noWrap/>
            <w:vAlign w:val="center"/>
          </w:tcPr>
          <w:p>
            <w:pPr>
              <w:adjustRightInd w:val="0"/>
              <w:snapToGrid w:val="0"/>
              <w:jc w:val="center"/>
              <w:rPr>
                <w:rFonts w:cs="Times New Roman"/>
                <w:color w:val="000000"/>
              </w:rPr>
            </w:pP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210</w:t>
            </w: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4.5</w:t>
            </w:r>
          </w:p>
        </w:tc>
        <w:tc>
          <w:tcPr>
            <w:tcW w:w="2656"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坪田水电站</w:t>
            </w:r>
          </w:p>
        </w:tc>
        <w:tc>
          <w:tcPr>
            <w:tcW w:w="1224"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座</w:t>
            </w:r>
            <w:r>
              <w:rPr>
                <w:rFonts w:cs="Times New Roman"/>
                <w:color w:val="000000"/>
                <w:kern w:val="0"/>
                <w:lang w:bidi="ar"/>
              </w:rPr>
              <w:t>/kw</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1/630</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1/630</w:t>
            </w:r>
          </w:p>
        </w:tc>
        <w:tc>
          <w:tcPr>
            <w:tcW w:w="1225"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1/630</w:t>
            </w: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框架</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265.91</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265.91</w:t>
            </w:r>
          </w:p>
        </w:tc>
        <w:tc>
          <w:tcPr>
            <w:tcW w:w="1225"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265.91</w:t>
            </w: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224" w:type="dxa"/>
            <w:noWrap/>
            <w:vAlign w:val="center"/>
          </w:tcPr>
          <w:p>
            <w:pPr>
              <w:adjustRightInd w:val="0"/>
              <w:snapToGrid w:val="0"/>
              <w:jc w:val="center"/>
              <w:rPr>
                <w:rFonts w:cs="Times New Roman"/>
                <w:color w:val="000000"/>
              </w:rPr>
            </w:pPr>
          </w:p>
        </w:tc>
        <w:tc>
          <w:tcPr>
            <w:tcW w:w="2656"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水泥晒坪</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rPr>
              <w:t>m</w:t>
            </w:r>
            <w:r>
              <w:rPr>
                <w:rFonts w:cs="Times New Roman"/>
                <w:color w:val="000000"/>
                <w:vertAlign w:val="superscript"/>
              </w:rPr>
              <w:t>2</w:t>
            </w:r>
          </w:p>
        </w:tc>
        <w:tc>
          <w:tcPr>
            <w:tcW w:w="122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441.42</w:t>
            </w:r>
          </w:p>
        </w:tc>
        <w:tc>
          <w:tcPr>
            <w:tcW w:w="122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441.42</w:t>
            </w:r>
          </w:p>
        </w:tc>
        <w:tc>
          <w:tcPr>
            <w:tcW w:w="1225"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441.42</w:t>
            </w:r>
          </w:p>
        </w:tc>
        <w:tc>
          <w:tcPr>
            <w:tcW w:w="1233" w:type="dxa"/>
            <w:noWrap/>
            <w:vAlign w:val="center"/>
          </w:tcPr>
          <w:p>
            <w:pPr>
              <w:adjustRightInd w:val="0"/>
              <w:snapToGrid w:val="0"/>
              <w:jc w:val="center"/>
              <w:rPr>
                <w:rFonts w:cs="Times New Roman"/>
                <w:color w:val="000000"/>
              </w:rPr>
            </w:pPr>
          </w:p>
        </w:tc>
        <w:tc>
          <w:tcPr>
            <w:tcW w:w="1225" w:type="dxa"/>
            <w:vAlign w:val="center"/>
          </w:tcPr>
          <w:p>
            <w:pPr>
              <w:adjustRightInd w:val="0"/>
              <w:snapToGrid w:val="0"/>
              <w:jc w:val="center"/>
              <w:rPr>
                <w:rFonts w:cs="Times New Roman"/>
                <w:color w:val="000000"/>
              </w:rPr>
            </w:pPr>
          </w:p>
        </w:tc>
        <w:tc>
          <w:tcPr>
            <w:tcW w:w="1225" w:type="dxa"/>
            <w:noWrap/>
            <w:vAlign w:val="center"/>
          </w:tcPr>
          <w:p>
            <w:pPr>
              <w:adjustRightInd w:val="0"/>
              <w:snapToGrid w:val="0"/>
              <w:jc w:val="center"/>
              <w:rPr>
                <w:rFonts w:cs="Times New Roman"/>
                <w:color w:val="000000"/>
              </w:rPr>
            </w:pPr>
          </w:p>
        </w:tc>
        <w:tc>
          <w:tcPr>
            <w:tcW w:w="1237" w:type="dxa"/>
            <w:gridSpan w:val="2"/>
            <w:noWrap/>
            <w:vAlign w:val="center"/>
          </w:tcPr>
          <w:p>
            <w:pPr>
              <w:adjustRightInd w:val="0"/>
              <w:snapToGrid w:val="0"/>
              <w:jc w:val="center"/>
              <w:rPr>
                <w:rFonts w:cs="Times New Roman"/>
                <w:color w:val="000000"/>
              </w:rPr>
            </w:pPr>
          </w:p>
        </w:tc>
      </w:tr>
    </w:tbl>
    <w:p>
      <w:pPr>
        <w:overflowPunct w:val="0"/>
        <w:autoSpaceDE w:val="0"/>
        <w:autoSpaceDN w:val="0"/>
        <w:snapToGrid w:val="0"/>
        <w:spacing w:line="360" w:lineRule="auto"/>
        <w:ind w:firstLine="420"/>
        <w:rPr>
          <w:color w:val="FF0000"/>
          <w:sz w:val="24"/>
        </w:rPr>
        <w:sectPr>
          <w:footerReference r:id="rId13" w:type="default"/>
          <w:pgSz w:w="16838" w:h="11906" w:orient="landscape"/>
          <w:pgMar w:top="1588" w:right="1565" w:bottom="1531" w:left="1565" w:header="1134" w:footer="1247" w:gutter="0"/>
          <w:cols w:space="720" w:num="1"/>
          <w:docGrid w:linePitch="312" w:charSpace="0"/>
        </w:sectPr>
      </w:pPr>
    </w:p>
    <w:p>
      <w:pPr>
        <w:pStyle w:val="5"/>
        <w:rPr>
          <w:color w:val="000000"/>
        </w:rPr>
      </w:pPr>
      <w:r>
        <w:rPr>
          <w:color w:val="000000"/>
        </w:rPr>
        <w:t>3.2.5.1  土地</w:t>
      </w:r>
    </w:p>
    <w:p>
      <w:pPr>
        <w:pStyle w:val="584"/>
        <w:widowControl w:val="0"/>
        <w:adjustRightInd w:val="0"/>
        <w:spacing w:line="480" w:lineRule="exact"/>
        <w:ind w:firstLine="480" w:firstLineChars="200"/>
        <w:jc w:val="both"/>
        <w:rPr>
          <w:rFonts w:hAnsi="宋体"/>
          <w:color w:val="000000"/>
          <w:szCs w:val="24"/>
        </w:rPr>
      </w:pPr>
      <w:r>
        <w:rPr>
          <w:rFonts w:hAnsi="宋体"/>
          <w:color w:val="000000"/>
          <w:szCs w:val="24"/>
        </w:rPr>
        <w:t xml:space="preserve">a) </w:t>
      </w:r>
      <w:r>
        <w:rPr>
          <w:rFonts w:hint="eastAsia" w:hAnsi="宋体"/>
          <w:color w:val="000000"/>
          <w:szCs w:val="24"/>
        </w:rPr>
        <w:t>集体土地</w:t>
      </w:r>
    </w:p>
    <w:p>
      <w:pPr>
        <w:pStyle w:val="584"/>
        <w:widowControl w:val="0"/>
        <w:adjustRightInd w:val="0"/>
        <w:spacing w:line="480" w:lineRule="exact"/>
        <w:ind w:firstLine="480" w:firstLineChars="200"/>
        <w:jc w:val="both"/>
        <w:rPr>
          <w:rFonts w:hAnsi="宋体"/>
          <w:color w:val="000000"/>
          <w:szCs w:val="24"/>
        </w:rPr>
      </w:pPr>
      <w:r>
        <w:rPr>
          <w:rFonts w:hint="eastAsia" w:hAnsi="宋体"/>
          <w:color w:val="000000"/>
          <w:szCs w:val="24"/>
        </w:rPr>
        <w:t>陆河抽水蓄能电站工程建设征地涉及的集体土地为陆河县新田镇胡坑村、激石溪村，总面积2</w:t>
      </w:r>
      <w:r>
        <w:rPr>
          <w:rFonts w:hAnsi="宋体"/>
          <w:color w:val="000000"/>
          <w:szCs w:val="24"/>
        </w:rPr>
        <w:t>077.38</w:t>
      </w:r>
      <w:r>
        <w:rPr>
          <w:rFonts w:hint="eastAsia" w:hAnsi="宋体"/>
          <w:color w:val="000000"/>
          <w:szCs w:val="24"/>
        </w:rPr>
        <w:t>亩，其中永久征收面积</w:t>
      </w:r>
      <w:r>
        <w:rPr>
          <w:rFonts w:hAnsi="宋体"/>
          <w:color w:val="000000"/>
          <w:szCs w:val="24"/>
        </w:rPr>
        <w:t>1688.63</w:t>
      </w:r>
      <w:r>
        <w:rPr>
          <w:rFonts w:hint="eastAsia" w:hAnsi="宋体"/>
          <w:color w:val="000000"/>
          <w:szCs w:val="24"/>
        </w:rPr>
        <w:t>亩，临时征用面积</w:t>
      </w:r>
      <w:r>
        <w:rPr>
          <w:rFonts w:hAnsi="宋体"/>
          <w:color w:val="000000"/>
          <w:szCs w:val="24"/>
        </w:rPr>
        <w:t>388.75</w:t>
      </w:r>
      <w:r>
        <w:rPr>
          <w:rFonts w:hint="eastAsia" w:hAnsi="宋体"/>
          <w:color w:val="000000"/>
          <w:szCs w:val="24"/>
        </w:rPr>
        <w:t>亩。</w:t>
      </w:r>
    </w:p>
    <w:p>
      <w:pPr>
        <w:pStyle w:val="584"/>
        <w:adjustRightInd w:val="0"/>
        <w:spacing w:line="480" w:lineRule="exact"/>
        <w:ind w:firstLine="480" w:firstLineChars="200"/>
        <w:rPr>
          <w:rFonts w:hAnsi="宋体"/>
          <w:color w:val="000000"/>
          <w:szCs w:val="24"/>
        </w:rPr>
      </w:pPr>
      <w:r>
        <w:rPr>
          <w:rFonts w:hint="eastAsia" w:hAnsi="宋体"/>
          <w:color w:val="000000"/>
          <w:szCs w:val="24"/>
        </w:rPr>
        <w:t>按建设用地类别划分，枢纽工程建设区征收(用)土地面积为</w:t>
      </w:r>
      <w:r>
        <w:rPr>
          <w:rFonts w:hAnsi="宋体"/>
          <w:color w:val="000000"/>
          <w:szCs w:val="24"/>
        </w:rPr>
        <w:t>1333.43</w:t>
      </w:r>
      <w:r>
        <w:rPr>
          <w:rFonts w:hint="eastAsia" w:hAnsi="宋体"/>
          <w:color w:val="000000"/>
          <w:szCs w:val="24"/>
        </w:rPr>
        <w:t>亩，其中永久征地区</w:t>
      </w:r>
      <w:r>
        <w:rPr>
          <w:rFonts w:hAnsi="宋体"/>
          <w:color w:val="000000"/>
          <w:szCs w:val="24"/>
        </w:rPr>
        <w:t>944.68</w:t>
      </w:r>
      <w:r>
        <w:rPr>
          <w:rFonts w:hint="eastAsia" w:hAnsi="宋体"/>
          <w:color w:val="000000"/>
          <w:szCs w:val="24"/>
        </w:rPr>
        <w:t>亩，临时用地区</w:t>
      </w:r>
      <w:r>
        <w:rPr>
          <w:rFonts w:hAnsi="宋体"/>
          <w:color w:val="000000"/>
          <w:szCs w:val="24"/>
        </w:rPr>
        <w:t>388.75</w:t>
      </w:r>
      <w:r>
        <w:rPr>
          <w:rFonts w:hint="eastAsia" w:hAnsi="宋体"/>
          <w:color w:val="000000"/>
          <w:szCs w:val="24"/>
        </w:rPr>
        <w:t>亩；水库淹没区征收(用)土地面积为</w:t>
      </w:r>
      <w:r>
        <w:rPr>
          <w:rFonts w:hAnsi="宋体"/>
          <w:color w:val="000000"/>
          <w:szCs w:val="24"/>
        </w:rPr>
        <w:t>743.95</w:t>
      </w:r>
      <w:r>
        <w:rPr>
          <w:rFonts w:hint="eastAsia" w:hAnsi="宋体"/>
          <w:color w:val="000000"/>
          <w:szCs w:val="24"/>
        </w:rPr>
        <w:t>亩。</w:t>
      </w:r>
    </w:p>
    <w:p>
      <w:pPr>
        <w:pStyle w:val="584"/>
        <w:widowControl w:val="0"/>
        <w:numPr>
          <w:ilvl w:val="0"/>
          <w:numId w:val="0"/>
        </w:numPr>
        <w:adjustRightInd w:val="0"/>
        <w:spacing w:line="480" w:lineRule="exact"/>
        <w:ind w:left="0" w:firstLine="480" w:firstLineChars="200"/>
        <w:jc w:val="both"/>
        <w:rPr>
          <w:rFonts w:hAnsi="宋体"/>
          <w:color w:val="000000"/>
          <w:szCs w:val="24"/>
        </w:rPr>
      </w:pPr>
      <w:r>
        <w:rPr>
          <w:rFonts w:hint="eastAsia" w:hAnsi="宋体"/>
          <w:color w:val="000000"/>
          <w:szCs w:val="24"/>
        </w:rPr>
        <w:t>按地类划分，永久征收土地</w:t>
      </w:r>
      <w:r>
        <w:rPr>
          <w:rFonts w:hAnsi="宋体"/>
          <w:color w:val="000000"/>
          <w:szCs w:val="24"/>
        </w:rPr>
        <w:t>1688.63</w:t>
      </w:r>
      <w:r>
        <w:rPr>
          <w:rFonts w:hint="eastAsia" w:hAnsi="宋体"/>
          <w:color w:val="000000"/>
          <w:szCs w:val="24"/>
        </w:rPr>
        <w:t>亩中，耕地</w:t>
      </w:r>
      <w:r>
        <w:rPr>
          <w:rFonts w:hAnsi="宋体"/>
          <w:color w:val="000000"/>
          <w:szCs w:val="24"/>
        </w:rPr>
        <w:t>385.13</w:t>
      </w:r>
      <w:r>
        <w:rPr>
          <w:rFonts w:hint="eastAsia" w:hAnsi="宋体"/>
          <w:color w:val="000000"/>
          <w:szCs w:val="24"/>
        </w:rPr>
        <w:t>亩，园地</w:t>
      </w:r>
      <w:r>
        <w:rPr>
          <w:rFonts w:hAnsi="宋体"/>
          <w:color w:val="000000"/>
          <w:szCs w:val="24"/>
        </w:rPr>
        <w:t>23.99</w:t>
      </w:r>
      <w:r>
        <w:rPr>
          <w:rFonts w:hint="eastAsia" w:hAnsi="宋体"/>
          <w:color w:val="000000"/>
          <w:szCs w:val="24"/>
        </w:rPr>
        <w:t>亩，林地</w:t>
      </w:r>
      <w:r>
        <w:rPr>
          <w:rFonts w:hAnsi="宋体"/>
          <w:color w:val="000000"/>
          <w:szCs w:val="24"/>
        </w:rPr>
        <w:t>1125.45</w:t>
      </w:r>
      <w:r>
        <w:rPr>
          <w:rFonts w:hint="eastAsia" w:hAnsi="宋体"/>
          <w:color w:val="000000"/>
          <w:szCs w:val="24"/>
        </w:rPr>
        <w:t>亩(灌木林地</w:t>
      </w:r>
      <w:r>
        <w:rPr>
          <w:rFonts w:hAnsi="宋体"/>
          <w:color w:val="000000"/>
          <w:szCs w:val="24"/>
        </w:rPr>
        <w:t>12.89</w:t>
      </w:r>
      <w:r>
        <w:rPr>
          <w:rFonts w:hint="eastAsia" w:hAnsi="宋体"/>
          <w:color w:val="000000"/>
          <w:szCs w:val="24"/>
        </w:rPr>
        <w:t>亩，有林地</w:t>
      </w:r>
      <w:r>
        <w:rPr>
          <w:rFonts w:hAnsi="宋体"/>
          <w:color w:val="000000"/>
          <w:szCs w:val="24"/>
        </w:rPr>
        <w:t>1112.56</w:t>
      </w:r>
      <w:r>
        <w:rPr>
          <w:rFonts w:hint="eastAsia" w:hAnsi="宋体"/>
          <w:color w:val="000000"/>
          <w:szCs w:val="24"/>
        </w:rPr>
        <w:t>亩)，草地</w:t>
      </w:r>
      <w:r>
        <w:rPr>
          <w:rFonts w:hAnsi="宋体"/>
          <w:color w:val="000000"/>
          <w:szCs w:val="24"/>
        </w:rPr>
        <w:t>7.66</w:t>
      </w:r>
      <w:r>
        <w:rPr>
          <w:rFonts w:hint="eastAsia" w:hAnsi="宋体"/>
          <w:color w:val="000000"/>
          <w:szCs w:val="24"/>
        </w:rPr>
        <w:t>亩，住宅用地</w:t>
      </w:r>
      <w:r>
        <w:rPr>
          <w:rFonts w:hAnsi="宋体"/>
          <w:color w:val="000000"/>
          <w:szCs w:val="24"/>
        </w:rPr>
        <w:t>2.48</w:t>
      </w:r>
      <w:r>
        <w:rPr>
          <w:rFonts w:hint="eastAsia" w:hAnsi="宋体"/>
          <w:color w:val="000000"/>
          <w:szCs w:val="24"/>
        </w:rPr>
        <w:t>亩，交通运输用地</w:t>
      </w:r>
      <w:r>
        <w:rPr>
          <w:rFonts w:hAnsi="宋体"/>
          <w:color w:val="000000"/>
          <w:szCs w:val="24"/>
        </w:rPr>
        <w:t>19.97</w:t>
      </w:r>
      <w:r>
        <w:rPr>
          <w:rFonts w:hint="eastAsia" w:hAnsi="宋体"/>
          <w:color w:val="000000"/>
          <w:szCs w:val="24"/>
        </w:rPr>
        <w:t>亩，水域及水利设施用地</w:t>
      </w:r>
      <w:r>
        <w:rPr>
          <w:rFonts w:hAnsi="宋体"/>
          <w:color w:val="000000"/>
          <w:szCs w:val="24"/>
        </w:rPr>
        <w:t>123.95</w:t>
      </w:r>
      <w:r>
        <w:rPr>
          <w:rFonts w:hint="eastAsia" w:hAnsi="宋体"/>
          <w:color w:val="000000"/>
          <w:szCs w:val="24"/>
        </w:rPr>
        <w:t>亩；临时征用土地</w:t>
      </w:r>
      <w:r>
        <w:rPr>
          <w:rFonts w:hAnsi="宋体"/>
          <w:color w:val="000000"/>
          <w:szCs w:val="24"/>
        </w:rPr>
        <w:t>388.75</w:t>
      </w:r>
      <w:r>
        <w:rPr>
          <w:rFonts w:hint="eastAsia" w:hAnsi="宋体"/>
          <w:color w:val="000000"/>
          <w:szCs w:val="24"/>
        </w:rPr>
        <w:t>亩中，耕地15.55亩，园地3.68亩，林地</w:t>
      </w:r>
      <w:r>
        <w:rPr>
          <w:rFonts w:hAnsi="宋体"/>
          <w:color w:val="000000"/>
          <w:szCs w:val="24"/>
        </w:rPr>
        <w:t>369.20</w:t>
      </w:r>
      <w:r>
        <w:rPr>
          <w:rFonts w:hint="eastAsia" w:hAnsi="宋体"/>
          <w:color w:val="000000"/>
          <w:szCs w:val="24"/>
        </w:rPr>
        <w:t>亩(均为有林地)，草地0.02亩，交通运输用地</w:t>
      </w:r>
      <w:r>
        <w:rPr>
          <w:rFonts w:hAnsi="宋体"/>
          <w:color w:val="000000"/>
          <w:szCs w:val="24"/>
        </w:rPr>
        <w:t>0.30</w:t>
      </w:r>
      <w:r>
        <w:rPr>
          <w:rFonts w:hint="eastAsia" w:hAnsi="宋体"/>
          <w:color w:val="000000"/>
          <w:szCs w:val="24"/>
        </w:rPr>
        <w:t>亩。</w:t>
      </w:r>
    </w:p>
    <w:p>
      <w:pPr>
        <w:pStyle w:val="584"/>
        <w:widowControl w:val="0"/>
        <w:adjustRightInd w:val="0"/>
        <w:spacing w:line="480" w:lineRule="exact"/>
        <w:ind w:firstLine="480" w:firstLineChars="200"/>
        <w:jc w:val="both"/>
        <w:rPr>
          <w:rFonts w:hAnsi="宋体"/>
          <w:color w:val="000000"/>
          <w:szCs w:val="24"/>
        </w:rPr>
      </w:pPr>
      <w:r>
        <w:rPr>
          <w:rFonts w:hint="eastAsia" w:hAnsi="宋体"/>
          <w:color w:val="000000"/>
          <w:szCs w:val="24"/>
        </w:rPr>
        <w:t>b</w:t>
      </w:r>
      <w:r>
        <w:rPr>
          <w:rFonts w:hAnsi="宋体"/>
          <w:color w:val="000000"/>
          <w:szCs w:val="24"/>
        </w:rPr>
        <w:t xml:space="preserve">) </w:t>
      </w:r>
      <w:r>
        <w:rPr>
          <w:rFonts w:hint="eastAsia" w:hAnsi="宋体"/>
          <w:color w:val="000000"/>
          <w:szCs w:val="24"/>
        </w:rPr>
        <w:t>国有土地</w:t>
      </w:r>
    </w:p>
    <w:p>
      <w:pPr>
        <w:pStyle w:val="584"/>
        <w:adjustRightInd w:val="0"/>
        <w:spacing w:line="480" w:lineRule="exact"/>
        <w:ind w:firstLine="480" w:firstLineChars="200"/>
        <w:rPr>
          <w:rFonts w:hAnsi="宋体"/>
          <w:color w:val="000000"/>
          <w:szCs w:val="24"/>
        </w:rPr>
      </w:pPr>
      <w:r>
        <w:rPr>
          <w:rFonts w:hint="eastAsia" w:hAnsi="宋体"/>
          <w:color w:val="000000"/>
          <w:szCs w:val="24"/>
        </w:rPr>
        <w:t>陆河抽水蓄能电站工程建设征地涉及的国有土地为陆河县吉溪林场，总面积</w:t>
      </w:r>
      <w:r>
        <w:rPr>
          <w:rFonts w:hAnsi="宋体"/>
          <w:color w:val="000000"/>
          <w:szCs w:val="24"/>
        </w:rPr>
        <w:t>2713.95</w:t>
      </w:r>
      <w:r>
        <w:rPr>
          <w:rFonts w:hint="eastAsia" w:hAnsi="宋体"/>
          <w:color w:val="000000"/>
          <w:szCs w:val="24"/>
        </w:rPr>
        <w:t>亩，其中永久征收面积</w:t>
      </w:r>
      <w:r>
        <w:rPr>
          <w:rFonts w:hAnsi="宋体"/>
          <w:color w:val="000000"/>
          <w:szCs w:val="24"/>
        </w:rPr>
        <w:t>2140.87</w:t>
      </w:r>
      <w:r>
        <w:rPr>
          <w:rFonts w:hint="eastAsia" w:hAnsi="宋体"/>
          <w:color w:val="000000"/>
          <w:szCs w:val="24"/>
        </w:rPr>
        <w:t>亩，临时征用面积</w:t>
      </w:r>
      <w:r>
        <w:rPr>
          <w:rFonts w:hAnsi="宋体"/>
          <w:color w:val="000000"/>
          <w:szCs w:val="24"/>
        </w:rPr>
        <w:t>573.08</w:t>
      </w:r>
      <w:r>
        <w:rPr>
          <w:rFonts w:hint="eastAsia" w:hAnsi="宋体"/>
          <w:color w:val="000000"/>
          <w:szCs w:val="24"/>
        </w:rPr>
        <w:t>亩。</w:t>
      </w:r>
    </w:p>
    <w:p>
      <w:pPr>
        <w:pStyle w:val="584"/>
        <w:adjustRightInd w:val="0"/>
        <w:spacing w:line="480" w:lineRule="exact"/>
        <w:ind w:firstLine="480" w:firstLineChars="200"/>
        <w:rPr>
          <w:rFonts w:hAnsi="宋体"/>
          <w:color w:val="000000"/>
          <w:szCs w:val="24"/>
        </w:rPr>
      </w:pPr>
      <w:r>
        <w:rPr>
          <w:rFonts w:hint="eastAsia" w:hAnsi="宋体"/>
          <w:color w:val="000000"/>
          <w:szCs w:val="24"/>
        </w:rPr>
        <w:t>按建设用地类别划分，枢纽工程建设区征收(用)土地面积为</w:t>
      </w:r>
      <w:r>
        <w:rPr>
          <w:rFonts w:hAnsi="宋体"/>
          <w:color w:val="000000"/>
          <w:szCs w:val="24"/>
        </w:rPr>
        <w:t>2079.00</w:t>
      </w:r>
      <w:r>
        <w:rPr>
          <w:rFonts w:hint="eastAsia" w:hAnsi="宋体"/>
          <w:color w:val="000000"/>
          <w:szCs w:val="24"/>
        </w:rPr>
        <w:t>亩，其中永久征地区</w:t>
      </w:r>
      <w:r>
        <w:rPr>
          <w:rFonts w:hAnsi="宋体"/>
          <w:color w:val="000000"/>
          <w:szCs w:val="24"/>
        </w:rPr>
        <w:t>1505.92</w:t>
      </w:r>
      <w:r>
        <w:rPr>
          <w:rFonts w:hint="eastAsia" w:hAnsi="宋体"/>
          <w:color w:val="000000"/>
          <w:szCs w:val="24"/>
        </w:rPr>
        <w:t>亩，临时用地区</w:t>
      </w:r>
      <w:r>
        <w:rPr>
          <w:rFonts w:hAnsi="宋体"/>
          <w:color w:val="000000"/>
          <w:szCs w:val="24"/>
        </w:rPr>
        <w:t>573.08</w:t>
      </w:r>
      <w:r>
        <w:rPr>
          <w:rFonts w:hint="eastAsia" w:hAnsi="宋体"/>
          <w:color w:val="000000"/>
          <w:szCs w:val="24"/>
        </w:rPr>
        <w:t>亩；水库淹没区征收(用)土地面积为</w:t>
      </w:r>
      <w:r>
        <w:rPr>
          <w:rFonts w:hAnsi="宋体"/>
          <w:color w:val="000000"/>
          <w:szCs w:val="24"/>
        </w:rPr>
        <w:t>634.95</w:t>
      </w:r>
      <w:r>
        <w:rPr>
          <w:rFonts w:hint="eastAsia" w:hAnsi="宋体"/>
          <w:color w:val="000000"/>
          <w:szCs w:val="24"/>
        </w:rPr>
        <w:t>亩。</w:t>
      </w:r>
    </w:p>
    <w:p>
      <w:pPr>
        <w:pStyle w:val="584"/>
        <w:widowControl w:val="0"/>
        <w:adjustRightInd w:val="0"/>
        <w:spacing w:line="480" w:lineRule="exact"/>
        <w:ind w:firstLine="480" w:firstLineChars="200"/>
        <w:jc w:val="both"/>
        <w:rPr>
          <w:rFonts w:hAnsi="宋体"/>
          <w:color w:val="000000"/>
          <w:szCs w:val="24"/>
        </w:rPr>
      </w:pPr>
      <w:r>
        <w:rPr>
          <w:rFonts w:hint="eastAsia" w:hAnsi="宋体"/>
          <w:color w:val="000000"/>
          <w:szCs w:val="24"/>
        </w:rPr>
        <w:t>按地类划分，永久征收土地</w:t>
      </w:r>
      <w:r>
        <w:rPr>
          <w:rFonts w:hAnsi="宋体"/>
          <w:color w:val="000000"/>
          <w:szCs w:val="24"/>
        </w:rPr>
        <w:t>2140.87</w:t>
      </w:r>
      <w:r>
        <w:rPr>
          <w:rFonts w:hint="eastAsia" w:hAnsi="宋体"/>
          <w:color w:val="000000"/>
          <w:szCs w:val="24"/>
        </w:rPr>
        <w:t>亩中，耕地</w:t>
      </w:r>
      <w:r>
        <w:rPr>
          <w:rFonts w:hAnsi="宋体"/>
          <w:color w:val="000000"/>
          <w:szCs w:val="24"/>
        </w:rPr>
        <w:t>115.50</w:t>
      </w:r>
      <w:r>
        <w:rPr>
          <w:rFonts w:hint="eastAsia" w:hAnsi="宋体"/>
          <w:color w:val="000000"/>
          <w:szCs w:val="24"/>
        </w:rPr>
        <w:t>亩，林地</w:t>
      </w:r>
      <w:r>
        <w:rPr>
          <w:rFonts w:hAnsi="宋体"/>
          <w:color w:val="000000"/>
          <w:szCs w:val="24"/>
        </w:rPr>
        <w:t>1956.55</w:t>
      </w:r>
      <w:r>
        <w:rPr>
          <w:rFonts w:hint="eastAsia" w:hAnsi="宋体"/>
          <w:color w:val="000000"/>
          <w:szCs w:val="24"/>
        </w:rPr>
        <w:t>亩(灌木林地</w:t>
      </w:r>
      <w:r>
        <w:rPr>
          <w:rFonts w:hAnsi="宋体"/>
          <w:color w:val="000000"/>
          <w:szCs w:val="24"/>
        </w:rPr>
        <w:t>21.16</w:t>
      </w:r>
      <w:r>
        <w:rPr>
          <w:rFonts w:hint="eastAsia" w:hAnsi="宋体"/>
          <w:color w:val="000000"/>
          <w:szCs w:val="24"/>
        </w:rPr>
        <w:t>亩，有林地</w:t>
      </w:r>
      <w:r>
        <w:rPr>
          <w:rFonts w:hAnsi="宋体"/>
          <w:color w:val="000000"/>
          <w:szCs w:val="24"/>
        </w:rPr>
        <w:t>1935.39</w:t>
      </w:r>
      <w:r>
        <w:rPr>
          <w:rFonts w:hint="eastAsia" w:hAnsi="宋体"/>
          <w:color w:val="000000"/>
          <w:szCs w:val="24"/>
        </w:rPr>
        <w:t>亩)，草地</w:t>
      </w:r>
      <w:r>
        <w:rPr>
          <w:rFonts w:hAnsi="宋体"/>
          <w:color w:val="000000"/>
          <w:szCs w:val="24"/>
        </w:rPr>
        <w:t>13.67</w:t>
      </w:r>
      <w:r>
        <w:rPr>
          <w:rFonts w:hint="eastAsia" w:hAnsi="宋体"/>
          <w:color w:val="000000"/>
          <w:szCs w:val="24"/>
        </w:rPr>
        <w:t>亩，交通运输用地</w:t>
      </w:r>
      <w:r>
        <w:rPr>
          <w:rFonts w:hAnsi="宋体"/>
          <w:color w:val="000000"/>
          <w:szCs w:val="24"/>
        </w:rPr>
        <w:t>31.25</w:t>
      </w:r>
      <w:r>
        <w:rPr>
          <w:rFonts w:hint="eastAsia" w:hAnsi="宋体"/>
          <w:color w:val="000000"/>
          <w:szCs w:val="24"/>
        </w:rPr>
        <w:t>亩，水域及水利设施用地</w:t>
      </w:r>
      <w:r>
        <w:rPr>
          <w:rFonts w:hAnsi="宋体"/>
          <w:color w:val="000000"/>
          <w:szCs w:val="24"/>
        </w:rPr>
        <w:t>23.89</w:t>
      </w:r>
      <w:r>
        <w:rPr>
          <w:rFonts w:hint="eastAsia" w:hAnsi="宋体"/>
          <w:color w:val="000000"/>
          <w:szCs w:val="24"/>
        </w:rPr>
        <w:t>亩；临时征用土地</w:t>
      </w:r>
      <w:r>
        <w:rPr>
          <w:rFonts w:hAnsi="宋体"/>
          <w:color w:val="000000"/>
          <w:szCs w:val="24"/>
        </w:rPr>
        <w:t>573.08</w:t>
      </w:r>
      <w:r>
        <w:rPr>
          <w:rFonts w:hint="eastAsia" w:hAnsi="宋体"/>
          <w:color w:val="000000"/>
          <w:szCs w:val="24"/>
        </w:rPr>
        <w:t>亩中，林地</w:t>
      </w:r>
      <w:r>
        <w:rPr>
          <w:rFonts w:hAnsi="宋体"/>
          <w:color w:val="000000"/>
          <w:szCs w:val="24"/>
        </w:rPr>
        <w:t>563.16</w:t>
      </w:r>
      <w:r>
        <w:rPr>
          <w:rFonts w:hint="eastAsia" w:hAnsi="宋体"/>
          <w:color w:val="000000"/>
          <w:szCs w:val="24"/>
        </w:rPr>
        <w:t>亩(均为有林地)，交通运输用地</w:t>
      </w:r>
      <w:r>
        <w:rPr>
          <w:rFonts w:hAnsi="宋体"/>
          <w:color w:val="000000"/>
          <w:szCs w:val="24"/>
        </w:rPr>
        <w:t>9.92</w:t>
      </w:r>
      <w:r>
        <w:rPr>
          <w:rFonts w:hint="eastAsia" w:hAnsi="宋体"/>
          <w:color w:val="000000"/>
          <w:szCs w:val="24"/>
        </w:rPr>
        <w:t>亩。</w:t>
      </w:r>
    </w:p>
    <w:p>
      <w:pPr>
        <w:pStyle w:val="584"/>
        <w:widowControl w:val="0"/>
        <w:adjustRightInd w:val="0"/>
        <w:spacing w:line="480" w:lineRule="exact"/>
        <w:ind w:firstLine="480" w:firstLineChars="200"/>
        <w:jc w:val="both"/>
        <w:rPr>
          <w:color w:val="FF0000"/>
        </w:rPr>
      </w:pPr>
    </w:p>
    <w:p>
      <w:pPr>
        <w:overflowPunct w:val="0"/>
        <w:autoSpaceDE w:val="0"/>
        <w:autoSpaceDN w:val="0"/>
        <w:adjustRightInd w:val="0"/>
        <w:spacing w:line="480" w:lineRule="exact"/>
        <w:ind w:firstLine="480" w:firstLineChars="200"/>
        <w:rPr>
          <w:color w:val="FF0000"/>
          <w:sz w:val="24"/>
        </w:rPr>
        <w:sectPr>
          <w:footerReference r:id="rId14" w:type="default"/>
          <w:pgSz w:w="11906" w:h="16838"/>
          <w:pgMar w:top="1588" w:right="1565" w:bottom="1531" w:left="1565" w:header="1134" w:footer="1247" w:gutter="0"/>
          <w:cols w:space="720" w:num="1"/>
          <w:docGrid w:linePitch="312" w:charSpace="0"/>
        </w:sectPr>
      </w:pPr>
    </w:p>
    <w:p>
      <w:pPr>
        <w:pStyle w:val="517"/>
        <w:rPr>
          <w:color w:val="000000"/>
        </w:rPr>
      </w:pPr>
      <w:r>
        <w:rPr>
          <w:color w:val="000000"/>
        </w:rPr>
        <w:t>表</w:t>
      </w:r>
      <w:r>
        <w:rPr>
          <w:rFonts w:hint="eastAsia"/>
          <w:color w:val="000000"/>
        </w:rPr>
        <w:t>3</w:t>
      </w:r>
      <w:r>
        <w:rPr>
          <w:color w:val="000000"/>
        </w:rPr>
        <w:t>.2.5-2</w:t>
      </w:r>
      <w:r>
        <w:rPr>
          <w:rFonts w:hint="eastAsia"/>
          <w:color w:val="000000"/>
        </w:rPr>
        <w:t>a</w:t>
      </w:r>
      <w:r>
        <w:rPr>
          <w:color w:val="000000"/>
        </w:rPr>
        <w:t xml:space="preserve">  </w:t>
      </w:r>
      <w:r>
        <w:rPr>
          <w:rFonts w:hint="eastAsia"/>
          <w:color w:val="000000"/>
        </w:rPr>
        <w:t>陆河</w:t>
      </w:r>
      <w:r>
        <w:rPr>
          <w:color w:val="000000"/>
        </w:rPr>
        <w:t>抽水蓄能电站建设征地</w:t>
      </w:r>
      <w:r>
        <w:rPr>
          <w:rFonts w:hint="eastAsia"/>
          <w:color w:val="000000"/>
        </w:rPr>
        <w:t>集体</w:t>
      </w:r>
      <w:r>
        <w:rPr>
          <w:color w:val="000000"/>
        </w:rPr>
        <w:t>土地平衡表</w:t>
      </w:r>
    </w:p>
    <w:tbl>
      <w:tblPr>
        <w:tblStyle w:val="79"/>
        <w:tblW w:w="209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3"/>
        <w:gridCol w:w="1501"/>
        <w:gridCol w:w="711"/>
        <w:gridCol w:w="954"/>
        <w:gridCol w:w="1757"/>
        <w:gridCol w:w="916"/>
        <w:gridCol w:w="1652"/>
        <w:gridCol w:w="916"/>
        <w:gridCol w:w="1652"/>
        <w:gridCol w:w="811"/>
        <w:gridCol w:w="1648"/>
        <w:gridCol w:w="916"/>
        <w:gridCol w:w="1652"/>
        <w:gridCol w:w="811"/>
        <w:gridCol w:w="1648"/>
        <w:gridCol w:w="845"/>
        <w:gridCol w:w="16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Merge w:val="restart"/>
            <w:vAlign w:val="center"/>
          </w:tcPr>
          <w:p>
            <w:pPr>
              <w:widowControl/>
              <w:jc w:val="center"/>
              <w:textAlignment w:val="center"/>
              <w:rPr>
                <w:rFonts w:cs="Times New Roman"/>
                <w:color w:val="000000"/>
              </w:rPr>
            </w:pPr>
            <w:r>
              <w:rPr>
                <w:rFonts w:hAnsi="宋体" w:cs="Times New Roman"/>
                <w:color w:val="000000"/>
                <w:kern w:val="0"/>
                <w:lang w:bidi="ar"/>
              </w:rPr>
              <w:t>序号</w:t>
            </w:r>
          </w:p>
        </w:tc>
        <w:tc>
          <w:tcPr>
            <w:tcW w:w="1501" w:type="dxa"/>
            <w:vMerge w:val="restart"/>
            <w:vAlign w:val="center"/>
          </w:tcPr>
          <w:p>
            <w:pPr>
              <w:widowControl/>
              <w:jc w:val="center"/>
              <w:textAlignment w:val="center"/>
              <w:rPr>
                <w:rFonts w:cs="Times New Roman"/>
                <w:color w:val="000000"/>
              </w:rPr>
            </w:pPr>
            <w:r>
              <w:rPr>
                <w:rFonts w:hAnsi="宋体" w:cs="Times New Roman"/>
                <w:color w:val="000000"/>
                <w:kern w:val="0"/>
                <w:lang w:bidi="ar"/>
              </w:rPr>
              <w:t>项目</w:t>
            </w:r>
          </w:p>
        </w:tc>
        <w:tc>
          <w:tcPr>
            <w:tcW w:w="711" w:type="dxa"/>
            <w:vMerge w:val="restart"/>
            <w:vAlign w:val="center"/>
          </w:tcPr>
          <w:p>
            <w:pPr>
              <w:widowControl/>
              <w:jc w:val="center"/>
              <w:textAlignment w:val="center"/>
              <w:rPr>
                <w:rFonts w:cs="Times New Roman"/>
                <w:color w:val="000000"/>
              </w:rPr>
            </w:pPr>
            <w:r>
              <w:rPr>
                <w:rFonts w:hAnsi="宋体" w:cs="Times New Roman"/>
                <w:color w:val="000000"/>
                <w:kern w:val="0"/>
                <w:lang w:bidi="ar"/>
              </w:rPr>
              <w:t>单位</w:t>
            </w:r>
          </w:p>
        </w:tc>
        <w:tc>
          <w:tcPr>
            <w:tcW w:w="2711" w:type="dxa"/>
            <w:gridSpan w:val="2"/>
            <w:vMerge w:val="restart"/>
            <w:vAlign w:val="center"/>
          </w:tcPr>
          <w:p>
            <w:pPr>
              <w:widowControl/>
              <w:jc w:val="center"/>
              <w:textAlignment w:val="center"/>
              <w:rPr>
                <w:rFonts w:cs="Times New Roman"/>
                <w:color w:val="000000"/>
              </w:rPr>
            </w:pPr>
            <w:r>
              <w:rPr>
                <w:rFonts w:hAnsi="宋体" w:cs="Times New Roman"/>
                <w:color w:val="000000"/>
                <w:kern w:val="0"/>
                <w:lang w:bidi="ar"/>
              </w:rPr>
              <w:t>合计</w:t>
            </w:r>
          </w:p>
        </w:tc>
        <w:tc>
          <w:tcPr>
            <w:tcW w:w="7595" w:type="dxa"/>
            <w:gridSpan w:val="6"/>
            <w:vAlign w:val="center"/>
          </w:tcPr>
          <w:p>
            <w:pPr>
              <w:widowControl/>
              <w:jc w:val="center"/>
              <w:textAlignment w:val="center"/>
              <w:rPr>
                <w:rFonts w:cs="Times New Roman"/>
                <w:color w:val="000000"/>
              </w:rPr>
            </w:pPr>
            <w:r>
              <w:rPr>
                <w:rFonts w:hAnsi="宋体" w:cs="Times New Roman"/>
                <w:color w:val="000000"/>
                <w:kern w:val="0"/>
                <w:lang w:bidi="ar"/>
              </w:rPr>
              <w:t>枢纽工程建设区</w:t>
            </w:r>
          </w:p>
        </w:tc>
        <w:tc>
          <w:tcPr>
            <w:tcW w:w="7520" w:type="dxa"/>
            <w:gridSpan w:val="6"/>
            <w:vAlign w:val="center"/>
          </w:tcPr>
          <w:p>
            <w:pPr>
              <w:widowControl/>
              <w:jc w:val="center"/>
              <w:textAlignment w:val="center"/>
              <w:rPr>
                <w:rFonts w:cs="Times New Roman"/>
                <w:color w:val="000000"/>
              </w:rPr>
            </w:pPr>
            <w:r>
              <w:rPr>
                <w:rFonts w:hAnsi="宋体" w:cs="Times New Roman"/>
                <w:color w:val="000000"/>
                <w:kern w:val="0"/>
                <w:lang w:bidi="ar"/>
              </w:rPr>
              <w:t>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Merge w:val="continue"/>
            <w:vAlign w:val="center"/>
          </w:tcPr>
          <w:p>
            <w:pPr>
              <w:jc w:val="center"/>
              <w:rPr>
                <w:rFonts w:cs="Times New Roman"/>
                <w:color w:val="000000"/>
              </w:rPr>
            </w:pPr>
          </w:p>
        </w:tc>
        <w:tc>
          <w:tcPr>
            <w:tcW w:w="1501" w:type="dxa"/>
            <w:vMerge w:val="continue"/>
            <w:vAlign w:val="center"/>
          </w:tcPr>
          <w:p>
            <w:pPr>
              <w:jc w:val="center"/>
              <w:rPr>
                <w:rFonts w:cs="Times New Roman"/>
                <w:color w:val="000000"/>
              </w:rPr>
            </w:pPr>
          </w:p>
        </w:tc>
        <w:tc>
          <w:tcPr>
            <w:tcW w:w="711" w:type="dxa"/>
            <w:vMerge w:val="continue"/>
            <w:vAlign w:val="center"/>
          </w:tcPr>
          <w:p>
            <w:pPr>
              <w:jc w:val="center"/>
              <w:rPr>
                <w:rFonts w:cs="Times New Roman"/>
                <w:color w:val="000000"/>
              </w:rPr>
            </w:pPr>
          </w:p>
        </w:tc>
        <w:tc>
          <w:tcPr>
            <w:tcW w:w="2711" w:type="dxa"/>
            <w:gridSpan w:val="2"/>
            <w:vMerge w:val="continue"/>
            <w:vAlign w:val="center"/>
          </w:tcPr>
          <w:p>
            <w:pPr>
              <w:jc w:val="center"/>
              <w:rPr>
                <w:rFonts w:cs="Times New Roman"/>
                <w:color w:val="000000"/>
              </w:rPr>
            </w:pPr>
          </w:p>
        </w:tc>
        <w:tc>
          <w:tcPr>
            <w:tcW w:w="2568" w:type="dxa"/>
            <w:gridSpan w:val="2"/>
            <w:vAlign w:val="center"/>
          </w:tcPr>
          <w:p>
            <w:pPr>
              <w:widowControl/>
              <w:jc w:val="center"/>
              <w:textAlignment w:val="center"/>
              <w:rPr>
                <w:rFonts w:cs="Times New Roman"/>
                <w:color w:val="000000"/>
              </w:rPr>
            </w:pPr>
            <w:r>
              <w:rPr>
                <w:rFonts w:hAnsi="宋体" w:cs="Times New Roman"/>
                <w:color w:val="000000"/>
                <w:kern w:val="0"/>
                <w:lang w:bidi="ar"/>
              </w:rPr>
              <w:t>小计</w:t>
            </w:r>
          </w:p>
        </w:tc>
        <w:tc>
          <w:tcPr>
            <w:tcW w:w="2568" w:type="dxa"/>
            <w:gridSpan w:val="2"/>
            <w:vAlign w:val="center"/>
          </w:tcPr>
          <w:p>
            <w:pPr>
              <w:widowControl/>
              <w:jc w:val="center"/>
              <w:textAlignment w:val="center"/>
              <w:rPr>
                <w:rFonts w:cs="Times New Roman"/>
                <w:color w:val="000000"/>
              </w:rPr>
            </w:pPr>
            <w:r>
              <w:rPr>
                <w:rFonts w:hAnsi="宋体" w:cs="Times New Roman"/>
                <w:color w:val="000000"/>
                <w:kern w:val="0"/>
                <w:lang w:bidi="ar"/>
              </w:rPr>
              <w:t>永久占地区</w:t>
            </w:r>
          </w:p>
        </w:tc>
        <w:tc>
          <w:tcPr>
            <w:tcW w:w="2459" w:type="dxa"/>
            <w:gridSpan w:val="2"/>
            <w:vAlign w:val="center"/>
          </w:tcPr>
          <w:p>
            <w:pPr>
              <w:widowControl/>
              <w:jc w:val="center"/>
              <w:textAlignment w:val="center"/>
              <w:rPr>
                <w:rFonts w:cs="Times New Roman"/>
                <w:color w:val="000000"/>
              </w:rPr>
            </w:pPr>
            <w:r>
              <w:rPr>
                <w:rFonts w:hAnsi="宋体" w:cs="Times New Roman"/>
                <w:color w:val="000000"/>
                <w:kern w:val="0"/>
                <w:lang w:bidi="ar"/>
              </w:rPr>
              <w:t>临时用地区</w:t>
            </w:r>
          </w:p>
        </w:tc>
        <w:tc>
          <w:tcPr>
            <w:tcW w:w="2568" w:type="dxa"/>
            <w:gridSpan w:val="2"/>
            <w:vAlign w:val="center"/>
          </w:tcPr>
          <w:p>
            <w:pPr>
              <w:widowControl/>
              <w:jc w:val="center"/>
              <w:textAlignment w:val="center"/>
              <w:rPr>
                <w:rFonts w:cs="Times New Roman"/>
                <w:color w:val="000000"/>
              </w:rPr>
            </w:pPr>
            <w:r>
              <w:rPr>
                <w:rFonts w:hAnsi="宋体" w:cs="Times New Roman"/>
                <w:color w:val="000000"/>
                <w:kern w:val="0"/>
                <w:lang w:bidi="ar"/>
              </w:rPr>
              <w:t>小计</w:t>
            </w:r>
          </w:p>
        </w:tc>
        <w:tc>
          <w:tcPr>
            <w:tcW w:w="2459" w:type="dxa"/>
            <w:gridSpan w:val="2"/>
            <w:vAlign w:val="center"/>
          </w:tcPr>
          <w:p>
            <w:pPr>
              <w:widowControl/>
              <w:jc w:val="center"/>
              <w:textAlignment w:val="center"/>
              <w:rPr>
                <w:rFonts w:cs="Times New Roman"/>
                <w:color w:val="000000"/>
              </w:rPr>
            </w:pPr>
            <w:r>
              <w:rPr>
                <w:rFonts w:hAnsi="宋体" w:cs="Times New Roman"/>
                <w:color w:val="000000"/>
                <w:kern w:val="0"/>
                <w:lang w:bidi="ar"/>
              </w:rPr>
              <w:t>上水库淹没区</w:t>
            </w:r>
          </w:p>
        </w:tc>
        <w:tc>
          <w:tcPr>
            <w:tcW w:w="2493" w:type="dxa"/>
            <w:gridSpan w:val="2"/>
            <w:vAlign w:val="center"/>
          </w:tcPr>
          <w:p>
            <w:pPr>
              <w:widowControl/>
              <w:jc w:val="center"/>
              <w:textAlignment w:val="center"/>
              <w:rPr>
                <w:rFonts w:cs="Times New Roman"/>
                <w:color w:val="000000"/>
              </w:rPr>
            </w:pPr>
            <w:r>
              <w:rPr>
                <w:rFonts w:hAnsi="宋体" w:cs="Times New Roman"/>
                <w:color w:val="000000"/>
                <w:kern w:val="0"/>
                <w:lang w:bidi="ar"/>
              </w:rPr>
              <w:t>下水库淹没区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Merge w:val="continue"/>
            <w:vAlign w:val="center"/>
          </w:tcPr>
          <w:p>
            <w:pPr>
              <w:jc w:val="center"/>
              <w:rPr>
                <w:rFonts w:cs="Times New Roman"/>
                <w:color w:val="000000"/>
              </w:rPr>
            </w:pPr>
          </w:p>
        </w:tc>
        <w:tc>
          <w:tcPr>
            <w:tcW w:w="1501" w:type="dxa"/>
            <w:vMerge w:val="continue"/>
            <w:vAlign w:val="center"/>
          </w:tcPr>
          <w:p>
            <w:pPr>
              <w:jc w:val="center"/>
              <w:rPr>
                <w:rFonts w:cs="Times New Roman"/>
                <w:color w:val="000000"/>
              </w:rPr>
            </w:pPr>
          </w:p>
        </w:tc>
        <w:tc>
          <w:tcPr>
            <w:tcW w:w="711" w:type="dxa"/>
            <w:vMerge w:val="continue"/>
            <w:vAlign w:val="center"/>
          </w:tcPr>
          <w:p>
            <w:pPr>
              <w:jc w:val="center"/>
              <w:rPr>
                <w:rFonts w:cs="Times New Roman"/>
                <w:color w:val="000000"/>
              </w:rPr>
            </w:pPr>
          </w:p>
        </w:tc>
        <w:tc>
          <w:tcPr>
            <w:tcW w:w="954"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757"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916"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52"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916"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52"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811"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48"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916"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52"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811"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48"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845"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48" w:type="dxa"/>
            <w:vAlign w:val="center"/>
          </w:tcPr>
          <w:p>
            <w:pPr>
              <w:widowControl/>
              <w:jc w:val="center"/>
              <w:textAlignment w:val="center"/>
              <w:rPr>
                <w:rFonts w:cs="Times New Roman"/>
                <w:color w:val="000000"/>
              </w:rPr>
            </w:pPr>
            <w:r>
              <w:rPr>
                <w:rFonts w:hAnsi="宋体" w:cs="Times New Roman"/>
                <w:color w:val="000000"/>
                <w:kern w:val="0"/>
                <w:lang w:bidi="ar"/>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hAnsi="宋体" w:cs="Times New Roman"/>
                <w:color w:val="000000"/>
                <w:kern w:val="0"/>
                <w:lang w:bidi="ar"/>
              </w:rPr>
              <w:t>一</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土地面积</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2077.38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1333.43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944.68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388.75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743.95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266.46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477.49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陆地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1953.43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94.03%</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1326.16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99.45%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937.41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99.23%</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388.75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627.27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84.32%</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181.28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68.03%</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445.99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93.40%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水域</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123.95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5.97%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7.27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7.27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0.77%</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116.68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15.68%</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85.18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31.97%</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31.50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6.60%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1</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耕地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400.68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19.29%</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185.37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13.90%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169.82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17.98%</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15.55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4.00%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215.31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28.94%</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73.03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27.41%</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142.28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29.80%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249.78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12.02%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131.30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9.85%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115.76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12.25%</w:t>
            </w:r>
          </w:p>
        </w:tc>
        <w:tc>
          <w:tcPr>
            <w:tcW w:w="811" w:type="dxa"/>
            <w:shd w:val="clear" w:color="auto" w:fill="auto"/>
            <w:vAlign w:val="center"/>
          </w:tcPr>
          <w:p>
            <w:pPr>
              <w:jc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15.54 </w:t>
            </w:r>
          </w:p>
        </w:tc>
        <w:tc>
          <w:tcPr>
            <w:tcW w:w="1648" w:type="dxa"/>
            <w:shd w:val="clear" w:color="auto" w:fill="auto"/>
            <w:vAlign w:val="center"/>
          </w:tcPr>
          <w:p>
            <w:pPr>
              <w:jc w:val="center"/>
              <w:rPr>
                <w:rFonts w:hAnsi="宋体" w:cs="Times New Roman"/>
                <w:color w:val="000000"/>
                <w:kern w:val="0"/>
                <w:lang w:bidi="ar"/>
              </w:rPr>
            </w:pPr>
            <w:r>
              <w:rPr>
                <w:rFonts w:ascii="Times New Roman" w:hAnsi="宋体" w:eastAsia="宋体" w:cs="Times New Roman"/>
                <w:color w:val="000000"/>
                <w:kern w:val="0"/>
                <w:sz w:val="21"/>
                <w:szCs w:val="21"/>
                <w:lang w:bidi="ar"/>
              </w:rPr>
              <w:t>4.00%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118.48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15.93%</w:t>
            </w:r>
          </w:p>
        </w:tc>
        <w:tc>
          <w:tcPr>
            <w:tcW w:w="811" w:type="dxa"/>
            <w:shd w:val="clear" w:color="auto" w:fill="auto"/>
            <w:vAlign w:val="center"/>
          </w:tcPr>
          <w:p>
            <w:pPr>
              <w:jc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0.85 </w:t>
            </w:r>
          </w:p>
        </w:tc>
        <w:tc>
          <w:tcPr>
            <w:tcW w:w="1648" w:type="dxa"/>
            <w:shd w:val="clear" w:color="auto" w:fill="auto"/>
            <w:vAlign w:val="center"/>
          </w:tcPr>
          <w:p>
            <w:pPr>
              <w:jc w:val="center"/>
              <w:rPr>
                <w:rFonts w:hAnsi="宋体" w:cs="Times New Roman"/>
                <w:color w:val="000000"/>
                <w:kern w:val="0"/>
                <w:lang w:bidi="ar"/>
              </w:rPr>
            </w:pPr>
            <w:r>
              <w:rPr>
                <w:rFonts w:ascii="Times New Roman" w:hAnsi="宋体" w:eastAsia="宋体" w:cs="Times New Roman"/>
                <w:color w:val="000000"/>
                <w:kern w:val="0"/>
                <w:sz w:val="21"/>
                <w:szCs w:val="21"/>
                <w:lang w:bidi="ar"/>
              </w:rPr>
              <w:t>0.32%</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117.64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24.64%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旱地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150.90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7.26%</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54.08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4.06%</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54.06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5.72%</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0.02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96.83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13.02%</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72.19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27.09%</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24.64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5.16%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2</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园地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27.67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1.33%</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19.66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1.47%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15.98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1.69%</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3.68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0.95%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8.01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1.08%</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8.01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果园</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19.95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0.96%</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18.57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1.39%</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14.89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1.58%</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3.68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0.95%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0.19%</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1.39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茶园</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7.72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0.37%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0.12%</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6.62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0.89%</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6.62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3</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林地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1494.65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71.95%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1109.62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83.22%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740.41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78.38%</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369.20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94.97%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385.03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51.76%</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107.01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40.16%</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278.02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58.23%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有林地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1481.76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71.33%</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1107.96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83.09%</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738.75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78.20%</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369.20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94.97%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373.80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50.25%</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96.11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36.07%</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277.69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58.16%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灌木林地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12.89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0.62%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1.66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1.66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0.18%</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11.23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1.51%</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10.90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4.09%</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0.33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4</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草地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7.68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0.37%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0.24%</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0.02 </w:t>
            </w:r>
          </w:p>
        </w:tc>
        <w:tc>
          <w:tcPr>
            <w:tcW w:w="1648" w:type="dxa"/>
            <w:shd w:val="clear" w:color="auto" w:fill="auto"/>
            <w:vAlign w:val="center"/>
          </w:tcPr>
          <w:p>
            <w:pPr>
              <w:jc w:val="center"/>
              <w:rPr>
                <w:rFonts w:hAnsi="宋体" w:cs="Times New Roman"/>
                <w:color w:val="000000"/>
                <w:kern w:val="0"/>
                <w:lang w:bidi="ar"/>
              </w:rPr>
            </w:pPr>
            <w:r>
              <w:rPr>
                <w:rFonts w:ascii="Times New Roman" w:hAnsi="宋体" w:eastAsia="宋体" w:cs="Times New Roman"/>
                <w:color w:val="000000"/>
                <w:kern w:val="0"/>
                <w:sz w:val="21"/>
                <w:szCs w:val="21"/>
                <w:lang w:bidi="ar"/>
              </w:rPr>
              <w:t>0.01%</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5.40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0.73%</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0.40%</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4.33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其他草地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7.68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0.37%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0.24%</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0.02 </w:t>
            </w:r>
          </w:p>
        </w:tc>
        <w:tc>
          <w:tcPr>
            <w:tcW w:w="1648" w:type="dxa"/>
            <w:shd w:val="clear" w:color="auto" w:fill="auto"/>
            <w:vAlign w:val="center"/>
          </w:tcPr>
          <w:p>
            <w:pPr>
              <w:jc w:val="center"/>
              <w:rPr>
                <w:rFonts w:hAnsi="宋体" w:cs="Times New Roman"/>
                <w:color w:val="000000"/>
                <w:kern w:val="0"/>
                <w:lang w:bidi="ar"/>
              </w:rPr>
            </w:pPr>
            <w:r>
              <w:rPr>
                <w:rFonts w:ascii="Times New Roman" w:hAnsi="宋体" w:eastAsia="宋体" w:cs="Times New Roman"/>
                <w:color w:val="000000"/>
                <w:kern w:val="0"/>
                <w:sz w:val="21"/>
                <w:szCs w:val="21"/>
                <w:lang w:bidi="ar"/>
              </w:rPr>
              <w:t>0.01%</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5.40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0.73%</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0.40%</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4.33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5</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住宅用地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2.48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0.60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0.04%</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0.60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0.06%</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1.88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0.25%</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1.88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农村宅基地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2.48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0.60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0.04%</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0.60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0.06%</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1.88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0.25%</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1.88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6</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交通运输用地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20.26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0.98%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8.63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0.65%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8.34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0.88%</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0.30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11.63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1.56%</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0.16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0.06%</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11.47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公路用地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10.45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4.75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0.36%</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4.75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0.50%</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5.70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0.77%</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5.70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农村道路</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9.81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0.47%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3.88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0.29%</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3.59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0.38%</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0.30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5.93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0.80%</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0.16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0.06%</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5.77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7</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水域及水利设施用地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123.95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5.97%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7.27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7.27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0.77%</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116.68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15.68%</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85.18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31.97%</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31.50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6.60%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河流水面</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29.94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1.44%</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7.27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0.55%</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7.27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0.77%</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22.67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3.05%</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22.67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水库水面</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83.52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4.02%</w:t>
            </w:r>
          </w:p>
        </w:tc>
        <w:tc>
          <w:tcPr>
            <w:tcW w:w="916"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83.52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11.23%</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83.52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31.34%</w:t>
            </w:r>
          </w:p>
        </w:tc>
        <w:tc>
          <w:tcPr>
            <w:tcW w:w="845"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noWrap/>
            <w:vAlign w:val="center"/>
          </w:tcPr>
          <w:p>
            <w:pP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水工建筑用地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10.49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0.50%</w:t>
            </w:r>
          </w:p>
        </w:tc>
        <w:tc>
          <w:tcPr>
            <w:tcW w:w="916"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10.49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1.41%</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1.66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0.62%</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8.83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1.85%</w:t>
            </w:r>
          </w:p>
        </w:tc>
      </w:tr>
    </w:tbl>
    <w:p>
      <w:pPr>
        <w:pStyle w:val="517"/>
        <w:rPr>
          <w:color w:val="000000"/>
        </w:rPr>
      </w:pPr>
      <w:r>
        <w:rPr>
          <w:color w:val="000000"/>
        </w:rPr>
        <w:t>表</w:t>
      </w:r>
      <w:r>
        <w:rPr>
          <w:rFonts w:hint="eastAsia"/>
          <w:color w:val="000000"/>
        </w:rPr>
        <w:t>3</w:t>
      </w:r>
      <w:r>
        <w:rPr>
          <w:color w:val="000000"/>
        </w:rPr>
        <w:t xml:space="preserve">.2.5-2b  </w:t>
      </w:r>
      <w:r>
        <w:rPr>
          <w:rFonts w:hint="eastAsia"/>
          <w:color w:val="000000"/>
        </w:rPr>
        <w:t>陆河</w:t>
      </w:r>
      <w:r>
        <w:rPr>
          <w:color w:val="000000"/>
        </w:rPr>
        <w:t>抽水蓄能电站建设征地</w:t>
      </w:r>
      <w:r>
        <w:rPr>
          <w:rFonts w:hint="eastAsia"/>
          <w:color w:val="000000"/>
        </w:rPr>
        <w:t>国有</w:t>
      </w:r>
      <w:r>
        <w:rPr>
          <w:color w:val="000000"/>
        </w:rPr>
        <w:t>土地平衡表</w:t>
      </w:r>
    </w:p>
    <w:tbl>
      <w:tblPr>
        <w:tblStyle w:val="79"/>
        <w:tblW w:w="209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3"/>
        <w:gridCol w:w="1501"/>
        <w:gridCol w:w="711"/>
        <w:gridCol w:w="954"/>
        <w:gridCol w:w="1757"/>
        <w:gridCol w:w="916"/>
        <w:gridCol w:w="1652"/>
        <w:gridCol w:w="916"/>
        <w:gridCol w:w="1652"/>
        <w:gridCol w:w="811"/>
        <w:gridCol w:w="1648"/>
        <w:gridCol w:w="916"/>
        <w:gridCol w:w="1652"/>
        <w:gridCol w:w="811"/>
        <w:gridCol w:w="1648"/>
        <w:gridCol w:w="845"/>
        <w:gridCol w:w="16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82" w:hRule="atLeast"/>
          <w:jc w:val="center"/>
        </w:trPr>
        <w:tc>
          <w:tcPr>
            <w:tcW w:w="873" w:type="dxa"/>
            <w:vMerge w:val="restart"/>
            <w:vAlign w:val="center"/>
          </w:tcPr>
          <w:p>
            <w:pPr>
              <w:widowControl/>
              <w:jc w:val="center"/>
              <w:textAlignment w:val="center"/>
              <w:rPr>
                <w:rFonts w:cs="Times New Roman"/>
                <w:color w:val="000000"/>
              </w:rPr>
            </w:pPr>
            <w:r>
              <w:rPr>
                <w:rFonts w:hAnsi="宋体" w:cs="Times New Roman"/>
                <w:color w:val="000000"/>
                <w:kern w:val="0"/>
                <w:lang w:bidi="ar"/>
              </w:rPr>
              <w:t>序号</w:t>
            </w:r>
          </w:p>
        </w:tc>
        <w:tc>
          <w:tcPr>
            <w:tcW w:w="1501" w:type="dxa"/>
            <w:vMerge w:val="restart"/>
            <w:vAlign w:val="center"/>
          </w:tcPr>
          <w:p>
            <w:pPr>
              <w:widowControl/>
              <w:jc w:val="center"/>
              <w:textAlignment w:val="center"/>
              <w:rPr>
                <w:rFonts w:cs="Times New Roman"/>
                <w:color w:val="000000"/>
              </w:rPr>
            </w:pPr>
            <w:r>
              <w:rPr>
                <w:rFonts w:hAnsi="宋体" w:cs="Times New Roman"/>
                <w:color w:val="000000"/>
                <w:kern w:val="0"/>
                <w:lang w:bidi="ar"/>
              </w:rPr>
              <w:t>项目</w:t>
            </w:r>
          </w:p>
        </w:tc>
        <w:tc>
          <w:tcPr>
            <w:tcW w:w="711" w:type="dxa"/>
            <w:vMerge w:val="restart"/>
            <w:vAlign w:val="center"/>
          </w:tcPr>
          <w:p>
            <w:pPr>
              <w:widowControl/>
              <w:jc w:val="center"/>
              <w:textAlignment w:val="center"/>
              <w:rPr>
                <w:rFonts w:cs="Times New Roman"/>
                <w:color w:val="000000"/>
              </w:rPr>
            </w:pPr>
            <w:r>
              <w:rPr>
                <w:rFonts w:hAnsi="宋体" w:cs="Times New Roman"/>
                <w:color w:val="000000"/>
                <w:kern w:val="0"/>
                <w:lang w:bidi="ar"/>
              </w:rPr>
              <w:t>单位</w:t>
            </w:r>
          </w:p>
        </w:tc>
        <w:tc>
          <w:tcPr>
            <w:tcW w:w="2711" w:type="dxa"/>
            <w:gridSpan w:val="2"/>
            <w:vMerge w:val="restart"/>
            <w:vAlign w:val="center"/>
          </w:tcPr>
          <w:p>
            <w:pPr>
              <w:widowControl/>
              <w:jc w:val="center"/>
              <w:textAlignment w:val="center"/>
              <w:rPr>
                <w:rFonts w:cs="Times New Roman"/>
                <w:color w:val="000000"/>
              </w:rPr>
            </w:pPr>
            <w:r>
              <w:rPr>
                <w:rFonts w:hAnsi="宋体" w:cs="Times New Roman"/>
                <w:color w:val="000000"/>
                <w:kern w:val="0"/>
                <w:lang w:bidi="ar"/>
              </w:rPr>
              <w:t>合计</w:t>
            </w:r>
          </w:p>
        </w:tc>
        <w:tc>
          <w:tcPr>
            <w:tcW w:w="7595" w:type="dxa"/>
            <w:gridSpan w:val="6"/>
            <w:vAlign w:val="center"/>
          </w:tcPr>
          <w:p>
            <w:pPr>
              <w:widowControl/>
              <w:jc w:val="center"/>
              <w:textAlignment w:val="center"/>
              <w:rPr>
                <w:rFonts w:cs="Times New Roman"/>
                <w:color w:val="000000"/>
              </w:rPr>
            </w:pPr>
            <w:r>
              <w:rPr>
                <w:rFonts w:hAnsi="宋体" w:cs="Times New Roman"/>
                <w:color w:val="000000"/>
                <w:kern w:val="0"/>
                <w:lang w:bidi="ar"/>
              </w:rPr>
              <w:t>枢纽工程建设区</w:t>
            </w:r>
          </w:p>
        </w:tc>
        <w:tc>
          <w:tcPr>
            <w:tcW w:w="7520" w:type="dxa"/>
            <w:gridSpan w:val="6"/>
            <w:vAlign w:val="center"/>
          </w:tcPr>
          <w:p>
            <w:pPr>
              <w:widowControl/>
              <w:jc w:val="center"/>
              <w:textAlignment w:val="center"/>
              <w:rPr>
                <w:rFonts w:cs="Times New Roman"/>
                <w:color w:val="000000"/>
              </w:rPr>
            </w:pPr>
            <w:r>
              <w:rPr>
                <w:rFonts w:hAnsi="宋体" w:cs="Times New Roman"/>
                <w:color w:val="000000"/>
                <w:kern w:val="0"/>
                <w:lang w:bidi="ar"/>
              </w:rPr>
              <w:t>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Merge w:val="continue"/>
            <w:vAlign w:val="center"/>
          </w:tcPr>
          <w:p>
            <w:pPr>
              <w:jc w:val="center"/>
              <w:rPr>
                <w:rFonts w:cs="Times New Roman"/>
                <w:color w:val="000000"/>
              </w:rPr>
            </w:pPr>
          </w:p>
        </w:tc>
        <w:tc>
          <w:tcPr>
            <w:tcW w:w="1501" w:type="dxa"/>
            <w:vMerge w:val="continue"/>
            <w:vAlign w:val="center"/>
          </w:tcPr>
          <w:p>
            <w:pPr>
              <w:jc w:val="center"/>
              <w:rPr>
                <w:rFonts w:cs="Times New Roman"/>
                <w:color w:val="000000"/>
              </w:rPr>
            </w:pPr>
          </w:p>
        </w:tc>
        <w:tc>
          <w:tcPr>
            <w:tcW w:w="711" w:type="dxa"/>
            <w:vMerge w:val="continue"/>
            <w:vAlign w:val="center"/>
          </w:tcPr>
          <w:p>
            <w:pPr>
              <w:jc w:val="center"/>
              <w:rPr>
                <w:rFonts w:cs="Times New Roman"/>
                <w:color w:val="000000"/>
              </w:rPr>
            </w:pPr>
          </w:p>
        </w:tc>
        <w:tc>
          <w:tcPr>
            <w:tcW w:w="2711" w:type="dxa"/>
            <w:gridSpan w:val="2"/>
            <w:vMerge w:val="continue"/>
            <w:vAlign w:val="center"/>
          </w:tcPr>
          <w:p>
            <w:pPr>
              <w:jc w:val="center"/>
              <w:rPr>
                <w:rFonts w:cs="Times New Roman"/>
                <w:color w:val="000000"/>
              </w:rPr>
            </w:pPr>
          </w:p>
        </w:tc>
        <w:tc>
          <w:tcPr>
            <w:tcW w:w="2568" w:type="dxa"/>
            <w:gridSpan w:val="2"/>
            <w:vAlign w:val="center"/>
          </w:tcPr>
          <w:p>
            <w:pPr>
              <w:widowControl/>
              <w:jc w:val="center"/>
              <w:textAlignment w:val="center"/>
              <w:rPr>
                <w:rFonts w:cs="Times New Roman"/>
                <w:color w:val="000000"/>
              </w:rPr>
            </w:pPr>
            <w:r>
              <w:rPr>
                <w:rFonts w:hAnsi="宋体" w:cs="Times New Roman"/>
                <w:color w:val="000000"/>
                <w:kern w:val="0"/>
                <w:lang w:bidi="ar"/>
              </w:rPr>
              <w:t>小计</w:t>
            </w:r>
          </w:p>
        </w:tc>
        <w:tc>
          <w:tcPr>
            <w:tcW w:w="2568" w:type="dxa"/>
            <w:gridSpan w:val="2"/>
            <w:vAlign w:val="center"/>
          </w:tcPr>
          <w:p>
            <w:pPr>
              <w:widowControl/>
              <w:jc w:val="center"/>
              <w:textAlignment w:val="center"/>
              <w:rPr>
                <w:rFonts w:cs="Times New Roman"/>
                <w:color w:val="000000"/>
              </w:rPr>
            </w:pPr>
            <w:r>
              <w:rPr>
                <w:rFonts w:hAnsi="宋体" w:cs="Times New Roman"/>
                <w:color w:val="000000"/>
                <w:kern w:val="0"/>
                <w:lang w:bidi="ar"/>
              </w:rPr>
              <w:t>永久占地区</w:t>
            </w:r>
          </w:p>
        </w:tc>
        <w:tc>
          <w:tcPr>
            <w:tcW w:w="2459" w:type="dxa"/>
            <w:gridSpan w:val="2"/>
            <w:vAlign w:val="center"/>
          </w:tcPr>
          <w:p>
            <w:pPr>
              <w:widowControl/>
              <w:jc w:val="center"/>
              <w:textAlignment w:val="center"/>
              <w:rPr>
                <w:rFonts w:cs="Times New Roman"/>
                <w:color w:val="000000"/>
              </w:rPr>
            </w:pPr>
            <w:r>
              <w:rPr>
                <w:rFonts w:hAnsi="宋体" w:cs="Times New Roman"/>
                <w:color w:val="000000"/>
                <w:kern w:val="0"/>
                <w:lang w:bidi="ar"/>
              </w:rPr>
              <w:t>临时用地区</w:t>
            </w:r>
          </w:p>
        </w:tc>
        <w:tc>
          <w:tcPr>
            <w:tcW w:w="2568" w:type="dxa"/>
            <w:gridSpan w:val="2"/>
            <w:vAlign w:val="center"/>
          </w:tcPr>
          <w:p>
            <w:pPr>
              <w:widowControl/>
              <w:jc w:val="center"/>
              <w:textAlignment w:val="center"/>
              <w:rPr>
                <w:rFonts w:cs="Times New Roman"/>
                <w:color w:val="000000"/>
              </w:rPr>
            </w:pPr>
            <w:r>
              <w:rPr>
                <w:rFonts w:hAnsi="宋体" w:cs="Times New Roman"/>
                <w:color w:val="000000"/>
                <w:kern w:val="0"/>
                <w:lang w:bidi="ar"/>
              </w:rPr>
              <w:t>小计</w:t>
            </w:r>
          </w:p>
        </w:tc>
        <w:tc>
          <w:tcPr>
            <w:tcW w:w="2459" w:type="dxa"/>
            <w:gridSpan w:val="2"/>
            <w:vAlign w:val="center"/>
          </w:tcPr>
          <w:p>
            <w:pPr>
              <w:widowControl/>
              <w:jc w:val="center"/>
              <w:textAlignment w:val="center"/>
              <w:rPr>
                <w:rFonts w:cs="Times New Roman"/>
                <w:color w:val="000000"/>
              </w:rPr>
            </w:pPr>
            <w:r>
              <w:rPr>
                <w:rFonts w:hAnsi="宋体" w:cs="Times New Roman"/>
                <w:color w:val="000000"/>
                <w:kern w:val="0"/>
                <w:lang w:bidi="ar"/>
              </w:rPr>
              <w:t>上水库淹没区</w:t>
            </w:r>
          </w:p>
        </w:tc>
        <w:tc>
          <w:tcPr>
            <w:tcW w:w="2493" w:type="dxa"/>
            <w:gridSpan w:val="2"/>
            <w:vAlign w:val="center"/>
          </w:tcPr>
          <w:p>
            <w:pPr>
              <w:widowControl/>
              <w:jc w:val="center"/>
              <w:textAlignment w:val="center"/>
              <w:rPr>
                <w:rFonts w:cs="Times New Roman"/>
                <w:color w:val="000000"/>
              </w:rPr>
            </w:pPr>
            <w:r>
              <w:rPr>
                <w:rFonts w:hAnsi="宋体" w:cs="Times New Roman"/>
                <w:color w:val="000000"/>
                <w:kern w:val="0"/>
                <w:lang w:bidi="ar"/>
              </w:rPr>
              <w:t>下水库淹没区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Merge w:val="continue"/>
            <w:vAlign w:val="center"/>
          </w:tcPr>
          <w:p>
            <w:pPr>
              <w:jc w:val="center"/>
              <w:rPr>
                <w:rFonts w:cs="Times New Roman"/>
                <w:color w:val="000000"/>
              </w:rPr>
            </w:pPr>
          </w:p>
        </w:tc>
        <w:tc>
          <w:tcPr>
            <w:tcW w:w="1501" w:type="dxa"/>
            <w:vMerge w:val="continue"/>
            <w:vAlign w:val="center"/>
          </w:tcPr>
          <w:p>
            <w:pPr>
              <w:jc w:val="center"/>
              <w:rPr>
                <w:rFonts w:cs="Times New Roman"/>
                <w:color w:val="000000"/>
              </w:rPr>
            </w:pPr>
          </w:p>
        </w:tc>
        <w:tc>
          <w:tcPr>
            <w:tcW w:w="711" w:type="dxa"/>
            <w:vMerge w:val="continue"/>
            <w:vAlign w:val="center"/>
          </w:tcPr>
          <w:p>
            <w:pPr>
              <w:jc w:val="center"/>
              <w:rPr>
                <w:rFonts w:cs="Times New Roman"/>
                <w:color w:val="000000"/>
              </w:rPr>
            </w:pPr>
          </w:p>
        </w:tc>
        <w:tc>
          <w:tcPr>
            <w:tcW w:w="954"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757"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916"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52"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916"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52"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811"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48"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916"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52"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811"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48" w:type="dxa"/>
            <w:vAlign w:val="center"/>
          </w:tcPr>
          <w:p>
            <w:pPr>
              <w:widowControl/>
              <w:jc w:val="center"/>
              <w:textAlignment w:val="center"/>
              <w:rPr>
                <w:rFonts w:cs="Times New Roman"/>
                <w:color w:val="000000"/>
              </w:rPr>
            </w:pPr>
            <w:r>
              <w:rPr>
                <w:rFonts w:hAnsi="宋体" w:cs="Times New Roman"/>
                <w:color w:val="000000"/>
                <w:kern w:val="0"/>
                <w:lang w:bidi="ar"/>
              </w:rPr>
              <w:t>比例</w:t>
            </w:r>
          </w:p>
        </w:tc>
        <w:tc>
          <w:tcPr>
            <w:tcW w:w="845" w:type="dxa"/>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1648" w:type="dxa"/>
            <w:vAlign w:val="center"/>
          </w:tcPr>
          <w:p>
            <w:pPr>
              <w:widowControl/>
              <w:jc w:val="center"/>
              <w:textAlignment w:val="center"/>
              <w:rPr>
                <w:rFonts w:cs="Times New Roman"/>
                <w:color w:val="000000"/>
              </w:rPr>
            </w:pPr>
            <w:r>
              <w:rPr>
                <w:rFonts w:hAnsi="宋体" w:cs="Times New Roman"/>
                <w:color w:val="000000"/>
                <w:kern w:val="0"/>
                <w:lang w:bidi="ar"/>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hAnsi="宋体" w:cs="Times New Roman"/>
                <w:color w:val="000000"/>
                <w:kern w:val="0"/>
                <w:lang w:bidi="ar"/>
              </w:rPr>
              <w:t>一</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土地面积</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2713.95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2079.00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1505.92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573.08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634.95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606.33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28.62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陆地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2690.06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99.12%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2076.80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99.89%</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1503.72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99.85%</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573.08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613.26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96.58%</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584.64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96.42%</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28.62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水域</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23.89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0.88%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0.11%</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0.15%</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21.69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3.42%</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21.69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3.58%</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1</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耕地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115.50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4.26%</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37.10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1.78%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37.10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2.46%</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78.40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12.35%</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78.25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12.90%</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0.15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115.50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4.26%</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37.10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1.78%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37.10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2.46%</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78.40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12.35%</w:t>
            </w:r>
          </w:p>
        </w:tc>
        <w:tc>
          <w:tcPr>
            <w:tcW w:w="811" w:type="dxa"/>
            <w:shd w:val="clear" w:color="auto" w:fill="auto"/>
            <w:vAlign w:val="center"/>
          </w:tcPr>
          <w:p>
            <w:pPr>
              <w:jc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78.25 </w:t>
            </w:r>
          </w:p>
        </w:tc>
        <w:tc>
          <w:tcPr>
            <w:tcW w:w="1648" w:type="dxa"/>
            <w:shd w:val="clear" w:color="auto" w:fill="auto"/>
            <w:vAlign w:val="center"/>
          </w:tcPr>
          <w:p>
            <w:pPr>
              <w:jc w:val="center"/>
              <w:rPr>
                <w:rFonts w:hAnsi="宋体" w:cs="Times New Roman"/>
                <w:color w:val="000000"/>
                <w:kern w:val="0"/>
                <w:lang w:bidi="ar"/>
              </w:rPr>
            </w:pPr>
            <w:r>
              <w:rPr>
                <w:rFonts w:ascii="Times New Roman" w:hAnsi="宋体" w:eastAsia="宋体" w:cs="Times New Roman"/>
                <w:color w:val="000000"/>
                <w:kern w:val="0"/>
                <w:sz w:val="21"/>
                <w:szCs w:val="21"/>
                <w:lang w:bidi="ar"/>
              </w:rPr>
              <w:t>12.90%</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0.15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2</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林地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2519.71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92.84%</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2018.66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97.10%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1455.50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96.65%</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563.16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98.27%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501.06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78.91%</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472.59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77.94%</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28.47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99.46%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有林地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2498.55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92.06%</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2016.95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97.02%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1453.79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96.54%</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563.16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98.27%</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481.61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75.85%</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453.14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74.74%</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28.47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99.46%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灌木林地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21.16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1.71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1.71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0.11%</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19.45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3.06%</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19.45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3.21%</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3</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草地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13.67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13.67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2.15%</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13.67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2.26%</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其他草地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13.67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0.50%</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13.67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2.15%</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13.67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2.26%</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4</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交通运输用地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41.17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1.52%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21.04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1.01%</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11.12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0.74%</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9.92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1.73%</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20.13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3.17%</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20.13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3.32%</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农村道路</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41.17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1.52%</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21.04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1.01%</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11.12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0.74%</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9.92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1.73%</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20.13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3.17%</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20.13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3.32%</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widowControl/>
              <w:jc w:val="center"/>
              <w:textAlignment w:val="center"/>
              <w:rPr>
                <w:rFonts w:cs="Times New Roman"/>
                <w:color w:val="000000"/>
              </w:rPr>
            </w:pPr>
            <w:r>
              <w:rPr>
                <w:rFonts w:cs="Times New Roman"/>
                <w:color w:val="000000"/>
                <w:kern w:val="0"/>
                <w:lang w:bidi="ar"/>
              </w:rPr>
              <w:t>5</w:t>
            </w: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水域及水利设施用地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23.89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0.88%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0.11%</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0.15%</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21.69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3.42%</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21.69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3.58%</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河流水面</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2.20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0.08%</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0.11%</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2.20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0.15%</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vAlign w:val="center"/>
          </w:tcPr>
          <w:p>
            <w:pPr>
              <w:jc w:val="cente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水库水面</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16.27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0.60%</w:t>
            </w:r>
          </w:p>
        </w:tc>
        <w:tc>
          <w:tcPr>
            <w:tcW w:w="916"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16.27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2.56%</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16.27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2.68%</w:t>
            </w:r>
          </w:p>
        </w:tc>
        <w:tc>
          <w:tcPr>
            <w:tcW w:w="845"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873" w:type="dxa"/>
            <w:noWrap/>
            <w:vAlign w:val="center"/>
          </w:tcPr>
          <w:p>
            <w:pPr>
              <w:rPr>
                <w:rFonts w:cs="Times New Roman"/>
                <w:color w:val="000000"/>
              </w:rPr>
            </w:pPr>
          </w:p>
        </w:tc>
        <w:tc>
          <w:tcPr>
            <w:tcW w:w="1501" w:type="dxa"/>
            <w:vAlign w:val="center"/>
          </w:tcPr>
          <w:p>
            <w:pPr>
              <w:widowControl/>
              <w:jc w:val="center"/>
              <w:textAlignment w:val="center"/>
              <w:rPr>
                <w:rFonts w:cs="Times New Roman"/>
                <w:color w:val="000000"/>
              </w:rPr>
            </w:pPr>
            <w:r>
              <w:rPr>
                <w:rFonts w:hAnsi="宋体" w:cs="Times New Roman"/>
                <w:color w:val="000000"/>
                <w:kern w:val="0"/>
                <w:lang w:bidi="ar"/>
              </w:rPr>
              <w:t>水工建筑用地</w:t>
            </w:r>
          </w:p>
        </w:tc>
        <w:tc>
          <w:tcPr>
            <w:tcW w:w="711"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954"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5.42 </w:t>
            </w:r>
          </w:p>
        </w:tc>
        <w:tc>
          <w:tcPr>
            <w:tcW w:w="1757"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0.20%</w:t>
            </w:r>
          </w:p>
        </w:tc>
        <w:tc>
          <w:tcPr>
            <w:tcW w:w="916"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52"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811"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vAlign w:val="center"/>
          </w:tcPr>
          <w:p>
            <w:pPr>
              <w:jc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916"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5.42 </w:t>
            </w:r>
          </w:p>
        </w:tc>
        <w:tc>
          <w:tcPr>
            <w:tcW w:w="1652"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0.85%</w:t>
            </w:r>
          </w:p>
        </w:tc>
        <w:tc>
          <w:tcPr>
            <w:tcW w:w="811"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 xml:space="preserve">5.42 </w:t>
            </w:r>
          </w:p>
        </w:tc>
        <w:tc>
          <w:tcPr>
            <w:tcW w:w="1648" w:type="dxa"/>
            <w:shd w:val="clear" w:color="auto" w:fill="auto"/>
            <w:vAlign w:val="center"/>
          </w:tcPr>
          <w:p>
            <w:pPr>
              <w:widowControl/>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0.89%</w:t>
            </w:r>
          </w:p>
        </w:tc>
        <w:tc>
          <w:tcPr>
            <w:tcW w:w="845" w:type="dxa"/>
            <w:shd w:val="clear" w:color="auto" w:fill="auto"/>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c>
          <w:tcPr>
            <w:tcW w:w="1648" w:type="dxa"/>
            <w:shd w:val="clear" w:color="auto" w:fill="auto"/>
            <w:noWrap/>
            <w:vAlign w:val="center"/>
          </w:tcPr>
          <w:p>
            <w:pPr>
              <w:widowControl/>
              <w:jc w:val="center"/>
              <w:textAlignment w:val="center"/>
              <w:rPr>
                <w:rFonts w:hAnsi="宋体" w:cs="Times New Roman"/>
                <w:color w:val="000000"/>
                <w:kern w:val="0"/>
                <w:lang w:bidi="ar"/>
              </w:rPr>
            </w:pPr>
            <w:r>
              <w:rPr>
                <w:rFonts w:hint="eastAsia" w:ascii="Times New Roman" w:hAnsi="宋体" w:eastAsia="宋体" w:cs="Times New Roman"/>
                <w:color w:val="000000"/>
                <w:kern w:val="0"/>
                <w:sz w:val="21"/>
                <w:szCs w:val="21"/>
                <w:lang w:bidi="ar"/>
              </w:rPr>
              <w:t>　</w:t>
            </w:r>
          </w:p>
        </w:tc>
      </w:tr>
    </w:tbl>
    <w:p>
      <w:pPr>
        <w:rPr>
          <w:color w:val="FF0000"/>
          <w:szCs w:val="20"/>
        </w:rPr>
        <w:sectPr>
          <w:footerReference r:id="rId15" w:type="default"/>
          <w:pgSz w:w="23814" w:h="16840" w:orient="landscape"/>
          <w:pgMar w:top="1565" w:right="1588" w:bottom="1565" w:left="1531" w:header="1134" w:footer="1247" w:gutter="0"/>
          <w:cols w:space="720" w:num="1"/>
          <w:docGrid w:linePitch="312" w:charSpace="0"/>
        </w:sectPr>
      </w:pPr>
    </w:p>
    <w:p>
      <w:pPr>
        <w:pStyle w:val="5"/>
        <w:rPr>
          <w:color w:val="000000"/>
        </w:rPr>
      </w:pPr>
      <w:r>
        <w:rPr>
          <w:color w:val="000000"/>
        </w:rPr>
        <w:t>3.2.5.</w:t>
      </w:r>
      <w:r>
        <w:rPr>
          <w:rFonts w:hint="eastAsia"/>
          <w:color w:val="000000"/>
        </w:rPr>
        <w:t>2</w:t>
      </w:r>
      <w:r>
        <w:rPr>
          <w:color w:val="000000"/>
        </w:rPr>
        <w:t xml:space="preserve">  房屋及附属设施</w:t>
      </w:r>
    </w:p>
    <w:p>
      <w:pPr>
        <w:pStyle w:val="584"/>
        <w:ind w:firstLine="425"/>
        <w:jc w:val="both"/>
        <w:rPr>
          <w:color w:val="000000"/>
        </w:rPr>
      </w:pPr>
      <w:r>
        <w:rPr>
          <w:rFonts w:hint="eastAsia" w:hAnsi="宋体"/>
          <w:color w:val="000000"/>
          <w:szCs w:val="24"/>
        </w:rPr>
        <w:t>陆河抽水蓄能电站建设征地涉及广东省汕尾市陆河县新田镇激石溪村委和汕尾市吉溪林场，激石溪村全部村民于10年前集中搬迁至新田镇居住，且村内大部分房屋已于2019年农村改造时拆除，剩余本工程建设征地范围内的零星房屋均无常驻村民，仅作为生产性房屋，各方案不涉及搬迁人口。涉及房屋总面积</w:t>
      </w:r>
      <w:r>
        <w:rPr>
          <w:rFonts w:hAnsi="宋体"/>
          <w:color w:val="000000"/>
          <w:szCs w:val="24"/>
        </w:rPr>
        <w:t>1086.63</w:t>
      </w:r>
      <w:r>
        <w:rPr>
          <w:rFonts w:hint="eastAsia" w:hAnsi="宋体"/>
          <w:color w:val="000000"/>
          <w:szCs w:val="24"/>
        </w:rPr>
        <w:t>m</w:t>
      </w:r>
      <w:r>
        <w:rPr>
          <w:rFonts w:hint="eastAsia" w:hAnsi="宋体"/>
          <w:color w:val="000000"/>
          <w:szCs w:val="24"/>
          <w:vertAlign w:val="superscript"/>
        </w:rPr>
        <w:t>2</w:t>
      </w:r>
      <w:r>
        <w:rPr>
          <w:rFonts w:hint="eastAsia" w:hAnsi="宋体"/>
          <w:color w:val="000000"/>
          <w:szCs w:val="24"/>
        </w:rPr>
        <w:t>，其中砖混结构</w:t>
      </w:r>
      <w:r>
        <w:rPr>
          <w:rFonts w:hAnsi="宋体"/>
          <w:color w:val="000000"/>
          <w:szCs w:val="24"/>
        </w:rPr>
        <w:t>133.43</w:t>
      </w:r>
      <w:r>
        <w:rPr>
          <w:rFonts w:hint="eastAsia" w:hAnsi="宋体"/>
          <w:color w:val="000000"/>
          <w:szCs w:val="24"/>
        </w:rPr>
        <w:t>m</w:t>
      </w:r>
      <w:r>
        <w:rPr>
          <w:rFonts w:hint="eastAsia" w:hAnsi="宋体"/>
          <w:color w:val="000000"/>
          <w:szCs w:val="24"/>
          <w:vertAlign w:val="superscript"/>
        </w:rPr>
        <w:t>2</w:t>
      </w:r>
      <w:r>
        <w:rPr>
          <w:rFonts w:hint="eastAsia" w:hAnsi="宋体"/>
          <w:color w:val="000000"/>
          <w:szCs w:val="24"/>
        </w:rPr>
        <w:t>；砖木结构</w:t>
      </w:r>
      <w:r>
        <w:rPr>
          <w:rFonts w:hAnsi="宋体"/>
          <w:color w:val="000000"/>
          <w:szCs w:val="24"/>
        </w:rPr>
        <w:t>2.03</w:t>
      </w:r>
      <w:r>
        <w:rPr>
          <w:rFonts w:hint="eastAsia" w:hAnsi="宋体"/>
          <w:color w:val="000000"/>
          <w:szCs w:val="24"/>
        </w:rPr>
        <w:t>m</w:t>
      </w:r>
      <w:r>
        <w:rPr>
          <w:rFonts w:hint="eastAsia" w:hAnsi="宋体"/>
          <w:color w:val="000000"/>
          <w:szCs w:val="24"/>
          <w:vertAlign w:val="superscript"/>
        </w:rPr>
        <w:t>2</w:t>
      </w:r>
      <w:r>
        <w:rPr>
          <w:rFonts w:hint="eastAsia" w:hAnsi="宋体"/>
          <w:color w:val="000000"/>
          <w:szCs w:val="24"/>
        </w:rPr>
        <w:t>；土木结构1</w:t>
      </w:r>
      <w:r>
        <w:rPr>
          <w:rFonts w:hAnsi="宋体"/>
          <w:color w:val="000000"/>
          <w:szCs w:val="24"/>
        </w:rPr>
        <w:t>93.53</w:t>
      </w:r>
      <w:r>
        <w:rPr>
          <w:rFonts w:hint="eastAsia" w:hAnsi="宋体"/>
          <w:color w:val="000000"/>
          <w:szCs w:val="24"/>
        </w:rPr>
        <w:t>m</w:t>
      </w:r>
      <w:r>
        <w:rPr>
          <w:rFonts w:hAnsi="宋体"/>
          <w:color w:val="000000"/>
          <w:szCs w:val="24"/>
          <w:vertAlign w:val="superscript"/>
        </w:rPr>
        <w:t>2</w:t>
      </w:r>
      <w:r>
        <w:rPr>
          <w:rFonts w:hint="eastAsia" w:hAnsi="宋体"/>
          <w:color w:val="000000"/>
          <w:szCs w:val="24"/>
        </w:rPr>
        <w:t>；木结构</w:t>
      </w:r>
      <w:r>
        <w:rPr>
          <w:rFonts w:hAnsi="宋体"/>
          <w:color w:val="000000"/>
          <w:szCs w:val="24"/>
        </w:rPr>
        <w:t>10.2</w:t>
      </w:r>
      <w:r>
        <w:rPr>
          <w:rFonts w:hint="eastAsia" w:hAnsi="宋体"/>
          <w:color w:val="000000"/>
          <w:szCs w:val="24"/>
        </w:rPr>
        <w:t>m</w:t>
      </w:r>
      <w:r>
        <w:rPr>
          <w:rFonts w:hint="eastAsia" w:hAnsi="宋体"/>
          <w:color w:val="000000"/>
          <w:szCs w:val="24"/>
          <w:vertAlign w:val="superscript"/>
        </w:rPr>
        <w:t>2</w:t>
      </w:r>
      <w:r>
        <w:rPr>
          <w:rFonts w:hint="eastAsia" w:hAnsi="宋体"/>
          <w:color w:val="000000"/>
          <w:szCs w:val="24"/>
        </w:rPr>
        <w:t>；其他结构</w:t>
      </w:r>
      <w:r>
        <w:rPr>
          <w:rFonts w:hAnsi="宋体"/>
          <w:color w:val="000000"/>
          <w:szCs w:val="24"/>
        </w:rPr>
        <w:t>747</w:t>
      </w:r>
      <w:r>
        <w:rPr>
          <w:rFonts w:hint="eastAsia" w:hAnsi="宋体"/>
          <w:color w:val="000000"/>
          <w:szCs w:val="24"/>
        </w:rPr>
        <w:t>.44m</w:t>
      </w:r>
      <w:r>
        <w:rPr>
          <w:rFonts w:hint="eastAsia" w:hAnsi="宋体"/>
          <w:color w:val="000000"/>
          <w:szCs w:val="24"/>
          <w:vertAlign w:val="superscript"/>
        </w:rPr>
        <w:t>2</w:t>
      </w:r>
      <w:r>
        <w:rPr>
          <w:rFonts w:hint="eastAsia" w:hAnsi="宋体"/>
          <w:color w:val="000000"/>
          <w:szCs w:val="24"/>
        </w:rPr>
        <w:t>。均在水库淹没区。</w:t>
      </w:r>
    </w:p>
    <w:p>
      <w:pPr>
        <w:pStyle w:val="517"/>
        <w:rPr>
          <w:rFonts w:eastAsia="宋体"/>
          <w:color w:val="000000"/>
          <w:sz w:val="21"/>
          <w:vertAlign w:val="superscript"/>
        </w:rPr>
      </w:pPr>
      <w:r>
        <w:rPr>
          <w:rFonts w:hint="eastAsia"/>
          <w:color w:val="000000"/>
        </w:rPr>
        <w:t xml:space="preserve">               </w:t>
      </w:r>
      <w:r>
        <w:rPr>
          <w:color w:val="000000"/>
        </w:rPr>
        <w:t>表3.2.5-</w:t>
      </w:r>
      <w:r>
        <w:rPr>
          <w:rFonts w:hint="eastAsia"/>
          <w:color w:val="000000"/>
        </w:rPr>
        <w:t>3</w:t>
      </w:r>
      <w:r>
        <w:rPr>
          <w:color w:val="000000"/>
        </w:rPr>
        <w:t xml:space="preserve">  </w:t>
      </w:r>
      <w:r>
        <w:rPr>
          <w:rFonts w:hint="eastAsia"/>
          <w:color w:val="000000"/>
        </w:rPr>
        <w:t>陆河</w:t>
      </w:r>
      <w:r>
        <w:rPr>
          <w:color w:val="000000"/>
        </w:rPr>
        <w:t xml:space="preserve">抽水蓄能电站房屋指标汇总表 </w:t>
      </w:r>
      <w:r>
        <w:rPr>
          <w:rFonts w:hint="eastAsia"/>
          <w:color w:val="000000"/>
        </w:rPr>
        <w:t xml:space="preserve">      </w:t>
      </w:r>
      <w:r>
        <w:rPr>
          <w:rFonts w:hAnsi="宋体" w:eastAsia="宋体"/>
          <w:color w:val="000000"/>
          <w:sz w:val="21"/>
        </w:rPr>
        <w:t>单位：</w:t>
      </w:r>
      <w:r>
        <w:rPr>
          <w:rFonts w:eastAsia="宋体"/>
          <w:color w:val="000000"/>
          <w:sz w:val="21"/>
        </w:rPr>
        <w:t>m</w:t>
      </w:r>
      <w:r>
        <w:rPr>
          <w:rFonts w:eastAsia="宋体"/>
          <w:color w:val="000000"/>
          <w:sz w:val="21"/>
          <w:vertAlign w:val="superscript"/>
        </w:rPr>
        <w:t>2</w:t>
      </w:r>
    </w:p>
    <w:tbl>
      <w:tblPr>
        <w:tblStyle w:val="79"/>
        <w:tblW w:w="85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057"/>
        <w:gridCol w:w="798"/>
        <w:gridCol w:w="899"/>
        <w:gridCol w:w="798"/>
        <w:gridCol w:w="827"/>
        <w:gridCol w:w="801"/>
        <w:gridCol w:w="899"/>
        <w:gridCol w:w="800"/>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序号</w:t>
            </w:r>
          </w:p>
        </w:tc>
        <w:tc>
          <w:tcPr>
            <w:tcW w:w="1057"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项</w:t>
            </w:r>
            <w:r>
              <w:rPr>
                <w:rFonts w:cs="Times New Roman"/>
                <w:color w:val="000000"/>
                <w:kern w:val="0"/>
              </w:rPr>
              <w:t xml:space="preserve">    </w:t>
            </w:r>
            <w:r>
              <w:rPr>
                <w:rFonts w:hAnsi="宋体" w:cs="Times New Roman"/>
                <w:color w:val="000000"/>
                <w:kern w:val="0"/>
              </w:rPr>
              <w:t>目</w:t>
            </w:r>
          </w:p>
        </w:tc>
        <w:tc>
          <w:tcPr>
            <w:tcW w:w="798"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单位</w:t>
            </w:r>
          </w:p>
        </w:tc>
        <w:tc>
          <w:tcPr>
            <w:tcW w:w="899"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合计</w:t>
            </w:r>
          </w:p>
        </w:tc>
        <w:tc>
          <w:tcPr>
            <w:tcW w:w="2426" w:type="dxa"/>
            <w:gridSpan w:val="3"/>
            <w:vAlign w:val="center"/>
          </w:tcPr>
          <w:p>
            <w:pPr>
              <w:widowControl/>
              <w:adjustRightInd w:val="0"/>
              <w:snapToGrid w:val="0"/>
              <w:jc w:val="center"/>
              <w:rPr>
                <w:rFonts w:cs="Times New Roman"/>
                <w:color w:val="000000"/>
                <w:kern w:val="0"/>
              </w:rPr>
            </w:pPr>
            <w:r>
              <w:rPr>
                <w:rFonts w:hAnsi="宋体" w:cs="Times New Roman"/>
                <w:color w:val="000000"/>
                <w:kern w:val="0"/>
              </w:rPr>
              <w:t>枢纽工程建设区</w:t>
            </w:r>
          </w:p>
        </w:tc>
        <w:tc>
          <w:tcPr>
            <w:tcW w:w="2598" w:type="dxa"/>
            <w:gridSpan w:val="3"/>
            <w:vAlign w:val="center"/>
          </w:tcPr>
          <w:p>
            <w:pPr>
              <w:widowControl/>
              <w:adjustRightInd w:val="0"/>
              <w:snapToGrid w:val="0"/>
              <w:jc w:val="center"/>
              <w:rPr>
                <w:rFonts w:cs="Times New Roman"/>
                <w:color w:val="000000"/>
                <w:kern w:val="0"/>
              </w:rPr>
            </w:pPr>
            <w:r>
              <w:rPr>
                <w:rFonts w:hAnsi="宋体" w:cs="Times New Roman"/>
                <w:color w:val="000000"/>
                <w:kern w:val="0"/>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Merge w:val="continue"/>
            <w:vAlign w:val="center"/>
          </w:tcPr>
          <w:p>
            <w:pPr>
              <w:widowControl/>
              <w:adjustRightInd w:val="0"/>
              <w:snapToGrid w:val="0"/>
              <w:jc w:val="left"/>
              <w:rPr>
                <w:rFonts w:cs="Times New Roman"/>
                <w:color w:val="000000"/>
                <w:kern w:val="0"/>
              </w:rPr>
            </w:pPr>
          </w:p>
        </w:tc>
        <w:tc>
          <w:tcPr>
            <w:tcW w:w="1057" w:type="dxa"/>
            <w:vMerge w:val="continue"/>
            <w:vAlign w:val="center"/>
          </w:tcPr>
          <w:p>
            <w:pPr>
              <w:widowControl/>
              <w:adjustRightInd w:val="0"/>
              <w:snapToGrid w:val="0"/>
              <w:jc w:val="left"/>
              <w:rPr>
                <w:rFonts w:cs="Times New Roman"/>
                <w:color w:val="000000"/>
                <w:kern w:val="0"/>
              </w:rPr>
            </w:pPr>
          </w:p>
        </w:tc>
        <w:tc>
          <w:tcPr>
            <w:tcW w:w="798" w:type="dxa"/>
            <w:vMerge w:val="continue"/>
            <w:vAlign w:val="center"/>
          </w:tcPr>
          <w:p>
            <w:pPr>
              <w:widowControl/>
              <w:adjustRightInd w:val="0"/>
              <w:snapToGrid w:val="0"/>
              <w:jc w:val="left"/>
              <w:rPr>
                <w:rFonts w:cs="Times New Roman"/>
                <w:color w:val="000000"/>
                <w:kern w:val="0"/>
              </w:rPr>
            </w:pPr>
          </w:p>
        </w:tc>
        <w:tc>
          <w:tcPr>
            <w:tcW w:w="899" w:type="dxa"/>
            <w:vMerge w:val="continue"/>
            <w:vAlign w:val="center"/>
          </w:tcPr>
          <w:p>
            <w:pPr>
              <w:widowControl/>
              <w:adjustRightInd w:val="0"/>
              <w:snapToGrid w:val="0"/>
              <w:jc w:val="left"/>
              <w:rPr>
                <w:rFonts w:cs="Times New Roman"/>
                <w:color w:val="000000"/>
                <w:kern w:val="0"/>
              </w:rPr>
            </w:pPr>
          </w:p>
        </w:tc>
        <w:tc>
          <w:tcPr>
            <w:tcW w:w="798"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小计</w:t>
            </w:r>
          </w:p>
        </w:tc>
        <w:tc>
          <w:tcPr>
            <w:tcW w:w="827"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永久占地</w:t>
            </w:r>
          </w:p>
        </w:tc>
        <w:tc>
          <w:tcPr>
            <w:tcW w:w="801"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临时用地</w:t>
            </w:r>
          </w:p>
        </w:tc>
        <w:tc>
          <w:tcPr>
            <w:tcW w:w="899"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小计</w:t>
            </w:r>
          </w:p>
        </w:tc>
        <w:tc>
          <w:tcPr>
            <w:tcW w:w="800"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上水库淹没区</w:t>
            </w:r>
          </w:p>
        </w:tc>
        <w:tc>
          <w:tcPr>
            <w:tcW w:w="899"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下水库淹没区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Merge w:val="continue"/>
            <w:vAlign w:val="center"/>
          </w:tcPr>
          <w:p>
            <w:pPr>
              <w:widowControl/>
              <w:adjustRightInd w:val="0"/>
              <w:snapToGrid w:val="0"/>
              <w:jc w:val="left"/>
              <w:rPr>
                <w:rFonts w:cs="Times New Roman"/>
                <w:color w:val="000000"/>
                <w:kern w:val="0"/>
              </w:rPr>
            </w:pPr>
          </w:p>
        </w:tc>
        <w:tc>
          <w:tcPr>
            <w:tcW w:w="1057" w:type="dxa"/>
            <w:vMerge w:val="continue"/>
            <w:vAlign w:val="center"/>
          </w:tcPr>
          <w:p>
            <w:pPr>
              <w:widowControl/>
              <w:adjustRightInd w:val="0"/>
              <w:snapToGrid w:val="0"/>
              <w:jc w:val="left"/>
              <w:rPr>
                <w:rFonts w:cs="Times New Roman"/>
                <w:color w:val="000000"/>
                <w:kern w:val="0"/>
              </w:rPr>
            </w:pPr>
          </w:p>
        </w:tc>
        <w:tc>
          <w:tcPr>
            <w:tcW w:w="798" w:type="dxa"/>
            <w:vMerge w:val="continue"/>
            <w:vAlign w:val="center"/>
          </w:tcPr>
          <w:p>
            <w:pPr>
              <w:widowControl/>
              <w:adjustRightInd w:val="0"/>
              <w:snapToGrid w:val="0"/>
              <w:jc w:val="left"/>
              <w:rPr>
                <w:rFonts w:cs="Times New Roman"/>
                <w:color w:val="000000"/>
                <w:kern w:val="0"/>
              </w:rPr>
            </w:pPr>
          </w:p>
        </w:tc>
        <w:tc>
          <w:tcPr>
            <w:tcW w:w="899" w:type="dxa"/>
            <w:vMerge w:val="continue"/>
            <w:vAlign w:val="center"/>
          </w:tcPr>
          <w:p>
            <w:pPr>
              <w:widowControl/>
              <w:adjustRightInd w:val="0"/>
              <w:snapToGrid w:val="0"/>
              <w:jc w:val="left"/>
              <w:rPr>
                <w:rFonts w:cs="Times New Roman"/>
                <w:color w:val="000000"/>
                <w:kern w:val="0"/>
              </w:rPr>
            </w:pPr>
          </w:p>
        </w:tc>
        <w:tc>
          <w:tcPr>
            <w:tcW w:w="798" w:type="dxa"/>
            <w:vMerge w:val="continue"/>
            <w:vAlign w:val="center"/>
          </w:tcPr>
          <w:p>
            <w:pPr>
              <w:widowControl/>
              <w:adjustRightInd w:val="0"/>
              <w:snapToGrid w:val="0"/>
              <w:jc w:val="left"/>
              <w:rPr>
                <w:rFonts w:cs="Times New Roman"/>
                <w:color w:val="000000"/>
                <w:kern w:val="0"/>
              </w:rPr>
            </w:pPr>
          </w:p>
        </w:tc>
        <w:tc>
          <w:tcPr>
            <w:tcW w:w="827" w:type="dxa"/>
            <w:vMerge w:val="continue"/>
            <w:vAlign w:val="center"/>
          </w:tcPr>
          <w:p>
            <w:pPr>
              <w:widowControl/>
              <w:adjustRightInd w:val="0"/>
              <w:snapToGrid w:val="0"/>
              <w:jc w:val="left"/>
              <w:rPr>
                <w:rFonts w:cs="Times New Roman"/>
                <w:color w:val="000000"/>
                <w:kern w:val="0"/>
              </w:rPr>
            </w:pPr>
          </w:p>
        </w:tc>
        <w:tc>
          <w:tcPr>
            <w:tcW w:w="801" w:type="dxa"/>
            <w:vMerge w:val="continue"/>
            <w:vAlign w:val="center"/>
          </w:tcPr>
          <w:p>
            <w:pPr>
              <w:widowControl/>
              <w:adjustRightInd w:val="0"/>
              <w:snapToGrid w:val="0"/>
              <w:jc w:val="left"/>
              <w:rPr>
                <w:rFonts w:cs="Times New Roman"/>
                <w:color w:val="000000"/>
                <w:kern w:val="0"/>
              </w:rPr>
            </w:pPr>
          </w:p>
        </w:tc>
        <w:tc>
          <w:tcPr>
            <w:tcW w:w="899" w:type="dxa"/>
            <w:vMerge w:val="continue"/>
            <w:vAlign w:val="center"/>
          </w:tcPr>
          <w:p>
            <w:pPr>
              <w:widowControl/>
              <w:adjustRightInd w:val="0"/>
              <w:snapToGrid w:val="0"/>
              <w:jc w:val="left"/>
              <w:rPr>
                <w:rFonts w:cs="Times New Roman"/>
                <w:color w:val="000000"/>
                <w:kern w:val="0"/>
              </w:rPr>
            </w:pPr>
          </w:p>
        </w:tc>
        <w:tc>
          <w:tcPr>
            <w:tcW w:w="800" w:type="dxa"/>
            <w:vMerge w:val="continue"/>
            <w:vAlign w:val="center"/>
          </w:tcPr>
          <w:p>
            <w:pPr>
              <w:widowControl/>
              <w:adjustRightInd w:val="0"/>
              <w:snapToGrid w:val="0"/>
              <w:jc w:val="left"/>
              <w:rPr>
                <w:rFonts w:cs="Times New Roman"/>
                <w:color w:val="000000"/>
                <w:kern w:val="0"/>
              </w:rPr>
            </w:pPr>
          </w:p>
        </w:tc>
        <w:tc>
          <w:tcPr>
            <w:tcW w:w="899" w:type="dxa"/>
            <w:vMerge w:val="continue"/>
            <w:vAlign w:val="center"/>
          </w:tcPr>
          <w:p>
            <w:pPr>
              <w:widowControl/>
              <w:adjustRightInd w:val="0"/>
              <w:snapToGrid w:val="0"/>
              <w:jc w:val="left"/>
              <w:rPr>
                <w:rFonts w:cs="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1057" w:type="dxa"/>
            <w:vAlign w:val="center"/>
          </w:tcPr>
          <w:p>
            <w:pPr>
              <w:widowControl/>
              <w:adjustRightInd w:val="0"/>
              <w:snapToGrid w:val="0"/>
              <w:jc w:val="center"/>
              <w:rPr>
                <w:rFonts w:cs="Times New Roman"/>
                <w:color w:val="000000"/>
                <w:kern w:val="0"/>
              </w:rPr>
            </w:pPr>
            <w:r>
              <w:rPr>
                <w:rFonts w:hAnsi="宋体" w:cs="Times New Roman"/>
                <w:color w:val="000000"/>
                <w:kern w:val="0"/>
              </w:rPr>
              <w:t>房屋</w:t>
            </w:r>
          </w:p>
        </w:tc>
        <w:tc>
          <w:tcPr>
            <w:tcW w:w="798" w:type="dxa"/>
            <w:vAlign w:val="center"/>
          </w:tcPr>
          <w:p>
            <w:pPr>
              <w:widowControl/>
              <w:adjustRightInd w:val="0"/>
              <w:snapToGrid w:val="0"/>
              <w:jc w:val="center"/>
              <w:rPr>
                <w:rFonts w:cs="Times New Roman"/>
                <w:color w:val="000000"/>
                <w:kern w:val="0"/>
              </w:rPr>
            </w:pPr>
            <w:r>
              <w:rPr>
                <w:rFonts w:cs="Times New Roman"/>
                <w:color w:val="000000"/>
                <w:kern w:val="0"/>
              </w:rPr>
              <w:t>m</w:t>
            </w:r>
            <w:r>
              <w:rPr>
                <w:rFonts w:cs="Times New Roman"/>
                <w:color w:val="000000"/>
                <w:kern w:val="0"/>
                <w:vertAlign w:val="superscript"/>
              </w:rPr>
              <w:t>2</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1086.63</w:t>
            </w:r>
          </w:p>
        </w:tc>
        <w:tc>
          <w:tcPr>
            <w:tcW w:w="798"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27"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1"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1086.63</w:t>
            </w:r>
          </w:p>
        </w:tc>
        <w:tc>
          <w:tcPr>
            <w:tcW w:w="800"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1086.63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Align w:val="center"/>
          </w:tcPr>
          <w:p>
            <w:pPr>
              <w:widowControl/>
              <w:adjustRightInd w:val="0"/>
              <w:snapToGrid w:val="0"/>
              <w:jc w:val="center"/>
              <w:rPr>
                <w:rFonts w:cs="Times New Roman"/>
                <w:color w:val="000000"/>
                <w:kern w:val="0"/>
              </w:rPr>
            </w:pPr>
            <w:r>
              <w:rPr>
                <w:rFonts w:cs="Times New Roman"/>
                <w:color w:val="000000"/>
                <w:kern w:val="0"/>
              </w:rPr>
              <w:t>1</w:t>
            </w:r>
          </w:p>
        </w:tc>
        <w:tc>
          <w:tcPr>
            <w:tcW w:w="1057" w:type="dxa"/>
            <w:noWrap/>
            <w:vAlign w:val="center"/>
          </w:tcPr>
          <w:p>
            <w:pPr>
              <w:widowControl/>
              <w:adjustRightInd w:val="0"/>
              <w:snapToGrid w:val="0"/>
              <w:jc w:val="center"/>
              <w:rPr>
                <w:rFonts w:cs="Times New Roman"/>
                <w:color w:val="000000"/>
                <w:kern w:val="0"/>
              </w:rPr>
            </w:pPr>
            <w:r>
              <w:rPr>
                <w:rFonts w:hAnsi="宋体" w:cs="Times New Roman"/>
                <w:color w:val="000000"/>
                <w:kern w:val="0"/>
              </w:rPr>
              <w:t>框架结构</w:t>
            </w:r>
          </w:p>
        </w:tc>
        <w:tc>
          <w:tcPr>
            <w:tcW w:w="798" w:type="dxa"/>
            <w:vAlign w:val="center"/>
          </w:tcPr>
          <w:p>
            <w:pPr>
              <w:widowControl/>
              <w:adjustRightInd w:val="0"/>
              <w:snapToGrid w:val="0"/>
              <w:jc w:val="center"/>
              <w:rPr>
                <w:rFonts w:cs="Times New Roman"/>
                <w:color w:val="000000"/>
                <w:kern w:val="0"/>
              </w:rPr>
            </w:pPr>
            <w:r>
              <w:rPr>
                <w:rFonts w:cs="Times New Roman"/>
                <w:color w:val="000000"/>
                <w:kern w:val="0"/>
              </w:rPr>
              <w:t>m</w:t>
            </w:r>
            <w:r>
              <w:rPr>
                <w:rFonts w:cs="Times New Roman"/>
                <w:color w:val="000000"/>
                <w:kern w:val="0"/>
                <w:vertAlign w:val="superscript"/>
              </w:rPr>
              <w:t>2</w:t>
            </w:r>
          </w:p>
        </w:tc>
        <w:tc>
          <w:tcPr>
            <w:tcW w:w="899"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798"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27"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1"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0"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Align w:val="center"/>
          </w:tcPr>
          <w:p>
            <w:pPr>
              <w:widowControl/>
              <w:adjustRightInd w:val="0"/>
              <w:snapToGrid w:val="0"/>
              <w:jc w:val="center"/>
              <w:rPr>
                <w:rFonts w:cs="Times New Roman"/>
                <w:color w:val="000000"/>
                <w:kern w:val="0"/>
              </w:rPr>
            </w:pPr>
            <w:r>
              <w:rPr>
                <w:rFonts w:cs="Times New Roman"/>
                <w:color w:val="000000"/>
                <w:kern w:val="0"/>
              </w:rPr>
              <w:t>2</w:t>
            </w:r>
          </w:p>
        </w:tc>
        <w:tc>
          <w:tcPr>
            <w:tcW w:w="1057" w:type="dxa"/>
            <w:noWrap/>
            <w:vAlign w:val="center"/>
          </w:tcPr>
          <w:p>
            <w:pPr>
              <w:widowControl/>
              <w:adjustRightInd w:val="0"/>
              <w:snapToGrid w:val="0"/>
              <w:jc w:val="center"/>
              <w:rPr>
                <w:rFonts w:cs="Times New Roman"/>
                <w:color w:val="000000"/>
                <w:kern w:val="0"/>
              </w:rPr>
            </w:pPr>
            <w:r>
              <w:rPr>
                <w:rFonts w:hAnsi="宋体" w:cs="Times New Roman"/>
                <w:color w:val="000000"/>
                <w:kern w:val="0"/>
              </w:rPr>
              <w:t>砖混结构</w:t>
            </w:r>
          </w:p>
        </w:tc>
        <w:tc>
          <w:tcPr>
            <w:tcW w:w="798" w:type="dxa"/>
            <w:vAlign w:val="center"/>
          </w:tcPr>
          <w:p>
            <w:pPr>
              <w:widowControl/>
              <w:adjustRightInd w:val="0"/>
              <w:snapToGrid w:val="0"/>
              <w:jc w:val="center"/>
              <w:rPr>
                <w:rFonts w:cs="Times New Roman"/>
                <w:color w:val="000000"/>
                <w:kern w:val="0"/>
              </w:rPr>
            </w:pPr>
            <w:r>
              <w:rPr>
                <w:rFonts w:cs="Times New Roman"/>
                <w:color w:val="000000"/>
                <w:kern w:val="0"/>
              </w:rPr>
              <w:t>m</w:t>
            </w:r>
            <w:r>
              <w:rPr>
                <w:rFonts w:cs="Times New Roman"/>
                <w:color w:val="000000"/>
                <w:kern w:val="0"/>
                <w:vertAlign w:val="superscript"/>
              </w:rPr>
              <w:t>2</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133.43</w:t>
            </w:r>
          </w:p>
        </w:tc>
        <w:tc>
          <w:tcPr>
            <w:tcW w:w="798"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27"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1"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133.43</w:t>
            </w:r>
          </w:p>
        </w:tc>
        <w:tc>
          <w:tcPr>
            <w:tcW w:w="800"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133.43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Align w:val="center"/>
          </w:tcPr>
          <w:p>
            <w:pPr>
              <w:widowControl/>
              <w:adjustRightInd w:val="0"/>
              <w:snapToGrid w:val="0"/>
              <w:jc w:val="center"/>
              <w:rPr>
                <w:rFonts w:cs="Times New Roman"/>
                <w:color w:val="000000"/>
                <w:kern w:val="0"/>
              </w:rPr>
            </w:pPr>
            <w:r>
              <w:rPr>
                <w:rFonts w:cs="Times New Roman"/>
                <w:color w:val="000000"/>
                <w:kern w:val="0"/>
              </w:rPr>
              <w:t>3</w:t>
            </w:r>
          </w:p>
        </w:tc>
        <w:tc>
          <w:tcPr>
            <w:tcW w:w="1057" w:type="dxa"/>
            <w:noWrap/>
            <w:vAlign w:val="center"/>
          </w:tcPr>
          <w:p>
            <w:pPr>
              <w:widowControl/>
              <w:adjustRightInd w:val="0"/>
              <w:snapToGrid w:val="0"/>
              <w:jc w:val="center"/>
              <w:rPr>
                <w:rFonts w:cs="Times New Roman"/>
                <w:color w:val="000000"/>
                <w:kern w:val="0"/>
              </w:rPr>
            </w:pPr>
            <w:r>
              <w:rPr>
                <w:rFonts w:hAnsi="宋体" w:cs="Times New Roman"/>
                <w:color w:val="000000"/>
                <w:kern w:val="0"/>
              </w:rPr>
              <w:t>砖木结构</w:t>
            </w:r>
          </w:p>
        </w:tc>
        <w:tc>
          <w:tcPr>
            <w:tcW w:w="798" w:type="dxa"/>
            <w:vAlign w:val="center"/>
          </w:tcPr>
          <w:p>
            <w:pPr>
              <w:widowControl/>
              <w:adjustRightInd w:val="0"/>
              <w:snapToGrid w:val="0"/>
              <w:jc w:val="center"/>
              <w:rPr>
                <w:rFonts w:cs="Times New Roman"/>
                <w:color w:val="000000"/>
                <w:kern w:val="0"/>
              </w:rPr>
            </w:pPr>
            <w:r>
              <w:rPr>
                <w:rFonts w:cs="Times New Roman"/>
                <w:color w:val="000000"/>
                <w:kern w:val="0"/>
              </w:rPr>
              <w:t>m</w:t>
            </w:r>
            <w:r>
              <w:rPr>
                <w:rFonts w:cs="Times New Roman"/>
                <w:color w:val="000000"/>
                <w:kern w:val="0"/>
                <w:vertAlign w:val="superscript"/>
              </w:rPr>
              <w:t>2</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2.03</w:t>
            </w:r>
          </w:p>
        </w:tc>
        <w:tc>
          <w:tcPr>
            <w:tcW w:w="798"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27"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1"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2.03</w:t>
            </w:r>
          </w:p>
        </w:tc>
        <w:tc>
          <w:tcPr>
            <w:tcW w:w="800"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Align w:val="center"/>
          </w:tcPr>
          <w:p>
            <w:pPr>
              <w:widowControl/>
              <w:adjustRightInd w:val="0"/>
              <w:snapToGrid w:val="0"/>
              <w:jc w:val="center"/>
              <w:rPr>
                <w:rFonts w:cs="Times New Roman"/>
                <w:color w:val="000000"/>
                <w:kern w:val="0"/>
              </w:rPr>
            </w:pPr>
            <w:r>
              <w:rPr>
                <w:rFonts w:cs="Times New Roman"/>
                <w:color w:val="000000"/>
                <w:kern w:val="0"/>
              </w:rPr>
              <w:t>4</w:t>
            </w:r>
          </w:p>
        </w:tc>
        <w:tc>
          <w:tcPr>
            <w:tcW w:w="1057" w:type="dxa"/>
            <w:noWrap/>
            <w:vAlign w:val="center"/>
          </w:tcPr>
          <w:p>
            <w:pPr>
              <w:widowControl/>
              <w:adjustRightInd w:val="0"/>
              <w:snapToGrid w:val="0"/>
              <w:jc w:val="center"/>
              <w:rPr>
                <w:rFonts w:cs="Times New Roman"/>
                <w:color w:val="000000"/>
                <w:kern w:val="0"/>
              </w:rPr>
            </w:pPr>
            <w:r>
              <w:rPr>
                <w:rFonts w:hAnsi="宋体" w:cs="Times New Roman"/>
                <w:color w:val="000000"/>
                <w:kern w:val="0"/>
              </w:rPr>
              <w:t>土木结构</w:t>
            </w:r>
          </w:p>
        </w:tc>
        <w:tc>
          <w:tcPr>
            <w:tcW w:w="798" w:type="dxa"/>
            <w:vAlign w:val="center"/>
          </w:tcPr>
          <w:p>
            <w:pPr>
              <w:widowControl/>
              <w:adjustRightInd w:val="0"/>
              <w:snapToGrid w:val="0"/>
              <w:jc w:val="center"/>
              <w:rPr>
                <w:rFonts w:cs="Times New Roman"/>
                <w:color w:val="000000"/>
                <w:kern w:val="0"/>
              </w:rPr>
            </w:pPr>
            <w:r>
              <w:rPr>
                <w:rFonts w:cs="Times New Roman"/>
                <w:color w:val="000000"/>
                <w:kern w:val="0"/>
              </w:rPr>
              <w:t>m</w:t>
            </w:r>
            <w:r>
              <w:rPr>
                <w:rFonts w:cs="Times New Roman"/>
                <w:color w:val="000000"/>
                <w:kern w:val="0"/>
                <w:vertAlign w:val="superscript"/>
              </w:rPr>
              <w:t>2</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193.53</w:t>
            </w:r>
          </w:p>
        </w:tc>
        <w:tc>
          <w:tcPr>
            <w:tcW w:w="798"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27"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1"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193.53</w:t>
            </w:r>
          </w:p>
        </w:tc>
        <w:tc>
          <w:tcPr>
            <w:tcW w:w="800"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193.53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Align w:val="center"/>
          </w:tcPr>
          <w:p>
            <w:pPr>
              <w:widowControl/>
              <w:adjustRightInd w:val="0"/>
              <w:snapToGrid w:val="0"/>
              <w:jc w:val="center"/>
              <w:rPr>
                <w:rFonts w:cs="Times New Roman"/>
                <w:color w:val="000000"/>
                <w:kern w:val="0"/>
              </w:rPr>
            </w:pPr>
            <w:r>
              <w:rPr>
                <w:rFonts w:cs="Times New Roman"/>
                <w:color w:val="000000"/>
                <w:kern w:val="0"/>
              </w:rPr>
              <w:t>5</w:t>
            </w:r>
          </w:p>
        </w:tc>
        <w:tc>
          <w:tcPr>
            <w:tcW w:w="1057" w:type="dxa"/>
            <w:noWrap/>
            <w:vAlign w:val="center"/>
          </w:tcPr>
          <w:p>
            <w:pPr>
              <w:widowControl/>
              <w:adjustRightInd w:val="0"/>
              <w:snapToGrid w:val="0"/>
              <w:jc w:val="center"/>
              <w:rPr>
                <w:rFonts w:cs="Times New Roman"/>
                <w:color w:val="000000"/>
                <w:kern w:val="0"/>
              </w:rPr>
            </w:pPr>
            <w:r>
              <w:rPr>
                <w:rFonts w:hAnsi="宋体" w:cs="Times New Roman"/>
                <w:color w:val="000000"/>
                <w:kern w:val="0"/>
              </w:rPr>
              <w:t>木结构</w:t>
            </w:r>
          </w:p>
        </w:tc>
        <w:tc>
          <w:tcPr>
            <w:tcW w:w="798" w:type="dxa"/>
            <w:vAlign w:val="center"/>
          </w:tcPr>
          <w:p>
            <w:pPr>
              <w:widowControl/>
              <w:adjustRightInd w:val="0"/>
              <w:snapToGrid w:val="0"/>
              <w:jc w:val="center"/>
              <w:rPr>
                <w:rFonts w:cs="Times New Roman"/>
                <w:color w:val="000000"/>
                <w:kern w:val="0"/>
              </w:rPr>
            </w:pPr>
            <w:r>
              <w:rPr>
                <w:rFonts w:cs="Times New Roman"/>
                <w:color w:val="000000"/>
                <w:kern w:val="0"/>
              </w:rPr>
              <w:t>m</w:t>
            </w:r>
            <w:r>
              <w:rPr>
                <w:rFonts w:cs="Times New Roman"/>
                <w:color w:val="000000"/>
                <w:kern w:val="0"/>
                <w:vertAlign w:val="superscript"/>
              </w:rPr>
              <w:t>2</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10.2</w:t>
            </w:r>
          </w:p>
        </w:tc>
        <w:tc>
          <w:tcPr>
            <w:tcW w:w="798"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27"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1"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10.2</w:t>
            </w:r>
          </w:p>
        </w:tc>
        <w:tc>
          <w:tcPr>
            <w:tcW w:w="800"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Align w:val="center"/>
          </w:tcPr>
          <w:p>
            <w:pPr>
              <w:widowControl/>
              <w:adjustRightInd w:val="0"/>
              <w:snapToGrid w:val="0"/>
              <w:jc w:val="center"/>
              <w:rPr>
                <w:rFonts w:cs="Times New Roman"/>
                <w:color w:val="000000"/>
                <w:kern w:val="0"/>
              </w:rPr>
            </w:pPr>
            <w:r>
              <w:rPr>
                <w:rFonts w:cs="Times New Roman"/>
                <w:color w:val="000000"/>
                <w:kern w:val="0"/>
              </w:rPr>
              <w:t>6</w:t>
            </w:r>
          </w:p>
        </w:tc>
        <w:tc>
          <w:tcPr>
            <w:tcW w:w="1057" w:type="dxa"/>
            <w:noWrap/>
            <w:vAlign w:val="center"/>
          </w:tcPr>
          <w:p>
            <w:pPr>
              <w:widowControl/>
              <w:adjustRightInd w:val="0"/>
              <w:snapToGrid w:val="0"/>
              <w:jc w:val="center"/>
              <w:rPr>
                <w:rFonts w:cs="Times New Roman"/>
                <w:color w:val="000000"/>
                <w:kern w:val="0"/>
              </w:rPr>
            </w:pPr>
            <w:r>
              <w:rPr>
                <w:rFonts w:hAnsi="宋体" w:cs="Times New Roman"/>
                <w:color w:val="000000"/>
                <w:kern w:val="0"/>
              </w:rPr>
              <w:t>简易结构</w:t>
            </w:r>
          </w:p>
        </w:tc>
        <w:tc>
          <w:tcPr>
            <w:tcW w:w="798" w:type="dxa"/>
            <w:vAlign w:val="center"/>
          </w:tcPr>
          <w:p>
            <w:pPr>
              <w:widowControl/>
              <w:adjustRightInd w:val="0"/>
              <w:snapToGrid w:val="0"/>
              <w:jc w:val="center"/>
              <w:rPr>
                <w:rFonts w:cs="Times New Roman"/>
                <w:color w:val="000000"/>
                <w:kern w:val="0"/>
              </w:rPr>
            </w:pPr>
            <w:r>
              <w:rPr>
                <w:rFonts w:cs="Times New Roman"/>
                <w:color w:val="000000"/>
                <w:kern w:val="0"/>
              </w:rPr>
              <w:t>m</w:t>
            </w:r>
            <w:r>
              <w:rPr>
                <w:rFonts w:cs="Times New Roman"/>
                <w:color w:val="000000"/>
                <w:kern w:val="0"/>
                <w:vertAlign w:val="superscript"/>
              </w:rPr>
              <w:t>2</w:t>
            </w:r>
          </w:p>
        </w:tc>
        <w:tc>
          <w:tcPr>
            <w:tcW w:w="899"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798"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27"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1"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0"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9" w:type="dxa"/>
            <w:vAlign w:val="center"/>
          </w:tcPr>
          <w:p>
            <w:pPr>
              <w:widowControl/>
              <w:adjustRightInd w:val="0"/>
              <w:snapToGrid w:val="0"/>
              <w:jc w:val="center"/>
              <w:rPr>
                <w:rFonts w:cs="Times New Roman"/>
                <w:color w:val="000000"/>
                <w:kern w:val="0"/>
              </w:rPr>
            </w:pPr>
            <w:r>
              <w:rPr>
                <w:rFonts w:cs="Times New Roman"/>
                <w:color w:val="000000"/>
                <w:kern w:val="0"/>
              </w:rPr>
              <w:t>7</w:t>
            </w:r>
          </w:p>
        </w:tc>
        <w:tc>
          <w:tcPr>
            <w:tcW w:w="1057" w:type="dxa"/>
            <w:noWrap/>
            <w:vAlign w:val="center"/>
          </w:tcPr>
          <w:p>
            <w:pPr>
              <w:widowControl/>
              <w:adjustRightInd w:val="0"/>
              <w:snapToGrid w:val="0"/>
              <w:jc w:val="center"/>
              <w:rPr>
                <w:rFonts w:cs="Times New Roman"/>
                <w:color w:val="000000"/>
                <w:kern w:val="0"/>
              </w:rPr>
            </w:pPr>
            <w:r>
              <w:rPr>
                <w:rFonts w:hAnsi="宋体" w:cs="Times New Roman"/>
                <w:color w:val="000000"/>
                <w:kern w:val="0"/>
              </w:rPr>
              <w:t>其他结构</w:t>
            </w:r>
          </w:p>
        </w:tc>
        <w:tc>
          <w:tcPr>
            <w:tcW w:w="798" w:type="dxa"/>
            <w:vAlign w:val="center"/>
          </w:tcPr>
          <w:p>
            <w:pPr>
              <w:widowControl/>
              <w:adjustRightInd w:val="0"/>
              <w:snapToGrid w:val="0"/>
              <w:jc w:val="center"/>
              <w:rPr>
                <w:rFonts w:cs="Times New Roman"/>
                <w:color w:val="000000"/>
                <w:kern w:val="0"/>
              </w:rPr>
            </w:pPr>
            <w:r>
              <w:rPr>
                <w:rFonts w:cs="Times New Roman"/>
                <w:color w:val="000000"/>
                <w:kern w:val="0"/>
              </w:rPr>
              <w:t>m</w:t>
            </w:r>
            <w:r>
              <w:rPr>
                <w:rFonts w:cs="Times New Roman"/>
                <w:color w:val="000000"/>
                <w:kern w:val="0"/>
                <w:vertAlign w:val="superscript"/>
              </w:rPr>
              <w:t>2</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747.44</w:t>
            </w:r>
          </w:p>
        </w:tc>
        <w:tc>
          <w:tcPr>
            <w:tcW w:w="798"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27"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01"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747.44</w:t>
            </w:r>
          </w:p>
        </w:tc>
        <w:tc>
          <w:tcPr>
            <w:tcW w:w="800" w:type="dxa"/>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899" w:type="dxa"/>
            <w:vAlign w:val="center"/>
          </w:tcPr>
          <w:p>
            <w:pPr>
              <w:widowControl/>
              <w:adjustRightInd w:val="0"/>
              <w:snapToGrid w:val="0"/>
              <w:jc w:val="center"/>
              <w:rPr>
                <w:rFonts w:cs="Times New Roman"/>
                <w:color w:val="000000"/>
                <w:kern w:val="0"/>
              </w:rPr>
            </w:pPr>
            <w:r>
              <w:rPr>
                <w:rFonts w:cs="Times New Roman"/>
                <w:color w:val="000000"/>
                <w:kern w:val="0"/>
              </w:rPr>
              <w:t>747.44</w:t>
            </w:r>
          </w:p>
        </w:tc>
      </w:tr>
    </w:tbl>
    <w:p>
      <w:pPr>
        <w:pStyle w:val="5"/>
        <w:rPr>
          <w:color w:val="000000"/>
        </w:rPr>
      </w:pPr>
      <w:r>
        <w:rPr>
          <w:color w:val="000000"/>
        </w:rPr>
        <w:t>3.2.5.</w:t>
      </w:r>
      <w:r>
        <w:rPr>
          <w:rFonts w:hint="eastAsia"/>
          <w:color w:val="000000"/>
        </w:rPr>
        <w:t>3</w:t>
      </w:r>
      <w:r>
        <w:rPr>
          <w:color w:val="000000"/>
        </w:rPr>
        <w:t xml:space="preserve">  </w:t>
      </w:r>
      <w:r>
        <w:rPr>
          <w:rFonts w:hint="eastAsia"/>
          <w:color w:val="000000"/>
        </w:rPr>
        <w:t>农村小型专项</w:t>
      </w:r>
    </w:p>
    <w:p>
      <w:pPr>
        <w:overflowPunct w:val="0"/>
        <w:autoSpaceDE w:val="0"/>
        <w:autoSpaceDN w:val="0"/>
        <w:adjustRightInd w:val="0"/>
        <w:spacing w:line="480" w:lineRule="exact"/>
        <w:ind w:firstLine="480" w:firstLineChars="200"/>
        <w:rPr>
          <w:rFonts w:hAnsi="宋体"/>
          <w:color w:val="000000"/>
          <w:kern w:val="0"/>
        </w:rPr>
      </w:pPr>
      <w:r>
        <w:rPr>
          <w:sz w:val="24"/>
        </w:rPr>
        <w:t>陆河抽水蓄能电站建设征地淹没占用影响的</w:t>
      </w:r>
      <w:r>
        <w:rPr>
          <w:rFonts w:hint="eastAsia"/>
          <w:sz w:val="24"/>
        </w:rPr>
        <w:t>拦河坝</w:t>
      </w:r>
      <w:r>
        <w:rPr>
          <w:sz w:val="24"/>
        </w:rPr>
        <w:t>共368m长，灌溉渠道共15900m。</w:t>
      </w:r>
      <w:r>
        <w:rPr>
          <w:rFonts w:hint="eastAsia"/>
          <w:sz w:val="24"/>
        </w:rPr>
        <w:t>具体农村小型专项实物指标汇总表如下表3</w:t>
      </w:r>
      <w:r>
        <w:rPr>
          <w:sz w:val="24"/>
        </w:rPr>
        <w:t>.2.5-</w:t>
      </w:r>
      <w:r>
        <w:rPr>
          <w:rFonts w:hint="eastAsia"/>
          <w:sz w:val="24"/>
        </w:rPr>
        <w:t>4所示。</w:t>
      </w:r>
    </w:p>
    <w:p>
      <w:pPr>
        <w:pStyle w:val="517"/>
        <w:ind w:firstLine="480"/>
        <w:rPr>
          <w:color w:val="000000"/>
          <w:sz w:val="21"/>
          <w:vertAlign w:val="superscript"/>
        </w:rPr>
      </w:pPr>
      <w:r>
        <w:rPr>
          <w:color w:val="000000"/>
        </w:rPr>
        <w:t>表3.2.5-</w:t>
      </w:r>
      <w:r>
        <w:rPr>
          <w:rFonts w:hint="eastAsia"/>
          <w:color w:val="000000"/>
        </w:rPr>
        <w:t>4</w:t>
      </w:r>
      <w:r>
        <w:rPr>
          <w:color w:val="000000"/>
        </w:rPr>
        <w:t xml:space="preserve">  </w:t>
      </w:r>
      <w:r>
        <w:rPr>
          <w:rFonts w:hint="eastAsia"/>
          <w:color w:val="000000"/>
        </w:rPr>
        <w:t>陆河</w:t>
      </w:r>
      <w:r>
        <w:rPr>
          <w:color w:val="000000"/>
        </w:rPr>
        <w:t>抽水蓄能电站</w:t>
      </w:r>
      <w:r>
        <w:rPr>
          <w:rFonts w:hint="eastAsia"/>
          <w:color w:val="000000"/>
        </w:rPr>
        <w:t>农村小型专项</w:t>
      </w:r>
      <w:r>
        <w:rPr>
          <w:color w:val="000000"/>
        </w:rPr>
        <w:t xml:space="preserve">指标汇总表 </w:t>
      </w:r>
      <w:r>
        <w:rPr>
          <w:rFonts w:hint="eastAsia"/>
          <w:color w:val="000000"/>
        </w:rPr>
        <w:t xml:space="preserve">      </w:t>
      </w:r>
    </w:p>
    <w:tbl>
      <w:tblPr>
        <w:tblStyle w:val="79"/>
        <w:tblW w:w="86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2"/>
        <w:gridCol w:w="2636"/>
        <w:gridCol w:w="1567"/>
        <w:gridCol w:w="711"/>
        <w:gridCol w:w="856"/>
        <w:gridCol w:w="2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772" w:type="dxa"/>
            <w:vAlign w:val="center"/>
          </w:tcPr>
          <w:p>
            <w:pPr>
              <w:adjustRightInd w:val="0"/>
              <w:snapToGrid w:val="0"/>
              <w:jc w:val="center"/>
              <w:rPr>
                <w:rFonts w:cs="Times New Roman"/>
                <w:kern w:val="0"/>
              </w:rPr>
            </w:pPr>
            <w:r>
              <w:rPr>
                <w:rFonts w:hAnsi="宋体" w:cs="Times New Roman"/>
                <w:kern w:val="0"/>
              </w:rPr>
              <w:t>序号</w:t>
            </w:r>
          </w:p>
        </w:tc>
        <w:tc>
          <w:tcPr>
            <w:tcW w:w="2636" w:type="dxa"/>
            <w:vAlign w:val="center"/>
          </w:tcPr>
          <w:p>
            <w:pPr>
              <w:adjustRightInd w:val="0"/>
              <w:snapToGrid w:val="0"/>
              <w:jc w:val="center"/>
              <w:rPr>
                <w:rFonts w:cs="Times New Roman"/>
                <w:kern w:val="0"/>
              </w:rPr>
            </w:pPr>
            <w:r>
              <w:rPr>
                <w:rFonts w:hAnsi="宋体" w:cs="Times New Roman"/>
                <w:kern w:val="0"/>
              </w:rPr>
              <w:t>权属单位</w:t>
            </w:r>
          </w:p>
        </w:tc>
        <w:tc>
          <w:tcPr>
            <w:tcW w:w="1567" w:type="dxa"/>
            <w:vAlign w:val="center"/>
          </w:tcPr>
          <w:p>
            <w:pPr>
              <w:adjustRightInd w:val="0"/>
              <w:snapToGrid w:val="0"/>
              <w:jc w:val="center"/>
              <w:rPr>
                <w:rFonts w:cs="Times New Roman"/>
                <w:kern w:val="0"/>
              </w:rPr>
            </w:pPr>
            <w:r>
              <w:rPr>
                <w:rFonts w:hAnsi="宋体" w:cs="Times New Roman"/>
                <w:kern w:val="0"/>
              </w:rPr>
              <w:t>项</w:t>
            </w:r>
            <w:r>
              <w:rPr>
                <w:rFonts w:cs="Times New Roman"/>
                <w:kern w:val="0"/>
              </w:rPr>
              <w:t xml:space="preserve">  </w:t>
            </w:r>
            <w:r>
              <w:rPr>
                <w:rFonts w:hAnsi="宋体" w:cs="Times New Roman"/>
                <w:kern w:val="0"/>
              </w:rPr>
              <w:t>目</w:t>
            </w:r>
          </w:p>
        </w:tc>
        <w:tc>
          <w:tcPr>
            <w:tcW w:w="711" w:type="dxa"/>
            <w:vAlign w:val="center"/>
          </w:tcPr>
          <w:p>
            <w:pPr>
              <w:adjustRightInd w:val="0"/>
              <w:snapToGrid w:val="0"/>
              <w:jc w:val="center"/>
              <w:rPr>
                <w:rFonts w:cs="Times New Roman"/>
                <w:kern w:val="0"/>
              </w:rPr>
            </w:pPr>
            <w:r>
              <w:rPr>
                <w:rFonts w:hAnsi="宋体" w:cs="Times New Roman"/>
                <w:kern w:val="0"/>
              </w:rPr>
              <w:t>单位</w:t>
            </w:r>
          </w:p>
        </w:tc>
        <w:tc>
          <w:tcPr>
            <w:tcW w:w="856" w:type="dxa"/>
            <w:vAlign w:val="center"/>
          </w:tcPr>
          <w:p>
            <w:pPr>
              <w:adjustRightInd w:val="0"/>
              <w:snapToGrid w:val="0"/>
              <w:jc w:val="center"/>
              <w:rPr>
                <w:rFonts w:cs="Times New Roman"/>
                <w:kern w:val="0"/>
              </w:rPr>
            </w:pPr>
            <w:r>
              <w:rPr>
                <w:rFonts w:hAnsi="宋体" w:cs="Times New Roman"/>
                <w:kern w:val="0"/>
              </w:rPr>
              <w:t>合计</w:t>
            </w:r>
          </w:p>
        </w:tc>
        <w:tc>
          <w:tcPr>
            <w:tcW w:w="2088" w:type="dxa"/>
            <w:vAlign w:val="center"/>
          </w:tcPr>
          <w:p>
            <w:pPr>
              <w:adjustRightInd w:val="0"/>
              <w:snapToGrid w:val="0"/>
              <w:jc w:val="center"/>
              <w:rPr>
                <w:rFonts w:cs="Times New Roman"/>
                <w:kern w:val="0"/>
              </w:rPr>
            </w:pPr>
            <w:r>
              <w:rPr>
                <w:rFonts w:hAnsi="宋体" w:cs="Times New Roman"/>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r>
              <w:rPr>
                <w:rFonts w:cs="Times New Roman"/>
                <w:kern w:val="0"/>
              </w:rPr>
              <w:t>1</w:t>
            </w:r>
          </w:p>
        </w:tc>
        <w:tc>
          <w:tcPr>
            <w:tcW w:w="2636" w:type="dxa"/>
            <w:vAlign w:val="center"/>
          </w:tcPr>
          <w:p>
            <w:pPr>
              <w:adjustRightInd w:val="0"/>
              <w:snapToGrid w:val="0"/>
              <w:jc w:val="center"/>
              <w:rPr>
                <w:rFonts w:cs="Times New Roman"/>
                <w:kern w:val="0"/>
              </w:rPr>
            </w:pPr>
          </w:p>
        </w:tc>
        <w:tc>
          <w:tcPr>
            <w:tcW w:w="1567" w:type="dxa"/>
            <w:vAlign w:val="center"/>
          </w:tcPr>
          <w:p>
            <w:pPr>
              <w:adjustRightInd w:val="0"/>
              <w:snapToGrid w:val="0"/>
              <w:jc w:val="center"/>
              <w:rPr>
                <w:rFonts w:cs="Times New Roman"/>
                <w:kern w:val="0"/>
              </w:rPr>
            </w:pPr>
            <w:r>
              <w:rPr>
                <w:rFonts w:hAnsi="宋体" w:cs="Times New Roman"/>
                <w:kern w:val="0"/>
              </w:rPr>
              <w:t>灌溉渠道</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15900</w:t>
            </w:r>
          </w:p>
        </w:tc>
        <w:tc>
          <w:tcPr>
            <w:tcW w:w="2088" w:type="dxa"/>
            <w:vAlign w:val="center"/>
          </w:tcPr>
          <w:p>
            <w:pPr>
              <w:adjustRightInd w:val="0"/>
              <w:snapToGrid w:val="0"/>
              <w:jc w:val="center"/>
              <w:rPr>
                <w:rFonts w:cs="Times New Roman"/>
                <w:kern w:val="0"/>
              </w:rPr>
            </w:pPr>
            <w:r>
              <w:rPr>
                <w:rFonts w:hAnsi="宋体" w:cs="Times New Roman"/>
                <w:kern w:val="0"/>
              </w:rPr>
              <w:t>淹没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lang w:bidi="ar"/>
              </w:rPr>
            </w:pPr>
            <w:r>
              <w:rPr>
                <w:rFonts w:hAnsi="宋体" w:cs="Times New Roman"/>
                <w:kern w:val="0"/>
                <w:lang w:bidi="ar"/>
              </w:rPr>
              <w:t>博背自然村</w:t>
            </w:r>
          </w:p>
        </w:tc>
        <w:tc>
          <w:tcPr>
            <w:tcW w:w="1567" w:type="dxa"/>
            <w:vAlign w:val="center"/>
          </w:tcPr>
          <w:p>
            <w:pPr>
              <w:adjustRightInd w:val="0"/>
              <w:snapToGrid w:val="0"/>
              <w:jc w:val="center"/>
              <w:rPr>
                <w:rFonts w:cs="Times New Roman"/>
                <w:kern w:val="0"/>
              </w:rPr>
            </w:pPr>
            <w:r>
              <w:rPr>
                <w:rFonts w:hAnsi="宋体" w:cs="Times New Roman"/>
                <w:kern w:val="0"/>
              </w:rPr>
              <w:t>灌溉渠道</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2000</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1.4m×0.2m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lang w:bidi="ar"/>
              </w:rPr>
            </w:pPr>
            <w:r>
              <w:rPr>
                <w:rFonts w:hAnsi="宋体" w:cs="Times New Roman"/>
                <w:kern w:val="0"/>
                <w:lang w:bidi="ar"/>
              </w:rPr>
              <w:t>博背自然村</w:t>
            </w:r>
          </w:p>
        </w:tc>
        <w:tc>
          <w:tcPr>
            <w:tcW w:w="1567" w:type="dxa"/>
            <w:vAlign w:val="center"/>
          </w:tcPr>
          <w:p>
            <w:pPr>
              <w:adjustRightInd w:val="0"/>
              <w:snapToGrid w:val="0"/>
              <w:jc w:val="center"/>
              <w:rPr>
                <w:rFonts w:cs="Times New Roman"/>
                <w:kern w:val="0"/>
              </w:rPr>
            </w:pPr>
            <w:r>
              <w:rPr>
                <w:rFonts w:hAnsi="宋体" w:cs="Times New Roman"/>
                <w:kern w:val="0"/>
              </w:rPr>
              <w:t>灌溉渠道</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3500</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0.3m×0.2m</w:t>
            </w:r>
          </w:p>
        </w:tc>
      </w:tr>
    </w:tbl>
    <w:p>
      <w:pPr>
        <w:pStyle w:val="517"/>
        <w:rPr>
          <w:color w:val="000000"/>
          <w:sz w:val="21"/>
          <w:vertAlign w:val="superscript"/>
        </w:rPr>
      </w:pPr>
      <w:r>
        <w:br w:type="page"/>
      </w:r>
      <w:r>
        <w:rPr>
          <w:color w:val="000000"/>
        </w:rPr>
        <w:t>表3.2.5-</w:t>
      </w:r>
      <w:r>
        <w:rPr>
          <w:rFonts w:hint="eastAsia"/>
          <w:color w:val="000000"/>
        </w:rPr>
        <w:t>4(续)</w:t>
      </w:r>
      <w:r>
        <w:rPr>
          <w:color w:val="000000"/>
        </w:rPr>
        <w:t xml:space="preserve"> </w:t>
      </w:r>
      <w:r>
        <w:rPr>
          <w:rFonts w:hint="eastAsia"/>
          <w:color w:val="000000"/>
        </w:rPr>
        <w:t xml:space="preserve">      </w:t>
      </w:r>
    </w:p>
    <w:tbl>
      <w:tblPr>
        <w:tblStyle w:val="79"/>
        <w:tblW w:w="86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2"/>
        <w:gridCol w:w="2636"/>
        <w:gridCol w:w="1567"/>
        <w:gridCol w:w="711"/>
        <w:gridCol w:w="856"/>
        <w:gridCol w:w="2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772" w:type="dxa"/>
            <w:vAlign w:val="center"/>
          </w:tcPr>
          <w:p>
            <w:pPr>
              <w:adjustRightInd w:val="0"/>
              <w:snapToGrid w:val="0"/>
              <w:jc w:val="center"/>
              <w:rPr>
                <w:rFonts w:cs="Times New Roman"/>
                <w:kern w:val="0"/>
              </w:rPr>
            </w:pPr>
            <w:r>
              <w:rPr>
                <w:rFonts w:hAnsi="宋体" w:cs="Times New Roman"/>
                <w:kern w:val="0"/>
              </w:rPr>
              <w:t>序号</w:t>
            </w:r>
          </w:p>
        </w:tc>
        <w:tc>
          <w:tcPr>
            <w:tcW w:w="2636" w:type="dxa"/>
            <w:vAlign w:val="center"/>
          </w:tcPr>
          <w:p>
            <w:pPr>
              <w:adjustRightInd w:val="0"/>
              <w:snapToGrid w:val="0"/>
              <w:jc w:val="center"/>
              <w:rPr>
                <w:rFonts w:cs="Times New Roman"/>
                <w:kern w:val="0"/>
              </w:rPr>
            </w:pPr>
            <w:r>
              <w:rPr>
                <w:rFonts w:hAnsi="宋体" w:cs="Times New Roman"/>
                <w:kern w:val="0"/>
              </w:rPr>
              <w:t>权属单位</w:t>
            </w:r>
          </w:p>
        </w:tc>
        <w:tc>
          <w:tcPr>
            <w:tcW w:w="1567" w:type="dxa"/>
            <w:vAlign w:val="center"/>
          </w:tcPr>
          <w:p>
            <w:pPr>
              <w:adjustRightInd w:val="0"/>
              <w:snapToGrid w:val="0"/>
              <w:jc w:val="center"/>
              <w:rPr>
                <w:rFonts w:cs="Times New Roman"/>
                <w:kern w:val="0"/>
              </w:rPr>
            </w:pPr>
            <w:r>
              <w:rPr>
                <w:rFonts w:hAnsi="宋体" w:cs="Times New Roman"/>
                <w:kern w:val="0"/>
              </w:rPr>
              <w:t>项</w:t>
            </w:r>
            <w:r>
              <w:rPr>
                <w:rFonts w:cs="Times New Roman"/>
                <w:kern w:val="0"/>
              </w:rPr>
              <w:t xml:space="preserve">  </w:t>
            </w:r>
            <w:r>
              <w:rPr>
                <w:rFonts w:hAnsi="宋体" w:cs="Times New Roman"/>
                <w:kern w:val="0"/>
              </w:rPr>
              <w:t>目</w:t>
            </w:r>
          </w:p>
        </w:tc>
        <w:tc>
          <w:tcPr>
            <w:tcW w:w="711" w:type="dxa"/>
            <w:vAlign w:val="center"/>
          </w:tcPr>
          <w:p>
            <w:pPr>
              <w:adjustRightInd w:val="0"/>
              <w:snapToGrid w:val="0"/>
              <w:jc w:val="center"/>
              <w:rPr>
                <w:rFonts w:cs="Times New Roman"/>
                <w:kern w:val="0"/>
              </w:rPr>
            </w:pPr>
            <w:r>
              <w:rPr>
                <w:rFonts w:hAnsi="宋体" w:cs="Times New Roman"/>
                <w:kern w:val="0"/>
              </w:rPr>
              <w:t>单位</w:t>
            </w:r>
          </w:p>
        </w:tc>
        <w:tc>
          <w:tcPr>
            <w:tcW w:w="856" w:type="dxa"/>
            <w:vAlign w:val="center"/>
          </w:tcPr>
          <w:p>
            <w:pPr>
              <w:adjustRightInd w:val="0"/>
              <w:snapToGrid w:val="0"/>
              <w:jc w:val="center"/>
              <w:rPr>
                <w:rFonts w:cs="Times New Roman"/>
                <w:kern w:val="0"/>
              </w:rPr>
            </w:pPr>
            <w:r>
              <w:rPr>
                <w:rFonts w:hAnsi="宋体" w:cs="Times New Roman"/>
                <w:kern w:val="0"/>
              </w:rPr>
              <w:t>合计</w:t>
            </w:r>
          </w:p>
        </w:tc>
        <w:tc>
          <w:tcPr>
            <w:tcW w:w="2088" w:type="dxa"/>
            <w:vAlign w:val="center"/>
          </w:tcPr>
          <w:p>
            <w:pPr>
              <w:adjustRightInd w:val="0"/>
              <w:snapToGrid w:val="0"/>
              <w:jc w:val="center"/>
              <w:rPr>
                <w:rFonts w:cs="Times New Roman"/>
                <w:kern w:val="0"/>
              </w:rPr>
            </w:pPr>
            <w:r>
              <w:rPr>
                <w:rFonts w:hAnsi="宋体" w:cs="Times New Roman"/>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lang w:bidi="ar"/>
              </w:rPr>
            </w:pPr>
            <w:r>
              <w:rPr>
                <w:rFonts w:hAnsi="宋体" w:cs="Times New Roman"/>
                <w:kern w:val="0"/>
                <w:lang w:bidi="ar"/>
              </w:rPr>
              <w:t>坝仔自然村</w:t>
            </w:r>
          </w:p>
        </w:tc>
        <w:tc>
          <w:tcPr>
            <w:tcW w:w="1567" w:type="dxa"/>
            <w:vAlign w:val="center"/>
          </w:tcPr>
          <w:p>
            <w:pPr>
              <w:adjustRightInd w:val="0"/>
              <w:snapToGrid w:val="0"/>
              <w:jc w:val="center"/>
              <w:rPr>
                <w:rFonts w:cs="Times New Roman"/>
                <w:kern w:val="0"/>
              </w:rPr>
            </w:pPr>
            <w:r>
              <w:rPr>
                <w:rFonts w:hAnsi="宋体" w:cs="Times New Roman"/>
                <w:kern w:val="0"/>
              </w:rPr>
              <w:t>灌溉渠道</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400</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4.9m×0.2m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lang w:bidi="ar"/>
              </w:rPr>
            </w:pPr>
            <w:r>
              <w:rPr>
                <w:rFonts w:hAnsi="宋体" w:cs="Times New Roman"/>
                <w:kern w:val="0"/>
                <w:lang w:bidi="ar"/>
              </w:rPr>
              <w:t>上屋自然村</w:t>
            </w:r>
          </w:p>
        </w:tc>
        <w:tc>
          <w:tcPr>
            <w:tcW w:w="1567" w:type="dxa"/>
            <w:vAlign w:val="center"/>
          </w:tcPr>
          <w:p>
            <w:pPr>
              <w:adjustRightInd w:val="0"/>
              <w:snapToGrid w:val="0"/>
              <w:jc w:val="center"/>
              <w:rPr>
                <w:rFonts w:cs="Times New Roman"/>
                <w:kern w:val="0"/>
              </w:rPr>
            </w:pPr>
            <w:r>
              <w:rPr>
                <w:rFonts w:hAnsi="宋体" w:cs="Times New Roman"/>
                <w:kern w:val="0"/>
              </w:rPr>
              <w:t>灌溉渠道</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10000</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0.5m×0.3m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r>
              <w:rPr>
                <w:rFonts w:cs="Times New Roman"/>
                <w:kern w:val="0"/>
              </w:rPr>
              <w:t>2</w:t>
            </w:r>
          </w:p>
        </w:tc>
        <w:tc>
          <w:tcPr>
            <w:tcW w:w="2636" w:type="dxa"/>
            <w:vAlign w:val="center"/>
          </w:tcPr>
          <w:p>
            <w:pPr>
              <w:adjustRightInd w:val="0"/>
              <w:snapToGrid w:val="0"/>
              <w:jc w:val="center"/>
              <w:rPr>
                <w:rFonts w:cs="Times New Roman"/>
                <w:kern w:val="0"/>
              </w:rPr>
            </w:pPr>
          </w:p>
        </w:tc>
        <w:tc>
          <w:tcPr>
            <w:tcW w:w="1567" w:type="dxa"/>
            <w:vAlign w:val="center"/>
          </w:tcPr>
          <w:p>
            <w:pPr>
              <w:adjustRightInd w:val="0"/>
              <w:snapToGrid w:val="0"/>
              <w:jc w:val="center"/>
              <w:rPr>
                <w:rFonts w:cs="Times New Roman"/>
                <w:kern w:val="0"/>
              </w:rPr>
            </w:pPr>
            <w:r>
              <w:rPr>
                <w:rFonts w:hAnsi="宋体" w:cs="Times New Roman"/>
                <w:kern w:val="0"/>
              </w:rPr>
              <w:t>拦河坝</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368</w:t>
            </w:r>
          </w:p>
        </w:tc>
        <w:tc>
          <w:tcPr>
            <w:tcW w:w="2088" w:type="dxa"/>
            <w:vAlign w:val="center"/>
          </w:tcPr>
          <w:p>
            <w:pPr>
              <w:adjustRightInd w:val="0"/>
              <w:snapToGrid w:val="0"/>
              <w:jc w:val="center"/>
              <w:rPr>
                <w:rFonts w:cs="Times New Roman"/>
                <w:kern w:val="0"/>
              </w:rPr>
            </w:pPr>
            <w:r>
              <w:rPr>
                <w:rFonts w:hAnsi="宋体" w:cs="Times New Roman"/>
                <w:kern w:val="0"/>
              </w:rPr>
              <w:t>淹没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rPr>
            </w:pPr>
            <w:r>
              <w:rPr>
                <w:rFonts w:hAnsi="宋体" w:cs="Times New Roman"/>
                <w:kern w:val="0"/>
                <w:lang w:bidi="ar"/>
              </w:rPr>
              <w:t>博背自然村</w:t>
            </w:r>
          </w:p>
        </w:tc>
        <w:tc>
          <w:tcPr>
            <w:tcW w:w="1567" w:type="dxa"/>
            <w:vAlign w:val="center"/>
          </w:tcPr>
          <w:p>
            <w:pPr>
              <w:adjustRightInd w:val="0"/>
              <w:snapToGrid w:val="0"/>
              <w:jc w:val="center"/>
              <w:rPr>
                <w:rFonts w:cs="Times New Roman"/>
                <w:kern w:val="0"/>
              </w:rPr>
            </w:pPr>
            <w:r>
              <w:rPr>
                <w:rFonts w:hAnsi="宋体" w:cs="Times New Roman"/>
                <w:kern w:val="0"/>
              </w:rPr>
              <w:t>拦河坝</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48</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1.5m×1.0m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rPr>
            </w:pPr>
            <w:r>
              <w:rPr>
                <w:rFonts w:hAnsi="宋体" w:cs="Times New Roman"/>
                <w:kern w:val="0"/>
                <w:lang w:bidi="ar"/>
              </w:rPr>
              <w:t>博背自然村</w:t>
            </w:r>
          </w:p>
        </w:tc>
        <w:tc>
          <w:tcPr>
            <w:tcW w:w="1567" w:type="dxa"/>
            <w:vAlign w:val="center"/>
          </w:tcPr>
          <w:p>
            <w:pPr>
              <w:adjustRightInd w:val="0"/>
              <w:snapToGrid w:val="0"/>
              <w:jc w:val="center"/>
              <w:rPr>
                <w:rFonts w:cs="Times New Roman"/>
                <w:kern w:val="0"/>
              </w:rPr>
            </w:pPr>
            <w:r>
              <w:rPr>
                <w:rFonts w:hAnsi="宋体" w:cs="Times New Roman"/>
                <w:kern w:val="0"/>
              </w:rPr>
              <w:t>拦河坝</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10</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1.7m×1.5m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lang w:bidi="ar"/>
              </w:rPr>
            </w:pPr>
            <w:r>
              <w:rPr>
                <w:rFonts w:hAnsi="宋体" w:cs="Times New Roman"/>
                <w:kern w:val="0"/>
                <w:lang w:bidi="ar"/>
              </w:rPr>
              <w:t>上屋自然村</w:t>
            </w:r>
          </w:p>
        </w:tc>
        <w:tc>
          <w:tcPr>
            <w:tcW w:w="1567" w:type="dxa"/>
            <w:vAlign w:val="center"/>
          </w:tcPr>
          <w:p>
            <w:pPr>
              <w:adjustRightInd w:val="0"/>
              <w:snapToGrid w:val="0"/>
              <w:jc w:val="center"/>
              <w:rPr>
                <w:rFonts w:cs="Times New Roman"/>
                <w:kern w:val="0"/>
              </w:rPr>
            </w:pPr>
            <w:r>
              <w:rPr>
                <w:rFonts w:hAnsi="宋体" w:cs="Times New Roman"/>
                <w:kern w:val="0"/>
              </w:rPr>
              <w:t>拦河坝</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60</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2.0m×1.0m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lang w:bidi="ar"/>
              </w:rPr>
            </w:pPr>
            <w:r>
              <w:rPr>
                <w:rFonts w:hAnsi="宋体" w:cs="Times New Roman"/>
                <w:kern w:val="0"/>
                <w:lang w:bidi="ar"/>
              </w:rPr>
              <w:t>上屋自然村</w:t>
            </w:r>
          </w:p>
        </w:tc>
        <w:tc>
          <w:tcPr>
            <w:tcW w:w="1567" w:type="dxa"/>
            <w:vAlign w:val="center"/>
          </w:tcPr>
          <w:p>
            <w:pPr>
              <w:adjustRightInd w:val="0"/>
              <w:snapToGrid w:val="0"/>
              <w:jc w:val="center"/>
              <w:rPr>
                <w:rFonts w:cs="Times New Roman"/>
                <w:kern w:val="0"/>
              </w:rPr>
            </w:pPr>
            <w:r>
              <w:rPr>
                <w:rFonts w:hAnsi="宋体" w:cs="Times New Roman"/>
                <w:kern w:val="0"/>
              </w:rPr>
              <w:t>拦河坝</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150</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1.0m×1.0m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lang w:bidi="ar"/>
              </w:rPr>
            </w:pPr>
            <w:r>
              <w:rPr>
                <w:rFonts w:hAnsi="宋体" w:cs="Times New Roman"/>
                <w:kern w:val="0"/>
                <w:lang w:bidi="ar"/>
              </w:rPr>
              <w:t>坝仔自然村</w:t>
            </w:r>
          </w:p>
        </w:tc>
        <w:tc>
          <w:tcPr>
            <w:tcW w:w="1567" w:type="dxa"/>
            <w:vAlign w:val="center"/>
          </w:tcPr>
          <w:p>
            <w:pPr>
              <w:adjustRightInd w:val="0"/>
              <w:snapToGrid w:val="0"/>
              <w:jc w:val="center"/>
              <w:rPr>
                <w:rFonts w:cs="Times New Roman"/>
                <w:kern w:val="0"/>
              </w:rPr>
            </w:pPr>
            <w:r>
              <w:rPr>
                <w:rFonts w:hAnsi="宋体" w:cs="Times New Roman"/>
                <w:kern w:val="0"/>
              </w:rPr>
              <w:t>拦河坝</w:t>
            </w:r>
          </w:p>
        </w:tc>
        <w:tc>
          <w:tcPr>
            <w:tcW w:w="711" w:type="dxa"/>
            <w:vAlign w:val="center"/>
          </w:tcPr>
          <w:p>
            <w:pPr>
              <w:adjustRightInd w:val="0"/>
              <w:snapToGrid w:val="0"/>
              <w:jc w:val="center"/>
              <w:rPr>
                <w:rFonts w:cs="Times New Roman"/>
                <w:kern w:val="0"/>
              </w:rPr>
            </w:pPr>
            <w:r>
              <w:rPr>
                <w:rFonts w:cs="Times New Roman"/>
                <w:kern w:val="0"/>
              </w:rPr>
              <w:t>m</w:t>
            </w:r>
          </w:p>
        </w:tc>
        <w:tc>
          <w:tcPr>
            <w:tcW w:w="856" w:type="dxa"/>
            <w:vAlign w:val="center"/>
          </w:tcPr>
          <w:p>
            <w:pPr>
              <w:adjustRightInd w:val="0"/>
              <w:snapToGrid w:val="0"/>
              <w:jc w:val="center"/>
              <w:rPr>
                <w:rFonts w:cs="Times New Roman"/>
                <w:kern w:val="0"/>
              </w:rPr>
            </w:pPr>
            <w:r>
              <w:rPr>
                <w:rFonts w:cs="Times New Roman"/>
                <w:kern w:val="0"/>
              </w:rPr>
              <w:t>100</w:t>
            </w:r>
          </w:p>
        </w:tc>
        <w:tc>
          <w:tcPr>
            <w:tcW w:w="2088" w:type="dxa"/>
            <w:vAlign w:val="center"/>
          </w:tcPr>
          <w:p>
            <w:pPr>
              <w:adjustRightInd w:val="0"/>
              <w:snapToGrid w:val="0"/>
              <w:jc w:val="center"/>
              <w:rPr>
                <w:rFonts w:cs="Times New Roman"/>
                <w:kern w:val="0"/>
              </w:rPr>
            </w:pPr>
            <w:r>
              <w:rPr>
                <w:rFonts w:hAnsi="宋体" w:cs="Times New Roman"/>
                <w:kern w:val="0"/>
              </w:rPr>
              <w:t>尺寸</w:t>
            </w:r>
            <w:r>
              <w:rPr>
                <w:rFonts w:cs="Times New Roman"/>
                <w:kern w:val="0"/>
              </w:rPr>
              <w:t>0.5m×0.3m</w:t>
            </w:r>
          </w:p>
        </w:tc>
      </w:tr>
    </w:tbl>
    <w:p>
      <w:pPr>
        <w:pStyle w:val="5"/>
        <w:rPr>
          <w:color w:val="000000"/>
        </w:rPr>
      </w:pPr>
      <w:r>
        <w:rPr>
          <w:color w:val="000000"/>
        </w:rPr>
        <w:t>3.2.5.</w:t>
      </w:r>
      <w:r>
        <w:rPr>
          <w:rFonts w:hint="eastAsia"/>
          <w:color w:val="000000"/>
        </w:rPr>
        <w:t>4</w:t>
      </w:r>
      <w:r>
        <w:rPr>
          <w:color w:val="000000"/>
        </w:rPr>
        <w:t xml:space="preserve">  专项设施</w:t>
      </w:r>
    </w:p>
    <w:p>
      <w:pPr>
        <w:overflowPunct w:val="0"/>
        <w:autoSpaceDE w:val="0"/>
        <w:autoSpaceDN w:val="0"/>
        <w:adjustRightInd w:val="0"/>
        <w:spacing w:line="480" w:lineRule="exact"/>
        <w:ind w:firstLine="480" w:firstLineChars="200"/>
        <w:rPr>
          <w:color w:val="FF0000"/>
          <w:sz w:val="24"/>
        </w:rPr>
      </w:pPr>
      <w:r>
        <w:rPr>
          <w:rFonts w:hint="eastAsia" w:hAnsi="宋体"/>
          <w:color w:val="000000"/>
          <w:sz w:val="24"/>
        </w:rPr>
        <w:t>工程建设征地影响专业项目涉及交通专项，包括四级公路1.76km，农村道路11.33km。涉及水利专项，包括水电站5座(激石溪老区水电站装机1</w:t>
      </w:r>
      <w:r>
        <w:rPr>
          <w:rFonts w:hAnsi="宋体"/>
          <w:color w:val="000000"/>
          <w:sz w:val="24"/>
        </w:rPr>
        <w:t>200</w:t>
      </w:r>
      <w:r>
        <w:rPr>
          <w:rFonts w:hint="eastAsia" w:hAnsi="宋体"/>
          <w:color w:val="000000"/>
          <w:sz w:val="24"/>
        </w:rPr>
        <w:t>kW、三江口水电站装机3</w:t>
      </w:r>
      <w:r>
        <w:rPr>
          <w:rFonts w:hAnsi="宋体"/>
          <w:color w:val="000000"/>
          <w:sz w:val="24"/>
        </w:rPr>
        <w:t>150</w:t>
      </w:r>
      <w:r>
        <w:rPr>
          <w:rFonts w:hint="eastAsia" w:hAnsi="宋体"/>
          <w:color w:val="000000"/>
          <w:sz w:val="24"/>
        </w:rPr>
        <w:t>kW、三坑水电站装机1</w:t>
      </w:r>
      <w:r>
        <w:rPr>
          <w:rFonts w:hAnsi="宋体"/>
          <w:color w:val="000000"/>
          <w:sz w:val="24"/>
        </w:rPr>
        <w:t>580</w:t>
      </w:r>
      <w:r>
        <w:rPr>
          <w:rFonts w:hint="eastAsia" w:hAnsi="宋体"/>
          <w:color w:val="000000"/>
          <w:sz w:val="24"/>
        </w:rPr>
        <w:t>kW、大沥唇水电站装机8</w:t>
      </w:r>
      <w:r>
        <w:rPr>
          <w:rFonts w:hAnsi="宋体"/>
          <w:color w:val="000000"/>
          <w:sz w:val="24"/>
        </w:rPr>
        <w:t>30</w:t>
      </w:r>
      <w:r>
        <w:rPr>
          <w:rFonts w:hint="eastAsia" w:hAnsi="宋体"/>
          <w:color w:val="000000"/>
          <w:sz w:val="24"/>
        </w:rPr>
        <w:t>kW、坪田水电站装机6</w:t>
      </w:r>
      <w:r>
        <w:rPr>
          <w:rFonts w:hAnsi="宋体"/>
          <w:color w:val="000000"/>
          <w:sz w:val="24"/>
        </w:rPr>
        <w:t>30</w:t>
      </w:r>
      <w:r>
        <w:rPr>
          <w:rFonts w:hint="eastAsia" w:hAnsi="宋体"/>
          <w:color w:val="000000"/>
          <w:sz w:val="24"/>
        </w:rPr>
        <w:t>kW)；涉及电力专项，包括</w:t>
      </w:r>
      <w:r>
        <w:rPr>
          <w:rFonts w:hAnsi="宋体"/>
          <w:color w:val="000000"/>
          <w:sz w:val="24"/>
        </w:rPr>
        <w:t>2</w:t>
      </w:r>
      <w:r>
        <w:rPr>
          <w:rFonts w:hint="eastAsia" w:hAnsi="宋体"/>
          <w:color w:val="000000"/>
          <w:sz w:val="24"/>
        </w:rPr>
        <w:t>0kVA变压器1台，0.4kV输电线路0.4km，10kV输电线路17.27km，3</w:t>
      </w:r>
      <w:r>
        <w:rPr>
          <w:rFonts w:hAnsi="宋体"/>
          <w:color w:val="000000"/>
          <w:sz w:val="24"/>
        </w:rPr>
        <w:t>5</w:t>
      </w:r>
      <w:r>
        <w:rPr>
          <w:rFonts w:hint="eastAsia" w:hAnsi="宋体"/>
          <w:color w:val="000000"/>
          <w:sz w:val="24"/>
        </w:rPr>
        <w:t>kV输电线路0</w:t>
      </w:r>
      <w:r>
        <w:rPr>
          <w:rFonts w:hAnsi="宋体"/>
          <w:color w:val="000000"/>
          <w:sz w:val="24"/>
        </w:rPr>
        <w:t>.80</w:t>
      </w:r>
      <w:r>
        <w:rPr>
          <w:rFonts w:hint="eastAsia" w:hAnsi="宋体"/>
          <w:color w:val="000000"/>
          <w:sz w:val="24"/>
        </w:rPr>
        <w:t>km，水泥杆1</w:t>
      </w:r>
      <w:r>
        <w:rPr>
          <w:rFonts w:hAnsi="宋体"/>
          <w:color w:val="000000"/>
          <w:sz w:val="24"/>
        </w:rPr>
        <w:t>35</w:t>
      </w:r>
      <w:r>
        <w:rPr>
          <w:rFonts w:hint="eastAsia" w:hAnsi="宋体"/>
          <w:color w:val="000000"/>
          <w:sz w:val="24"/>
        </w:rPr>
        <w:t>根，铁塔3座；涉及通信专项，包括1</w:t>
      </w:r>
      <w:r>
        <w:rPr>
          <w:rFonts w:hAnsi="宋体"/>
          <w:color w:val="000000"/>
          <w:sz w:val="24"/>
        </w:rPr>
        <w:t>2</w:t>
      </w:r>
      <w:r>
        <w:rPr>
          <w:rFonts w:hint="eastAsia" w:hAnsi="宋体"/>
          <w:color w:val="000000"/>
          <w:sz w:val="24"/>
        </w:rPr>
        <w:t>芯光缆线路</w:t>
      </w:r>
      <w:r>
        <w:rPr>
          <w:rFonts w:hAnsi="宋体"/>
          <w:color w:val="000000"/>
          <w:sz w:val="24"/>
        </w:rPr>
        <w:t>3.00</w:t>
      </w:r>
      <w:r>
        <w:rPr>
          <w:rFonts w:hint="eastAsia" w:hAnsi="宋体"/>
          <w:color w:val="000000"/>
          <w:sz w:val="24"/>
        </w:rPr>
        <w:t>km，</w:t>
      </w:r>
      <w:r>
        <w:rPr>
          <w:rFonts w:hAnsi="宋体"/>
          <w:color w:val="000000"/>
          <w:sz w:val="24"/>
        </w:rPr>
        <w:t>1</w:t>
      </w:r>
      <w:r>
        <w:rPr>
          <w:rFonts w:hint="eastAsia" w:hAnsi="宋体"/>
          <w:color w:val="000000"/>
          <w:sz w:val="24"/>
        </w:rPr>
        <w:t>6芯光缆线路</w:t>
      </w:r>
      <w:r>
        <w:rPr>
          <w:rFonts w:hAnsi="宋体"/>
          <w:color w:val="000000"/>
          <w:sz w:val="24"/>
        </w:rPr>
        <w:t>2.80</w:t>
      </w:r>
      <w:r>
        <w:rPr>
          <w:rFonts w:hint="eastAsia" w:hAnsi="宋体"/>
          <w:color w:val="000000"/>
          <w:sz w:val="24"/>
        </w:rPr>
        <w:t>km，24芯光缆线路2.</w:t>
      </w:r>
      <w:r>
        <w:rPr>
          <w:rFonts w:hAnsi="宋体"/>
          <w:color w:val="000000"/>
          <w:sz w:val="24"/>
        </w:rPr>
        <w:t>40</w:t>
      </w:r>
      <w:r>
        <w:rPr>
          <w:rFonts w:hint="eastAsia" w:hAnsi="宋体"/>
          <w:color w:val="000000"/>
          <w:sz w:val="24"/>
        </w:rPr>
        <w:t>km，48芯光缆线路</w:t>
      </w:r>
      <w:r>
        <w:rPr>
          <w:rFonts w:hAnsi="宋体"/>
          <w:color w:val="000000"/>
          <w:sz w:val="24"/>
        </w:rPr>
        <w:t>2.00</w:t>
      </w:r>
      <w:r>
        <w:rPr>
          <w:rFonts w:hint="eastAsia" w:hAnsi="宋体"/>
          <w:color w:val="000000"/>
          <w:sz w:val="24"/>
        </w:rPr>
        <w:t>km，水泥杆2</w:t>
      </w:r>
      <w:r>
        <w:rPr>
          <w:rFonts w:hAnsi="宋体"/>
          <w:color w:val="000000"/>
          <w:sz w:val="24"/>
        </w:rPr>
        <w:t>0</w:t>
      </w:r>
      <w:r>
        <w:rPr>
          <w:rFonts w:hint="eastAsia" w:hAnsi="宋体"/>
          <w:color w:val="000000"/>
          <w:sz w:val="24"/>
        </w:rPr>
        <w:t>根，信号基站2座。</w:t>
      </w:r>
    </w:p>
    <w:p>
      <w:pPr>
        <w:pStyle w:val="5"/>
        <w:rPr>
          <w:color w:val="000000"/>
        </w:rPr>
      </w:pPr>
      <w:r>
        <w:rPr>
          <w:color w:val="000000"/>
        </w:rPr>
        <w:t>3.2.5.</w:t>
      </w:r>
      <w:r>
        <w:rPr>
          <w:rFonts w:hint="eastAsia"/>
          <w:color w:val="000000"/>
        </w:rPr>
        <w:t>5</w:t>
      </w:r>
      <w:r>
        <w:rPr>
          <w:color w:val="000000"/>
        </w:rPr>
        <w:t xml:space="preserve">  文物古迹</w:t>
      </w:r>
    </w:p>
    <w:p>
      <w:pPr>
        <w:spacing w:line="480" w:lineRule="exact"/>
        <w:ind w:firstLine="480" w:firstLineChars="200"/>
        <w:rPr>
          <w:rFonts w:hAnsi="宋体"/>
          <w:color w:val="000000"/>
          <w:kern w:val="0"/>
          <w:sz w:val="24"/>
        </w:rPr>
      </w:pPr>
      <w:bookmarkStart w:id="106" w:name="_Hlk85921481"/>
      <w:bookmarkStart w:id="107" w:name="_Hlk85577283"/>
      <w:r>
        <w:rPr>
          <w:rFonts w:hint="eastAsia" w:hAnsi="宋体"/>
          <w:color w:val="000000"/>
          <w:kern w:val="0"/>
          <w:sz w:val="24"/>
        </w:rPr>
        <w:t>2021年1</w:t>
      </w:r>
      <w:r>
        <w:rPr>
          <w:rFonts w:hAnsi="宋体"/>
          <w:color w:val="000000"/>
          <w:kern w:val="0"/>
          <w:sz w:val="24"/>
        </w:rPr>
        <w:t>2</w:t>
      </w:r>
      <w:r>
        <w:rPr>
          <w:rFonts w:hint="eastAsia" w:hAnsi="宋体"/>
          <w:color w:val="000000"/>
          <w:kern w:val="0"/>
          <w:sz w:val="24"/>
        </w:rPr>
        <w:t>月，广东省文物考古研究所对陆河抽水蓄能电站工程建设征地区域内文物进行考古调查、勘探工作，并由广东省文物考古研究所编制了《广东陆河抽水蓄能电站工程项目文物考古调查、勘探工作报告》。根据文物调查、勘探工作报告，发现经过全面而细致的考古调查和勘探工作，在广东陆河抽水蓄能电站工程项目规划用地范围内发现遗物点1处，为博背村遗物点。此外，还对项目征地红线外且距离最近的1处不可移动文物点进行了复查，即红二师纪念亭，属第三次全国文物普查登记的不可移动文物点。以上均未涉及县级(含)以上文物保护单位。</w:t>
      </w:r>
      <w:bookmarkEnd w:id="106"/>
    </w:p>
    <w:bookmarkEnd w:id="107"/>
    <w:p>
      <w:pPr>
        <w:pStyle w:val="5"/>
        <w:rPr>
          <w:color w:val="000000"/>
        </w:rPr>
      </w:pPr>
      <w:r>
        <w:rPr>
          <w:color w:val="000000"/>
        </w:rPr>
        <w:t>3.2.5.</w:t>
      </w:r>
      <w:r>
        <w:rPr>
          <w:rFonts w:hint="eastAsia"/>
          <w:color w:val="000000"/>
        </w:rPr>
        <w:t>6</w:t>
      </w:r>
      <w:r>
        <w:rPr>
          <w:color w:val="000000"/>
        </w:rPr>
        <w:t xml:space="preserve">  压覆矿产资源</w:t>
      </w:r>
    </w:p>
    <w:p>
      <w:pPr>
        <w:overflowPunct w:val="0"/>
        <w:autoSpaceDE w:val="0"/>
        <w:autoSpaceDN w:val="0"/>
        <w:adjustRightInd w:val="0"/>
        <w:spacing w:line="480" w:lineRule="exact"/>
        <w:ind w:firstLine="480" w:firstLineChars="200"/>
        <w:rPr>
          <w:color w:val="000000"/>
          <w:kern w:val="0"/>
          <w:sz w:val="24"/>
        </w:rPr>
      </w:pPr>
      <w:r>
        <w:rPr>
          <w:rFonts w:hint="eastAsia" w:hAnsi="宋体"/>
          <w:color w:val="000000"/>
          <w:kern w:val="0"/>
          <w:sz w:val="24"/>
        </w:rPr>
        <w:t>根据汕尾自然资源局《关于广东陆河抽水蓄能电站项目用地是否压覆矿产资源的复函》(汕自然资函</w:t>
      </w:r>
      <w:r>
        <w:rPr>
          <w:rFonts w:hAnsi="宋体"/>
          <w:color w:val="000000"/>
          <w:sz w:val="24"/>
        </w:rPr>
        <w:t>〔</w:t>
      </w:r>
      <w:r>
        <w:rPr>
          <w:color w:val="000000"/>
          <w:sz w:val="24"/>
        </w:rPr>
        <w:t>2021</w:t>
      </w:r>
      <w:r>
        <w:rPr>
          <w:rFonts w:hAnsi="宋体"/>
          <w:color w:val="000000"/>
          <w:sz w:val="24"/>
        </w:rPr>
        <w:t>〕</w:t>
      </w:r>
      <w:r>
        <w:rPr>
          <w:color w:val="000000"/>
          <w:sz w:val="24"/>
        </w:rPr>
        <w:t>1760</w:t>
      </w:r>
      <w:r>
        <w:rPr>
          <w:rFonts w:hAnsi="宋体"/>
          <w:color w:val="000000"/>
          <w:sz w:val="24"/>
        </w:rPr>
        <w:t>号</w:t>
      </w:r>
      <w:r>
        <w:rPr>
          <w:rFonts w:hint="eastAsia" w:hAnsi="宋体"/>
          <w:color w:val="000000"/>
          <w:sz w:val="24"/>
        </w:rPr>
        <w:t>)</w:t>
      </w:r>
      <w:r>
        <w:rPr>
          <w:rFonts w:hint="eastAsia" w:hAnsi="宋体"/>
          <w:color w:val="000000"/>
          <w:kern w:val="0"/>
          <w:sz w:val="24"/>
        </w:rPr>
        <w:t>，工程建设征地范围内无压覆上表矿区，无压覆已设采矿权，探矿权。</w:t>
      </w:r>
    </w:p>
    <w:p>
      <w:pPr>
        <w:pStyle w:val="5"/>
        <w:rPr>
          <w:color w:val="000000"/>
        </w:rPr>
      </w:pPr>
      <w:r>
        <w:rPr>
          <w:color w:val="000000"/>
        </w:rPr>
        <w:t>3.2.5.</w:t>
      </w:r>
      <w:r>
        <w:rPr>
          <w:rFonts w:hint="eastAsia"/>
          <w:color w:val="000000"/>
        </w:rPr>
        <w:t>7</w:t>
      </w:r>
      <w:r>
        <w:rPr>
          <w:color w:val="000000"/>
        </w:rPr>
        <w:t xml:space="preserve">  基本农田影响</w:t>
      </w:r>
    </w:p>
    <w:p>
      <w:pPr>
        <w:adjustRightInd w:val="0"/>
        <w:spacing w:line="480" w:lineRule="exact"/>
        <w:ind w:firstLine="480" w:firstLineChars="200"/>
        <w:rPr>
          <w:snapToGrid w:val="0"/>
          <w:color w:val="000000"/>
          <w:kern w:val="0"/>
          <w:sz w:val="24"/>
        </w:rPr>
      </w:pPr>
      <w:r>
        <w:rPr>
          <w:rFonts w:hAnsi="宋体"/>
          <w:snapToGrid w:val="0"/>
          <w:color w:val="000000"/>
          <w:kern w:val="0"/>
          <w:sz w:val="24"/>
        </w:rPr>
        <w:t>根据</w:t>
      </w:r>
      <w:r>
        <w:rPr>
          <w:rFonts w:hint="eastAsia" w:hAnsi="宋体"/>
          <w:snapToGrid w:val="0"/>
          <w:color w:val="000000"/>
          <w:kern w:val="0"/>
          <w:sz w:val="24"/>
        </w:rPr>
        <w:t>陆河</w:t>
      </w:r>
      <w:r>
        <w:rPr>
          <w:rFonts w:hAnsi="宋体"/>
          <w:snapToGrid w:val="0"/>
          <w:color w:val="000000"/>
          <w:kern w:val="0"/>
          <w:sz w:val="24"/>
        </w:rPr>
        <w:t>县自然资源局提供的基本农田数据库查询，本项目建设征地共涉及永久基本农田</w:t>
      </w:r>
      <w:r>
        <w:rPr>
          <w:snapToGrid w:val="0"/>
          <w:color w:val="000000"/>
          <w:kern w:val="0"/>
          <w:sz w:val="24"/>
        </w:rPr>
        <w:t>125.18</w:t>
      </w:r>
      <w:r>
        <w:rPr>
          <w:rFonts w:hAnsi="宋体"/>
          <w:snapToGrid w:val="0"/>
          <w:color w:val="000000"/>
          <w:kern w:val="0"/>
          <w:sz w:val="24"/>
        </w:rPr>
        <w:t>亩，</w:t>
      </w:r>
      <w:r>
        <w:rPr>
          <w:rFonts w:hint="eastAsia" w:hAnsi="宋体"/>
          <w:snapToGrid w:val="0"/>
          <w:color w:val="000000"/>
          <w:kern w:val="0"/>
          <w:sz w:val="24"/>
        </w:rPr>
        <w:t>均为永久征地</w:t>
      </w:r>
      <w:r>
        <w:rPr>
          <w:rFonts w:hAnsi="宋体"/>
          <w:snapToGrid w:val="0"/>
          <w:color w:val="000000"/>
          <w:kern w:val="0"/>
          <w:sz w:val="24"/>
        </w:rPr>
        <w:t>。详细指标详见表</w:t>
      </w:r>
      <w:r>
        <w:rPr>
          <w:snapToGrid w:val="0"/>
          <w:color w:val="000000"/>
          <w:kern w:val="0"/>
          <w:sz w:val="24"/>
        </w:rPr>
        <w:t>3.2</w:t>
      </w:r>
      <w:r>
        <w:rPr>
          <w:rFonts w:hint="eastAsia"/>
          <w:snapToGrid w:val="0"/>
          <w:color w:val="000000"/>
          <w:kern w:val="0"/>
          <w:sz w:val="24"/>
        </w:rPr>
        <w:t>.5</w:t>
      </w:r>
      <w:r>
        <w:rPr>
          <w:snapToGrid w:val="0"/>
          <w:color w:val="000000"/>
          <w:kern w:val="0"/>
          <w:sz w:val="24"/>
        </w:rPr>
        <w:t>-</w:t>
      </w:r>
      <w:r>
        <w:rPr>
          <w:rFonts w:hint="eastAsia"/>
          <w:snapToGrid w:val="0"/>
          <w:color w:val="000000"/>
          <w:kern w:val="0"/>
          <w:sz w:val="24"/>
        </w:rPr>
        <w:t>5</w:t>
      </w:r>
      <w:r>
        <w:rPr>
          <w:rFonts w:hAnsi="宋体"/>
          <w:snapToGrid w:val="0"/>
          <w:color w:val="000000"/>
          <w:kern w:val="0"/>
          <w:sz w:val="24"/>
        </w:rPr>
        <w:t>。</w:t>
      </w:r>
    </w:p>
    <w:p>
      <w:pPr>
        <w:pStyle w:val="517"/>
        <w:rPr>
          <w:color w:val="000000"/>
        </w:rPr>
      </w:pPr>
      <w:r>
        <w:rPr>
          <w:color w:val="000000"/>
        </w:rPr>
        <w:t>表3.</w:t>
      </w:r>
      <w:r>
        <w:rPr>
          <w:rFonts w:hint="eastAsia"/>
          <w:color w:val="000000"/>
        </w:rPr>
        <w:t>2.5-5</w:t>
      </w:r>
      <w:r>
        <w:rPr>
          <w:color w:val="000000"/>
        </w:rPr>
        <w:t xml:space="preserve">  </w:t>
      </w:r>
      <w:r>
        <w:rPr>
          <w:rFonts w:hint="eastAsia"/>
          <w:color w:val="000000"/>
        </w:rPr>
        <w:t>陆河</w:t>
      </w:r>
      <w:r>
        <w:rPr>
          <w:color w:val="000000"/>
        </w:rPr>
        <w:t>抽水蓄能电站建设征地影响基本农田指标汇总表</w:t>
      </w:r>
    </w:p>
    <w:tbl>
      <w:tblPr>
        <w:tblStyle w:val="79"/>
        <w:tblW w:w="88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994"/>
        <w:gridCol w:w="865"/>
        <w:gridCol w:w="1130"/>
        <w:gridCol w:w="1086"/>
        <w:gridCol w:w="1569"/>
        <w:gridCol w:w="1056"/>
        <w:gridCol w:w="10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55" w:type="dxa"/>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序号</w:t>
            </w:r>
          </w:p>
        </w:tc>
        <w:tc>
          <w:tcPr>
            <w:tcW w:w="994" w:type="dxa"/>
            <w:vMerge w:val="restart"/>
            <w:vAlign w:val="center"/>
          </w:tcPr>
          <w:p>
            <w:pPr>
              <w:widowControl/>
              <w:adjustRightInd w:val="0"/>
              <w:snapToGrid w:val="0"/>
              <w:jc w:val="center"/>
              <w:rPr>
                <w:rFonts w:hAnsi="宋体" w:cs="Times New Roman"/>
                <w:color w:val="000000"/>
                <w:kern w:val="0"/>
              </w:rPr>
            </w:pPr>
            <w:r>
              <w:rPr>
                <w:rFonts w:hAnsi="宋体" w:cs="Times New Roman"/>
                <w:color w:val="000000"/>
                <w:kern w:val="0"/>
              </w:rPr>
              <w:t>基本</w:t>
            </w:r>
          </w:p>
          <w:p>
            <w:pPr>
              <w:widowControl/>
              <w:adjustRightInd w:val="0"/>
              <w:snapToGrid w:val="0"/>
              <w:jc w:val="center"/>
              <w:rPr>
                <w:rFonts w:cs="Times New Roman"/>
                <w:color w:val="000000"/>
                <w:kern w:val="0"/>
              </w:rPr>
            </w:pPr>
            <w:r>
              <w:rPr>
                <w:rFonts w:hAnsi="宋体" w:cs="Times New Roman"/>
                <w:color w:val="000000"/>
                <w:kern w:val="0"/>
              </w:rPr>
              <w:t>农田</w:t>
            </w:r>
          </w:p>
        </w:tc>
        <w:tc>
          <w:tcPr>
            <w:tcW w:w="3081" w:type="dxa"/>
            <w:gridSpan w:val="3"/>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合计</w:t>
            </w:r>
          </w:p>
        </w:tc>
        <w:tc>
          <w:tcPr>
            <w:tcW w:w="1569" w:type="dxa"/>
            <w:vMerge w:val="restart"/>
            <w:vAlign w:val="center"/>
          </w:tcPr>
          <w:p>
            <w:pPr>
              <w:widowControl/>
              <w:adjustRightInd w:val="0"/>
              <w:snapToGrid w:val="0"/>
              <w:jc w:val="center"/>
              <w:rPr>
                <w:rFonts w:hAnsi="宋体" w:cs="Times New Roman"/>
                <w:color w:val="000000"/>
                <w:kern w:val="0"/>
              </w:rPr>
            </w:pPr>
            <w:r>
              <w:rPr>
                <w:rFonts w:hAnsi="宋体" w:cs="Times New Roman"/>
                <w:color w:val="000000"/>
                <w:kern w:val="0"/>
              </w:rPr>
              <w:t>水库淹没</w:t>
            </w:r>
          </w:p>
          <w:p>
            <w:pPr>
              <w:widowControl/>
              <w:adjustRightInd w:val="0"/>
              <w:snapToGrid w:val="0"/>
              <w:jc w:val="center"/>
              <w:rPr>
                <w:rFonts w:cs="Times New Roman"/>
                <w:color w:val="000000"/>
                <w:kern w:val="0"/>
              </w:rPr>
            </w:pPr>
            <w:r>
              <w:rPr>
                <w:rFonts w:hAnsi="宋体" w:cs="Times New Roman"/>
                <w:color w:val="000000"/>
                <w:kern w:val="0"/>
              </w:rPr>
              <w:t>影响区</w:t>
            </w:r>
          </w:p>
        </w:tc>
        <w:tc>
          <w:tcPr>
            <w:tcW w:w="2113" w:type="dxa"/>
            <w:gridSpan w:val="2"/>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枢纽工程建设区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55" w:type="dxa"/>
            <w:vMerge w:val="continue"/>
            <w:vAlign w:val="center"/>
          </w:tcPr>
          <w:p>
            <w:pPr>
              <w:widowControl/>
              <w:adjustRightInd w:val="0"/>
              <w:snapToGrid w:val="0"/>
              <w:jc w:val="left"/>
              <w:rPr>
                <w:rFonts w:cs="Times New Roman"/>
                <w:color w:val="000000"/>
                <w:kern w:val="0"/>
              </w:rPr>
            </w:pPr>
          </w:p>
        </w:tc>
        <w:tc>
          <w:tcPr>
            <w:tcW w:w="994" w:type="dxa"/>
            <w:vMerge w:val="continue"/>
            <w:vAlign w:val="center"/>
          </w:tcPr>
          <w:p>
            <w:pPr>
              <w:widowControl/>
              <w:adjustRightInd w:val="0"/>
              <w:snapToGrid w:val="0"/>
              <w:jc w:val="left"/>
              <w:rPr>
                <w:rFonts w:cs="Times New Roman"/>
                <w:color w:val="000000"/>
                <w:kern w:val="0"/>
              </w:rPr>
            </w:pPr>
          </w:p>
        </w:tc>
        <w:tc>
          <w:tcPr>
            <w:tcW w:w="3081" w:type="dxa"/>
            <w:gridSpan w:val="3"/>
            <w:vMerge w:val="continue"/>
            <w:vAlign w:val="center"/>
          </w:tcPr>
          <w:p>
            <w:pPr>
              <w:widowControl/>
              <w:adjustRightInd w:val="0"/>
              <w:snapToGrid w:val="0"/>
              <w:jc w:val="left"/>
              <w:rPr>
                <w:rFonts w:cs="Times New Roman"/>
                <w:color w:val="000000"/>
                <w:kern w:val="0"/>
              </w:rPr>
            </w:pPr>
          </w:p>
        </w:tc>
        <w:tc>
          <w:tcPr>
            <w:tcW w:w="1569" w:type="dxa"/>
            <w:vMerge w:val="continue"/>
            <w:vAlign w:val="center"/>
          </w:tcPr>
          <w:p>
            <w:pPr>
              <w:widowControl/>
              <w:adjustRightInd w:val="0"/>
              <w:snapToGrid w:val="0"/>
              <w:jc w:val="left"/>
              <w:rPr>
                <w:rFonts w:cs="Times New Roman"/>
                <w:color w:val="000000"/>
                <w:kern w:val="0"/>
              </w:rPr>
            </w:pPr>
          </w:p>
        </w:tc>
        <w:tc>
          <w:tcPr>
            <w:tcW w:w="2113" w:type="dxa"/>
            <w:gridSpan w:val="2"/>
            <w:vMerge w:val="continue"/>
            <w:vAlign w:val="center"/>
          </w:tcPr>
          <w:p>
            <w:pPr>
              <w:widowControl/>
              <w:adjustRightInd w:val="0"/>
              <w:snapToGrid w:val="0"/>
              <w:jc w:val="left"/>
              <w:rPr>
                <w:rFonts w:cs="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55" w:type="dxa"/>
            <w:vMerge w:val="continue"/>
            <w:vAlign w:val="center"/>
          </w:tcPr>
          <w:p>
            <w:pPr>
              <w:widowControl/>
              <w:adjustRightInd w:val="0"/>
              <w:snapToGrid w:val="0"/>
              <w:jc w:val="left"/>
              <w:rPr>
                <w:rFonts w:cs="Times New Roman"/>
                <w:color w:val="000000"/>
                <w:kern w:val="0"/>
              </w:rPr>
            </w:pPr>
          </w:p>
        </w:tc>
        <w:tc>
          <w:tcPr>
            <w:tcW w:w="994" w:type="dxa"/>
            <w:vMerge w:val="continue"/>
            <w:vAlign w:val="center"/>
          </w:tcPr>
          <w:p>
            <w:pPr>
              <w:widowControl/>
              <w:adjustRightInd w:val="0"/>
              <w:snapToGrid w:val="0"/>
              <w:jc w:val="left"/>
              <w:rPr>
                <w:rFonts w:cs="Times New Roman"/>
                <w:color w:val="000000"/>
                <w:kern w:val="0"/>
              </w:rPr>
            </w:pPr>
          </w:p>
        </w:tc>
        <w:tc>
          <w:tcPr>
            <w:tcW w:w="865"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总计</w:t>
            </w:r>
          </w:p>
        </w:tc>
        <w:tc>
          <w:tcPr>
            <w:tcW w:w="1130" w:type="dxa"/>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永久占地</w:t>
            </w:r>
          </w:p>
        </w:tc>
        <w:tc>
          <w:tcPr>
            <w:tcW w:w="1086" w:type="dxa"/>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临时用地</w:t>
            </w:r>
          </w:p>
        </w:tc>
        <w:tc>
          <w:tcPr>
            <w:tcW w:w="1569" w:type="dxa"/>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水库淹没区</w:t>
            </w:r>
          </w:p>
        </w:tc>
        <w:tc>
          <w:tcPr>
            <w:tcW w:w="1056" w:type="dxa"/>
            <w:vMerge w:val="restart"/>
            <w:vAlign w:val="center"/>
          </w:tcPr>
          <w:p>
            <w:pPr>
              <w:widowControl/>
              <w:adjustRightInd w:val="0"/>
              <w:snapToGrid w:val="0"/>
              <w:jc w:val="center"/>
              <w:rPr>
                <w:rFonts w:hAnsi="宋体" w:cs="Times New Roman"/>
                <w:color w:val="000000"/>
                <w:kern w:val="0"/>
              </w:rPr>
            </w:pPr>
            <w:r>
              <w:rPr>
                <w:rFonts w:hAnsi="宋体" w:cs="Times New Roman"/>
                <w:color w:val="000000"/>
                <w:kern w:val="0"/>
              </w:rPr>
              <w:t>永久</w:t>
            </w:r>
          </w:p>
          <w:p>
            <w:pPr>
              <w:widowControl/>
              <w:adjustRightInd w:val="0"/>
              <w:snapToGrid w:val="0"/>
              <w:jc w:val="center"/>
              <w:rPr>
                <w:rFonts w:cs="Times New Roman"/>
                <w:color w:val="000000"/>
                <w:kern w:val="0"/>
              </w:rPr>
            </w:pPr>
            <w:r>
              <w:rPr>
                <w:rFonts w:hAnsi="宋体" w:cs="Times New Roman"/>
                <w:color w:val="000000"/>
                <w:kern w:val="0"/>
              </w:rPr>
              <w:t>建设区</w:t>
            </w:r>
          </w:p>
        </w:tc>
        <w:tc>
          <w:tcPr>
            <w:tcW w:w="1057" w:type="dxa"/>
            <w:vMerge w:val="restart"/>
            <w:vAlign w:val="center"/>
          </w:tcPr>
          <w:p>
            <w:pPr>
              <w:widowControl/>
              <w:adjustRightInd w:val="0"/>
              <w:snapToGrid w:val="0"/>
              <w:jc w:val="center"/>
              <w:rPr>
                <w:rFonts w:hAnsi="宋体" w:cs="Times New Roman"/>
                <w:color w:val="000000"/>
                <w:kern w:val="0"/>
              </w:rPr>
            </w:pPr>
            <w:r>
              <w:rPr>
                <w:rFonts w:hAnsi="宋体" w:cs="Times New Roman"/>
                <w:color w:val="000000"/>
                <w:kern w:val="0"/>
              </w:rPr>
              <w:t>临时</w:t>
            </w:r>
          </w:p>
          <w:p>
            <w:pPr>
              <w:widowControl/>
              <w:adjustRightInd w:val="0"/>
              <w:snapToGrid w:val="0"/>
              <w:jc w:val="center"/>
              <w:rPr>
                <w:rFonts w:cs="Times New Roman"/>
                <w:color w:val="000000"/>
                <w:kern w:val="0"/>
              </w:rPr>
            </w:pPr>
            <w:r>
              <w:rPr>
                <w:rFonts w:hAnsi="宋体" w:cs="Times New Roman"/>
                <w:color w:val="000000"/>
                <w:kern w:val="0"/>
              </w:rPr>
              <w:t>建设区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55" w:type="dxa"/>
            <w:vMerge w:val="continue"/>
            <w:vAlign w:val="center"/>
          </w:tcPr>
          <w:p>
            <w:pPr>
              <w:widowControl/>
              <w:adjustRightInd w:val="0"/>
              <w:snapToGrid w:val="0"/>
              <w:jc w:val="left"/>
              <w:rPr>
                <w:rFonts w:cs="Times New Roman"/>
                <w:color w:val="000000"/>
                <w:kern w:val="0"/>
              </w:rPr>
            </w:pPr>
          </w:p>
        </w:tc>
        <w:tc>
          <w:tcPr>
            <w:tcW w:w="994" w:type="dxa"/>
            <w:vMerge w:val="continue"/>
            <w:vAlign w:val="center"/>
          </w:tcPr>
          <w:p>
            <w:pPr>
              <w:widowControl/>
              <w:adjustRightInd w:val="0"/>
              <w:snapToGrid w:val="0"/>
              <w:jc w:val="left"/>
              <w:rPr>
                <w:rFonts w:cs="Times New Roman"/>
                <w:color w:val="000000"/>
                <w:kern w:val="0"/>
              </w:rPr>
            </w:pPr>
          </w:p>
        </w:tc>
        <w:tc>
          <w:tcPr>
            <w:tcW w:w="865" w:type="dxa"/>
            <w:vMerge w:val="continue"/>
            <w:vAlign w:val="center"/>
          </w:tcPr>
          <w:p>
            <w:pPr>
              <w:widowControl/>
              <w:adjustRightInd w:val="0"/>
              <w:snapToGrid w:val="0"/>
              <w:jc w:val="left"/>
              <w:rPr>
                <w:rFonts w:cs="Times New Roman"/>
                <w:color w:val="000000"/>
                <w:kern w:val="0"/>
              </w:rPr>
            </w:pPr>
          </w:p>
        </w:tc>
        <w:tc>
          <w:tcPr>
            <w:tcW w:w="1130" w:type="dxa"/>
            <w:vMerge w:val="continue"/>
            <w:vAlign w:val="center"/>
          </w:tcPr>
          <w:p>
            <w:pPr>
              <w:widowControl/>
              <w:adjustRightInd w:val="0"/>
              <w:snapToGrid w:val="0"/>
              <w:jc w:val="left"/>
              <w:rPr>
                <w:rFonts w:cs="Times New Roman"/>
                <w:color w:val="000000"/>
                <w:kern w:val="0"/>
              </w:rPr>
            </w:pPr>
          </w:p>
        </w:tc>
        <w:tc>
          <w:tcPr>
            <w:tcW w:w="1086" w:type="dxa"/>
            <w:vMerge w:val="continue"/>
            <w:vAlign w:val="center"/>
          </w:tcPr>
          <w:p>
            <w:pPr>
              <w:widowControl/>
              <w:adjustRightInd w:val="0"/>
              <w:snapToGrid w:val="0"/>
              <w:jc w:val="left"/>
              <w:rPr>
                <w:rFonts w:cs="Times New Roman"/>
                <w:color w:val="000000"/>
                <w:kern w:val="0"/>
              </w:rPr>
            </w:pPr>
          </w:p>
        </w:tc>
        <w:tc>
          <w:tcPr>
            <w:tcW w:w="1569" w:type="dxa"/>
            <w:vMerge w:val="continue"/>
            <w:vAlign w:val="center"/>
          </w:tcPr>
          <w:p>
            <w:pPr>
              <w:widowControl/>
              <w:adjustRightInd w:val="0"/>
              <w:snapToGrid w:val="0"/>
              <w:jc w:val="left"/>
              <w:rPr>
                <w:rFonts w:cs="Times New Roman"/>
                <w:color w:val="000000"/>
                <w:kern w:val="0"/>
              </w:rPr>
            </w:pPr>
          </w:p>
        </w:tc>
        <w:tc>
          <w:tcPr>
            <w:tcW w:w="1056" w:type="dxa"/>
            <w:vMerge w:val="continue"/>
            <w:vAlign w:val="center"/>
          </w:tcPr>
          <w:p>
            <w:pPr>
              <w:widowControl/>
              <w:adjustRightInd w:val="0"/>
              <w:snapToGrid w:val="0"/>
              <w:jc w:val="left"/>
              <w:rPr>
                <w:rFonts w:cs="Times New Roman"/>
                <w:color w:val="000000"/>
                <w:kern w:val="0"/>
              </w:rPr>
            </w:pPr>
          </w:p>
        </w:tc>
        <w:tc>
          <w:tcPr>
            <w:tcW w:w="1057" w:type="dxa"/>
            <w:vMerge w:val="continue"/>
            <w:vAlign w:val="center"/>
          </w:tcPr>
          <w:p>
            <w:pPr>
              <w:widowControl/>
              <w:adjustRightInd w:val="0"/>
              <w:snapToGrid w:val="0"/>
              <w:jc w:val="left"/>
              <w:rPr>
                <w:rFonts w:cs="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55" w:type="dxa"/>
            <w:noWrap/>
            <w:vAlign w:val="center"/>
          </w:tcPr>
          <w:p>
            <w:pPr>
              <w:widowControl/>
              <w:adjustRightInd w:val="0"/>
              <w:snapToGrid w:val="0"/>
              <w:jc w:val="center"/>
              <w:rPr>
                <w:rFonts w:cs="Times New Roman"/>
                <w:color w:val="000000"/>
                <w:kern w:val="0"/>
              </w:rPr>
            </w:pPr>
            <w:r>
              <w:rPr>
                <w:rFonts w:cs="Times New Roman"/>
                <w:color w:val="000000"/>
                <w:kern w:val="0"/>
              </w:rPr>
              <w:t>1</w:t>
            </w:r>
          </w:p>
        </w:tc>
        <w:tc>
          <w:tcPr>
            <w:tcW w:w="994" w:type="dxa"/>
            <w:noWrap/>
            <w:vAlign w:val="center"/>
          </w:tcPr>
          <w:p>
            <w:pPr>
              <w:widowControl/>
              <w:adjustRightInd w:val="0"/>
              <w:snapToGrid w:val="0"/>
              <w:jc w:val="center"/>
              <w:rPr>
                <w:rFonts w:cs="Times New Roman"/>
                <w:color w:val="000000"/>
                <w:kern w:val="0"/>
              </w:rPr>
            </w:pPr>
            <w:r>
              <w:rPr>
                <w:rFonts w:hAnsi="宋体" w:cs="Times New Roman"/>
                <w:color w:val="000000"/>
                <w:kern w:val="0"/>
              </w:rPr>
              <w:t>水田</w:t>
            </w:r>
          </w:p>
        </w:tc>
        <w:tc>
          <w:tcPr>
            <w:tcW w:w="865" w:type="dxa"/>
            <w:noWrap/>
            <w:vAlign w:val="center"/>
          </w:tcPr>
          <w:p>
            <w:pPr>
              <w:widowControl/>
              <w:adjustRightInd w:val="0"/>
              <w:snapToGrid w:val="0"/>
              <w:jc w:val="center"/>
              <w:rPr>
                <w:rFonts w:cs="Times New Roman"/>
                <w:color w:val="000000"/>
                <w:kern w:val="0"/>
              </w:rPr>
            </w:pPr>
            <w:r>
              <w:rPr>
                <w:rFonts w:cs="Times New Roman"/>
                <w:color w:val="000000"/>
                <w:kern w:val="0"/>
              </w:rPr>
              <w:t>125.18</w:t>
            </w:r>
          </w:p>
        </w:tc>
        <w:tc>
          <w:tcPr>
            <w:tcW w:w="1130" w:type="dxa"/>
            <w:noWrap/>
            <w:vAlign w:val="center"/>
          </w:tcPr>
          <w:p>
            <w:pPr>
              <w:widowControl/>
              <w:adjustRightInd w:val="0"/>
              <w:snapToGrid w:val="0"/>
              <w:jc w:val="center"/>
              <w:rPr>
                <w:rFonts w:cs="Times New Roman"/>
                <w:color w:val="000000"/>
                <w:kern w:val="0"/>
              </w:rPr>
            </w:pPr>
            <w:r>
              <w:rPr>
                <w:rFonts w:cs="Times New Roman"/>
                <w:color w:val="000000"/>
                <w:kern w:val="0"/>
              </w:rPr>
              <w:t>125.18</w:t>
            </w:r>
          </w:p>
        </w:tc>
        <w:tc>
          <w:tcPr>
            <w:tcW w:w="1086"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c>
          <w:tcPr>
            <w:tcW w:w="1569" w:type="dxa"/>
            <w:noWrap/>
            <w:vAlign w:val="center"/>
          </w:tcPr>
          <w:p>
            <w:pPr>
              <w:widowControl/>
              <w:adjustRightInd w:val="0"/>
              <w:snapToGrid w:val="0"/>
              <w:jc w:val="center"/>
              <w:rPr>
                <w:rFonts w:cs="Times New Roman"/>
                <w:color w:val="000000"/>
                <w:kern w:val="0"/>
              </w:rPr>
            </w:pPr>
            <w:r>
              <w:rPr>
                <w:rFonts w:cs="Times New Roman"/>
                <w:color w:val="000000"/>
                <w:kern w:val="0"/>
              </w:rPr>
              <w:t>29.85</w:t>
            </w:r>
          </w:p>
        </w:tc>
        <w:tc>
          <w:tcPr>
            <w:tcW w:w="1056" w:type="dxa"/>
            <w:noWrap/>
            <w:vAlign w:val="center"/>
          </w:tcPr>
          <w:p>
            <w:pPr>
              <w:widowControl/>
              <w:adjustRightInd w:val="0"/>
              <w:snapToGrid w:val="0"/>
              <w:jc w:val="center"/>
              <w:rPr>
                <w:rFonts w:cs="Times New Roman"/>
                <w:color w:val="000000"/>
                <w:kern w:val="0"/>
              </w:rPr>
            </w:pPr>
            <w:r>
              <w:rPr>
                <w:rFonts w:cs="Times New Roman"/>
                <w:color w:val="000000"/>
                <w:kern w:val="0"/>
              </w:rPr>
              <w:t>95.33</w:t>
            </w:r>
          </w:p>
        </w:tc>
        <w:tc>
          <w:tcPr>
            <w:tcW w:w="1057" w:type="dxa"/>
            <w:noWrap/>
            <w:vAlign w:val="center"/>
          </w:tcPr>
          <w:p>
            <w:pPr>
              <w:widowControl/>
              <w:adjustRightInd w:val="0"/>
              <w:snapToGrid w:val="0"/>
              <w:jc w:val="center"/>
              <w:rPr>
                <w:rFonts w:cs="Times New Roman"/>
                <w:color w:val="000000"/>
                <w:kern w:val="0"/>
              </w:rPr>
            </w:pPr>
            <w:r>
              <w:rPr>
                <w:rFonts w:hAnsi="宋体" w:cs="Times New Roman"/>
                <w:color w:val="000000"/>
                <w:kern w:val="0"/>
              </w:rPr>
              <w:t>　</w:t>
            </w:r>
          </w:p>
        </w:tc>
      </w:tr>
    </w:tbl>
    <w:p>
      <w:pPr>
        <w:pStyle w:val="5"/>
        <w:rPr>
          <w:color w:val="000000"/>
        </w:rPr>
      </w:pPr>
      <w:r>
        <w:rPr>
          <w:color w:val="000000"/>
        </w:rPr>
        <w:t>3.2.5.</w:t>
      </w:r>
      <w:r>
        <w:rPr>
          <w:rFonts w:hint="eastAsia"/>
          <w:color w:val="000000"/>
        </w:rPr>
        <w:t>8</w:t>
      </w:r>
      <w:r>
        <w:rPr>
          <w:color w:val="000000"/>
        </w:rPr>
        <w:t xml:space="preserve"> </w:t>
      </w:r>
      <w:r>
        <w:rPr>
          <w:rFonts w:hint="eastAsia"/>
          <w:color w:val="000000"/>
        </w:rPr>
        <w:t xml:space="preserve"> </w:t>
      </w:r>
      <w:r>
        <w:rPr>
          <w:color w:val="000000"/>
        </w:rPr>
        <w:t>生态公益林影响</w:t>
      </w:r>
    </w:p>
    <w:p>
      <w:pPr>
        <w:adjustRightInd w:val="0"/>
        <w:spacing w:line="480" w:lineRule="exact"/>
        <w:ind w:firstLine="496" w:firstLineChars="200"/>
        <w:rPr>
          <w:rFonts w:hAnsi="宋体"/>
          <w:snapToGrid w:val="0"/>
          <w:color w:val="000000"/>
          <w:spacing w:val="4"/>
          <w:kern w:val="0"/>
          <w:sz w:val="24"/>
          <w:szCs w:val="24"/>
        </w:rPr>
      </w:pPr>
      <w:r>
        <w:rPr>
          <w:rFonts w:hAnsi="宋体"/>
          <w:snapToGrid w:val="0"/>
          <w:color w:val="000000"/>
          <w:spacing w:val="4"/>
          <w:kern w:val="0"/>
          <w:sz w:val="24"/>
          <w:szCs w:val="24"/>
        </w:rPr>
        <w:t>根据</w:t>
      </w:r>
      <w:r>
        <w:rPr>
          <w:rFonts w:hint="eastAsia" w:hAnsi="宋体"/>
          <w:snapToGrid w:val="0"/>
          <w:color w:val="000000"/>
          <w:spacing w:val="4"/>
          <w:kern w:val="0"/>
          <w:sz w:val="24"/>
          <w:szCs w:val="24"/>
        </w:rPr>
        <w:t>陆河</w:t>
      </w:r>
      <w:r>
        <w:rPr>
          <w:rFonts w:hAnsi="宋体"/>
          <w:snapToGrid w:val="0"/>
          <w:color w:val="000000"/>
          <w:spacing w:val="4"/>
          <w:kern w:val="0"/>
          <w:sz w:val="24"/>
          <w:szCs w:val="24"/>
        </w:rPr>
        <w:t>县林业局提供的</w:t>
      </w:r>
      <w:r>
        <w:rPr>
          <w:rFonts w:hint="eastAsia" w:hAnsi="宋体"/>
          <w:snapToGrid w:val="0"/>
          <w:color w:val="000000"/>
          <w:spacing w:val="4"/>
          <w:kern w:val="0"/>
          <w:sz w:val="24"/>
          <w:szCs w:val="24"/>
        </w:rPr>
        <w:t>陆河</w:t>
      </w:r>
      <w:r>
        <w:rPr>
          <w:rFonts w:hAnsi="宋体"/>
          <w:snapToGrid w:val="0"/>
          <w:color w:val="000000"/>
          <w:spacing w:val="4"/>
          <w:kern w:val="0"/>
          <w:sz w:val="24"/>
          <w:szCs w:val="24"/>
        </w:rPr>
        <w:t>县林地一张图查询，本项目建设征地共涉及省级公益林</w:t>
      </w:r>
      <w:r>
        <w:rPr>
          <w:snapToGrid w:val="0"/>
          <w:color w:val="000000"/>
          <w:spacing w:val="4"/>
          <w:kern w:val="0"/>
          <w:sz w:val="24"/>
          <w:szCs w:val="24"/>
        </w:rPr>
        <w:t>2813.92</w:t>
      </w:r>
      <w:r>
        <w:rPr>
          <w:rFonts w:hAnsi="宋体"/>
          <w:snapToGrid w:val="0"/>
          <w:color w:val="000000"/>
          <w:spacing w:val="4"/>
          <w:kern w:val="0"/>
          <w:sz w:val="24"/>
          <w:szCs w:val="24"/>
        </w:rPr>
        <w:t>亩，其中永久占用2195.73亩，临时占用618.19亩，</w:t>
      </w:r>
      <w:r>
        <w:rPr>
          <w:sz w:val="24"/>
          <w:szCs w:val="24"/>
        </w:rPr>
        <w:t>无Ⅰ、Ⅱ级保护林地。</w:t>
      </w:r>
      <w:r>
        <w:rPr>
          <w:rFonts w:hAnsi="宋体"/>
          <w:snapToGrid w:val="0"/>
          <w:color w:val="000000"/>
          <w:spacing w:val="4"/>
          <w:kern w:val="0"/>
          <w:sz w:val="24"/>
          <w:szCs w:val="24"/>
        </w:rPr>
        <w:t>详细指标详见表</w:t>
      </w:r>
      <w:r>
        <w:rPr>
          <w:snapToGrid w:val="0"/>
          <w:color w:val="000000"/>
          <w:spacing w:val="4"/>
          <w:kern w:val="0"/>
          <w:sz w:val="24"/>
          <w:szCs w:val="24"/>
        </w:rPr>
        <w:t>3.2</w:t>
      </w:r>
      <w:r>
        <w:rPr>
          <w:rFonts w:hint="eastAsia"/>
          <w:snapToGrid w:val="0"/>
          <w:color w:val="000000"/>
          <w:spacing w:val="4"/>
          <w:kern w:val="0"/>
          <w:sz w:val="24"/>
          <w:szCs w:val="24"/>
        </w:rPr>
        <w:t>.5</w:t>
      </w:r>
      <w:r>
        <w:rPr>
          <w:snapToGrid w:val="0"/>
          <w:color w:val="000000"/>
          <w:spacing w:val="4"/>
          <w:kern w:val="0"/>
          <w:sz w:val="24"/>
          <w:szCs w:val="24"/>
        </w:rPr>
        <w:t>-</w:t>
      </w:r>
      <w:r>
        <w:rPr>
          <w:rFonts w:hint="eastAsia"/>
          <w:snapToGrid w:val="0"/>
          <w:color w:val="000000"/>
          <w:spacing w:val="4"/>
          <w:kern w:val="0"/>
          <w:sz w:val="24"/>
          <w:szCs w:val="24"/>
        </w:rPr>
        <w:t>6</w:t>
      </w:r>
      <w:r>
        <w:rPr>
          <w:rFonts w:hAnsi="宋体"/>
          <w:snapToGrid w:val="0"/>
          <w:color w:val="000000"/>
          <w:spacing w:val="4"/>
          <w:kern w:val="0"/>
          <w:sz w:val="24"/>
          <w:szCs w:val="24"/>
        </w:rPr>
        <w:t>。</w:t>
      </w:r>
    </w:p>
    <w:p>
      <w:pPr>
        <w:pStyle w:val="517"/>
        <w:rPr>
          <w:color w:val="000000"/>
        </w:rPr>
      </w:pPr>
      <w:r>
        <w:rPr>
          <w:color w:val="000000"/>
        </w:rPr>
        <w:t>表3.2</w:t>
      </w:r>
      <w:r>
        <w:rPr>
          <w:rFonts w:hint="eastAsia"/>
          <w:color w:val="000000"/>
        </w:rPr>
        <w:t>.5</w:t>
      </w:r>
      <w:r>
        <w:rPr>
          <w:color w:val="000000"/>
        </w:rPr>
        <w:t>-</w:t>
      </w:r>
      <w:r>
        <w:rPr>
          <w:rFonts w:hint="eastAsia"/>
          <w:color w:val="000000"/>
        </w:rPr>
        <w:t>6</w:t>
      </w:r>
      <w:r>
        <w:rPr>
          <w:color w:val="000000"/>
        </w:rPr>
        <w:t xml:space="preserve">  </w:t>
      </w:r>
      <w:r>
        <w:rPr>
          <w:rFonts w:hint="eastAsia"/>
          <w:color w:val="000000"/>
        </w:rPr>
        <w:t>陆河</w:t>
      </w:r>
      <w:r>
        <w:rPr>
          <w:color w:val="000000"/>
        </w:rPr>
        <w:t>抽水蓄能电站建设征地影响生态公益林指标汇总表</w:t>
      </w:r>
    </w:p>
    <w:tbl>
      <w:tblPr>
        <w:tblStyle w:val="79"/>
        <w:tblW w:w="88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
        <w:gridCol w:w="911"/>
        <w:gridCol w:w="1086"/>
        <w:gridCol w:w="946"/>
        <w:gridCol w:w="1086"/>
        <w:gridCol w:w="1086"/>
        <w:gridCol w:w="916"/>
        <w:gridCol w:w="927"/>
        <w:gridCol w:w="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27" w:type="dxa"/>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序号</w:t>
            </w:r>
          </w:p>
        </w:tc>
        <w:tc>
          <w:tcPr>
            <w:tcW w:w="911"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公益林类别</w:t>
            </w:r>
          </w:p>
        </w:tc>
        <w:tc>
          <w:tcPr>
            <w:tcW w:w="1086"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林地种类</w:t>
            </w:r>
          </w:p>
        </w:tc>
        <w:tc>
          <w:tcPr>
            <w:tcW w:w="3118" w:type="dxa"/>
            <w:gridSpan w:val="3"/>
            <w:noWrap/>
            <w:vAlign w:val="center"/>
          </w:tcPr>
          <w:p>
            <w:pPr>
              <w:widowControl/>
              <w:adjustRightInd w:val="0"/>
              <w:snapToGrid w:val="0"/>
              <w:jc w:val="center"/>
              <w:rPr>
                <w:rFonts w:cs="Times New Roman"/>
                <w:color w:val="000000"/>
                <w:kern w:val="0"/>
              </w:rPr>
            </w:pPr>
            <w:r>
              <w:rPr>
                <w:rFonts w:hAnsi="宋体" w:cs="Times New Roman"/>
                <w:color w:val="000000"/>
                <w:kern w:val="0"/>
              </w:rPr>
              <w:t>合计</w:t>
            </w:r>
          </w:p>
        </w:tc>
        <w:tc>
          <w:tcPr>
            <w:tcW w:w="916"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水库淹没区</w:t>
            </w:r>
          </w:p>
        </w:tc>
        <w:tc>
          <w:tcPr>
            <w:tcW w:w="1854" w:type="dxa"/>
            <w:gridSpan w:val="2"/>
            <w:noWrap/>
            <w:vAlign w:val="center"/>
          </w:tcPr>
          <w:p>
            <w:pPr>
              <w:widowControl/>
              <w:adjustRightInd w:val="0"/>
              <w:snapToGrid w:val="0"/>
              <w:jc w:val="center"/>
              <w:rPr>
                <w:rFonts w:cs="Times New Roman"/>
                <w:color w:val="000000"/>
                <w:kern w:val="0"/>
              </w:rPr>
            </w:pPr>
            <w:r>
              <w:rPr>
                <w:rFonts w:hAnsi="宋体" w:cs="Times New Roman"/>
                <w:color w:val="000000"/>
                <w:kern w:val="0"/>
              </w:rPr>
              <w:t>枢纽工程建设区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27" w:type="dxa"/>
            <w:vMerge w:val="continue"/>
            <w:vAlign w:val="center"/>
          </w:tcPr>
          <w:p>
            <w:pPr>
              <w:widowControl/>
              <w:adjustRightInd w:val="0"/>
              <w:snapToGrid w:val="0"/>
              <w:jc w:val="left"/>
              <w:rPr>
                <w:rFonts w:cs="Times New Roman"/>
                <w:color w:val="000000"/>
                <w:kern w:val="0"/>
              </w:rPr>
            </w:pPr>
          </w:p>
        </w:tc>
        <w:tc>
          <w:tcPr>
            <w:tcW w:w="911" w:type="dxa"/>
            <w:vMerge w:val="continue"/>
            <w:vAlign w:val="center"/>
          </w:tcPr>
          <w:p>
            <w:pPr>
              <w:widowControl/>
              <w:adjustRightInd w:val="0"/>
              <w:snapToGrid w:val="0"/>
              <w:jc w:val="left"/>
              <w:rPr>
                <w:rFonts w:cs="Times New Roman"/>
                <w:color w:val="000000"/>
                <w:kern w:val="0"/>
              </w:rPr>
            </w:pPr>
          </w:p>
        </w:tc>
        <w:tc>
          <w:tcPr>
            <w:tcW w:w="1086" w:type="dxa"/>
            <w:vMerge w:val="continue"/>
            <w:vAlign w:val="center"/>
          </w:tcPr>
          <w:p>
            <w:pPr>
              <w:widowControl/>
              <w:adjustRightInd w:val="0"/>
              <w:snapToGrid w:val="0"/>
              <w:jc w:val="left"/>
              <w:rPr>
                <w:rFonts w:cs="Times New Roman"/>
                <w:color w:val="000000"/>
                <w:kern w:val="0"/>
              </w:rPr>
            </w:pPr>
          </w:p>
        </w:tc>
        <w:tc>
          <w:tcPr>
            <w:tcW w:w="946" w:type="dxa"/>
            <w:vMerge w:val="restart"/>
            <w:vAlign w:val="center"/>
          </w:tcPr>
          <w:p>
            <w:pPr>
              <w:widowControl/>
              <w:adjustRightInd w:val="0"/>
              <w:snapToGrid w:val="0"/>
              <w:jc w:val="center"/>
              <w:rPr>
                <w:rFonts w:cs="Times New Roman"/>
                <w:color w:val="000000"/>
                <w:kern w:val="0"/>
              </w:rPr>
            </w:pPr>
            <w:r>
              <w:rPr>
                <w:rFonts w:hAnsi="宋体" w:cs="Times New Roman"/>
                <w:color w:val="000000"/>
                <w:kern w:val="0"/>
              </w:rPr>
              <w:t>总计</w:t>
            </w:r>
          </w:p>
        </w:tc>
        <w:tc>
          <w:tcPr>
            <w:tcW w:w="1086" w:type="dxa"/>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永久占地</w:t>
            </w:r>
          </w:p>
        </w:tc>
        <w:tc>
          <w:tcPr>
            <w:tcW w:w="1086" w:type="dxa"/>
            <w:vMerge w:val="restart"/>
            <w:noWrap/>
            <w:vAlign w:val="center"/>
          </w:tcPr>
          <w:p>
            <w:pPr>
              <w:widowControl/>
              <w:adjustRightInd w:val="0"/>
              <w:snapToGrid w:val="0"/>
              <w:jc w:val="center"/>
              <w:rPr>
                <w:rFonts w:cs="Times New Roman"/>
                <w:color w:val="000000"/>
                <w:kern w:val="0"/>
              </w:rPr>
            </w:pPr>
            <w:r>
              <w:rPr>
                <w:rFonts w:hAnsi="宋体" w:cs="Times New Roman"/>
                <w:color w:val="000000"/>
                <w:kern w:val="0"/>
              </w:rPr>
              <w:t>临时用地</w:t>
            </w:r>
          </w:p>
        </w:tc>
        <w:tc>
          <w:tcPr>
            <w:tcW w:w="916" w:type="dxa"/>
            <w:vMerge w:val="continue"/>
            <w:vAlign w:val="center"/>
          </w:tcPr>
          <w:p>
            <w:pPr>
              <w:widowControl/>
              <w:adjustRightInd w:val="0"/>
              <w:snapToGrid w:val="0"/>
              <w:jc w:val="left"/>
              <w:rPr>
                <w:rFonts w:cs="Times New Roman"/>
                <w:color w:val="000000"/>
                <w:kern w:val="0"/>
              </w:rPr>
            </w:pPr>
          </w:p>
        </w:tc>
        <w:tc>
          <w:tcPr>
            <w:tcW w:w="927" w:type="dxa"/>
            <w:vMerge w:val="restart"/>
            <w:vAlign w:val="center"/>
          </w:tcPr>
          <w:p>
            <w:pPr>
              <w:widowControl/>
              <w:adjustRightInd w:val="0"/>
              <w:snapToGrid w:val="0"/>
              <w:jc w:val="center"/>
              <w:rPr>
                <w:rFonts w:hAnsi="宋体" w:cs="Times New Roman"/>
                <w:color w:val="000000"/>
                <w:kern w:val="0"/>
              </w:rPr>
            </w:pPr>
            <w:r>
              <w:rPr>
                <w:rFonts w:hAnsi="宋体" w:cs="Times New Roman"/>
                <w:color w:val="000000"/>
                <w:kern w:val="0"/>
              </w:rPr>
              <w:t>永久</w:t>
            </w:r>
          </w:p>
          <w:p>
            <w:pPr>
              <w:widowControl/>
              <w:adjustRightInd w:val="0"/>
              <w:snapToGrid w:val="0"/>
              <w:jc w:val="center"/>
              <w:rPr>
                <w:rFonts w:cs="Times New Roman"/>
                <w:color w:val="000000"/>
                <w:kern w:val="0"/>
              </w:rPr>
            </w:pPr>
            <w:r>
              <w:rPr>
                <w:rFonts w:hAnsi="宋体" w:cs="Times New Roman"/>
                <w:color w:val="000000"/>
                <w:kern w:val="0"/>
              </w:rPr>
              <w:t>占地</w:t>
            </w:r>
          </w:p>
        </w:tc>
        <w:tc>
          <w:tcPr>
            <w:tcW w:w="927" w:type="dxa"/>
            <w:vMerge w:val="restart"/>
            <w:vAlign w:val="center"/>
          </w:tcPr>
          <w:p>
            <w:pPr>
              <w:widowControl/>
              <w:adjustRightInd w:val="0"/>
              <w:snapToGrid w:val="0"/>
              <w:jc w:val="center"/>
              <w:rPr>
                <w:rFonts w:hAnsi="宋体" w:cs="Times New Roman"/>
                <w:color w:val="000000"/>
                <w:kern w:val="0"/>
              </w:rPr>
            </w:pPr>
            <w:r>
              <w:rPr>
                <w:rFonts w:hAnsi="宋体" w:cs="Times New Roman"/>
                <w:color w:val="000000"/>
                <w:kern w:val="0"/>
              </w:rPr>
              <w:t>临时</w:t>
            </w:r>
          </w:p>
          <w:p>
            <w:pPr>
              <w:widowControl/>
              <w:adjustRightInd w:val="0"/>
              <w:snapToGrid w:val="0"/>
              <w:jc w:val="center"/>
              <w:rPr>
                <w:rFonts w:cs="Times New Roman"/>
                <w:color w:val="000000"/>
                <w:kern w:val="0"/>
              </w:rPr>
            </w:pPr>
            <w:r>
              <w:rPr>
                <w:rFonts w:hAnsi="宋体" w:cs="Times New Roman"/>
                <w:color w:val="000000"/>
                <w:kern w:val="0"/>
              </w:rPr>
              <w:t>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27" w:type="dxa"/>
            <w:vMerge w:val="continue"/>
            <w:vAlign w:val="center"/>
          </w:tcPr>
          <w:p>
            <w:pPr>
              <w:widowControl/>
              <w:adjustRightInd w:val="0"/>
              <w:snapToGrid w:val="0"/>
              <w:jc w:val="left"/>
              <w:rPr>
                <w:rFonts w:cs="Times New Roman"/>
                <w:color w:val="000000"/>
                <w:kern w:val="0"/>
              </w:rPr>
            </w:pPr>
          </w:p>
        </w:tc>
        <w:tc>
          <w:tcPr>
            <w:tcW w:w="911" w:type="dxa"/>
            <w:vMerge w:val="continue"/>
            <w:vAlign w:val="center"/>
          </w:tcPr>
          <w:p>
            <w:pPr>
              <w:widowControl/>
              <w:adjustRightInd w:val="0"/>
              <w:snapToGrid w:val="0"/>
              <w:jc w:val="left"/>
              <w:rPr>
                <w:rFonts w:cs="Times New Roman"/>
                <w:color w:val="000000"/>
                <w:kern w:val="0"/>
              </w:rPr>
            </w:pPr>
          </w:p>
        </w:tc>
        <w:tc>
          <w:tcPr>
            <w:tcW w:w="1086" w:type="dxa"/>
            <w:vMerge w:val="continue"/>
            <w:vAlign w:val="center"/>
          </w:tcPr>
          <w:p>
            <w:pPr>
              <w:widowControl/>
              <w:adjustRightInd w:val="0"/>
              <w:snapToGrid w:val="0"/>
              <w:jc w:val="left"/>
              <w:rPr>
                <w:rFonts w:cs="Times New Roman"/>
                <w:color w:val="000000"/>
                <w:kern w:val="0"/>
              </w:rPr>
            </w:pPr>
          </w:p>
        </w:tc>
        <w:tc>
          <w:tcPr>
            <w:tcW w:w="946" w:type="dxa"/>
            <w:vMerge w:val="continue"/>
            <w:vAlign w:val="center"/>
          </w:tcPr>
          <w:p>
            <w:pPr>
              <w:widowControl/>
              <w:adjustRightInd w:val="0"/>
              <w:snapToGrid w:val="0"/>
              <w:jc w:val="left"/>
              <w:rPr>
                <w:rFonts w:cs="Times New Roman"/>
                <w:color w:val="000000"/>
                <w:kern w:val="0"/>
              </w:rPr>
            </w:pPr>
          </w:p>
        </w:tc>
        <w:tc>
          <w:tcPr>
            <w:tcW w:w="1086" w:type="dxa"/>
            <w:vMerge w:val="continue"/>
            <w:vAlign w:val="center"/>
          </w:tcPr>
          <w:p>
            <w:pPr>
              <w:widowControl/>
              <w:adjustRightInd w:val="0"/>
              <w:snapToGrid w:val="0"/>
              <w:jc w:val="left"/>
              <w:rPr>
                <w:rFonts w:cs="Times New Roman"/>
                <w:color w:val="000000"/>
                <w:kern w:val="0"/>
              </w:rPr>
            </w:pPr>
          </w:p>
        </w:tc>
        <w:tc>
          <w:tcPr>
            <w:tcW w:w="1086" w:type="dxa"/>
            <w:vMerge w:val="continue"/>
            <w:vAlign w:val="center"/>
          </w:tcPr>
          <w:p>
            <w:pPr>
              <w:widowControl/>
              <w:adjustRightInd w:val="0"/>
              <w:snapToGrid w:val="0"/>
              <w:jc w:val="left"/>
              <w:rPr>
                <w:rFonts w:cs="Times New Roman"/>
                <w:color w:val="000000"/>
                <w:kern w:val="0"/>
              </w:rPr>
            </w:pPr>
          </w:p>
        </w:tc>
        <w:tc>
          <w:tcPr>
            <w:tcW w:w="916" w:type="dxa"/>
            <w:vMerge w:val="continue"/>
            <w:vAlign w:val="center"/>
          </w:tcPr>
          <w:p>
            <w:pPr>
              <w:widowControl/>
              <w:adjustRightInd w:val="0"/>
              <w:snapToGrid w:val="0"/>
              <w:jc w:val="left"/>
              <w:rPr>
                <w:rFonts w:cs="Times New Roman"/>
                <w:color w:val="000000"/>
                <w:kern w:val="0"/>
              </w:rPr>
            </w:pPr>
          </w:p>
        </w:tc>
        <w:tc>
          <w:tcPr>
            <w:tcW w:w="927" w:type="dxa"/>
            <w:vMerge w:val="continue"/>
            <w:vAlign w:val="center"/>
          </w:tcPr>
          <w:p>
            <w:pPr>
              <w:widowControl/>
              <w:adjustRightInd w:val="0"/>
              <w:snapToGrid w:val="0"/>
              <w:jc w:val="left"/>
              <w:rPr>
                <w:rFonts w:cs="Times New Roman"/>
                <w:color w:val="000000"/>
                <w:kern w:val="0"/>
              </w:rPr>
            </w:pPr>
          </w:p>
        </w:tc>
        <w:tc>
          <w:tcPr>
            <w:tcW w:w="927" w:type="dxa"/>
            <w:vMerge w:val="continue"/>
            <w:vAlign w:val="center"/>
          </w:tcPr>
          <w:p>
            <w:pPr>
              <w:widowControl/>
              <w:adjustRightInd w:val="0"/>
              <w:snapToGrid w:val="0"/>
              <w:jc w:val="left"/>
              <w:rPr>
                <w:rFonts w:cs="Times New Roman"/>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27" w:type="dxa"/>
            <w:noWrap/>
            <w:vAlign w:val="center"/>
          </w:tcPr>
          <w:p>
            <w:pPr>
              <w:widowControl/>
              <w:adjustRightInd w:val="0"/>
              <w:snapToGrid w:val="0"/>
              <w:jc w:val="center"/>
              <w:rPr>
                <w:rFonts w:cs="Times New Roman"/>
                <w:color w:val="000000"/>
                <w:kern w:val="0"/>
              </w:rPr>
            </w:pPr>
            <w:r>
              <w:rPr>
                <w:rFonts w:cs="Times New Roman"/>
                <w:color w:val="000000"/>
                <w:kern w:val="0"/>
              </w:rPr>
              <w:t>1</w:t>
            </w:r>
          </w:p>
        </w:tc>
        <w:tc>
          <w:tcPr>
            <w:tcW w:w="911" w:type="dxa"/>
            <w:noWrap/>
            <w:vAlign w:val="center"/>
          </w:tcPr>
          <w:p>
            <w:pPr>
              <w:widowControl/>
              <w:adjustRightInd w:val="0"/>
              <w:snapToGrid w:val="0"/>
              <w:jc w:val="center"/>
              <w:rPr>
                <w:rFonts w:cs="Times New Roman"/>
                <w:color w:val="000000"/>
                <w:kern w:val="0"/>
              </w:rPr>
            </w:pPr>
            <w:r>
              <w:rPr>
                <w:rFonts w:hAnsi="宋体" w:cs="Times New Roman"/>
                <w:color w:val="000000"/>
                <w:kern w:val="0"/>
              </w:rPr>
              <w:t>省级</w:t>
            </w:r>
          </w:p>
        </w:tc>
        <w:tc>
          <w:tcPr>
            <w:tcW w:w="1086" w:type="dxa"/>
            <w:noWrap/>
            <w:vAlign w:val="center"/>
          </w:tcPr>
          <w:p>
            <w:pPr>
              <w:widowControl/>
              <w:adjustRightInd w:val="0"/>
              <w:snapToGrid w:val="0"/>
              <w:jc w:val="center"/>
              <w:rPr>
                <w:rFonts w:cs="Times New Roman"/>
                <w:color w:val="000000"/>
                <w:kern w:val="0"/>
              </w:rPr>
            </w:pPr>
            <w:r>
              <w:rPr>
                <w:rFonts w:hAnsi="宋体" w:cs="Times New Roman"/>
                <w:color w:val="000000"/>
                <w:kern w:val="0"/>
              </w:rPr>
              <w:t>乔木林地</w:t>
            </w:r>
          </w:p>
        </w:tc>
        <w:tc>
          <w:tcPr>
            <w:tcW w:w="946" w:type="dxa"/>
            <w:noWrap/>
            <w:vAlign w:val="center"/>
          </w:tcPr>
          <w:p>
            <w:pPr>
              <w:widowControl/>
              <w:adjustRightInd w:val="0"/>
              <w:snapToGrid w:val="0"/>
              <w:jc w:val="center"/>
              <w:rPr>
                <w:rFonts w:cs="Times New Roman"/>
                <w:color w:val="000000"/>
                <w:kern w:val="0"/>
              </w:rPr>
            </w:pPr>
            <w:r>
              <w:rPr>
                <w:rFonts w:cs="Times New Roman"/>
                <w:color w:val="000000"/>
                <w:kern w:val="0"/>
              </w:rPr>
              <w:t>2813.92</w:t>
            </w:r>
          </w:p>
        </w:tc>
        <w:tc>
          <w:tcPr>
            <w:tcW w:w="1086" w:type="dxa"/>
            <w:noWrap/>
            <w:vAlign w:val="center"/>
          </w:tcPr>
          <w:p>
            <w:pPr>
              <w:widowControl/>
              <w:adjustRightInd w:val="0"/>
              <w:snapToGrid w:val="0"/>
              <w:jc w:val="center"/>
              <w:rPr>
                <w:rFonts w:cs="Times New Roman"/>
                <w:color w:val="000000"/>
                <w:kern w:val="0"/>
              </w:rPr>
            </w:pPr>
            <w:r>
              <w:rPr>
                <w:rFonts w:cs="Times New Roman"/>
                <w:color w:val="000000"/>
                <w:kern w:val="0"/>
              </w:rPr>
              <w:t>2195.73</w:t>
            </w:r>
          </w:p>
        </w:tc>
        <w:tc>
          <w:tcPr>
            <w:tcW w:w="1086" w:type="dxa"/>
            <w:noWrap/>
            <w:vAlign w:val="center"/>
          </w:tcPr>
          <w:p>
            <w:pPr>
              <w:widowControl/>
              <w:adjustRightInd w:val="0"/>
              <w:snapToGrid w:val="0"/>
              <w:jc w:val="center"/>
              <w:rPr>
                <w:rFonts w:cs="Times New Roman"/>
                <w:color w:val="000000"/>
                <w:kern w:val="0"/>
              </w:rPr>
            </w:pPr>
            <w:r>
              <w:rPr>
                <w:rFonts w:cs="Times New Roman"/>
                <w:color w:val="000000"/>
                <w:kern w:val="0"/>
              </w:rPr>
              <w:t>618.19</w:t>
            </w:r>
          </w:p>
        </w:tc>
        <w:tc>
          <w:tcPr>
            <w:tcW w:w="916" w:type="dxa"/>
            <w:noWrap/>
            <w:vAlign w:val="center"/>
          </w:tcPr>
          <w:p>
            <w:pPr>
              <w:widowControl/>
              <w:adjustRightInd w:val="0"/>
              <w:snapToGrid w:val="0"/>
              <w:jc w:val="center"/>
              <w:rPr>
                <w:rFonts w:cs="Times New Roman"/>
                <w:color w:val="000000"/>
                <w:kern w:val="0"/>
              </w:rPr>
            </w:pPr>
            <w:r>
              <w:rPr>
                <w:rFonts w:cs="Times New Roman"/>
                <w:color w:val="000000"/>
                <w:kern w:val="0"/>
              </w:rPr>
              <w:t>596.70</w:t>
            </w:r>
          </w:p>
        </w:tc>
        <w:tc>
          <w:tcPr>
            <w:tcW w:w="927" w:type="dxa"/>
            <w:noWrap/>
            <w:vAlign w:val="center"/>
          </w:tcPr>
          <w:p>
            <w:pPr>
              <w:widowControl/>
              <w:adjustRightInd w:val="0"/>
              <w:snapToGrid w:val="0"/>
              <w:jc w:val="center"/>
              <w:rPr>
                <w:rFonts w:cs="Times New Roman"/>
                <w:color w:val="000000"/>
                <w:kern w:val="0"/>
              </w:rPr>
            </w:pPr>
            <w:r>
              <w:rPr>
                <w:rFonts w:cs="Times New Roman"/>
                <w:color w:val="000000"/>
                <w:kern w:val="0"/>
              </w:rPr>
              <w:t>1599.03</w:t>
            </w:r>
          </w:p>
        </w:tc>
        <w:tc>
          <w:tcPr>
            <w:tcW w:w="927" w:type="dxa"/>
            <w:noWrap/>
            <w:vAlign w:val="center"/>
          </w:tcPr>
          <w:p>
            <w:pPr>
              <w:widowControl/>
              <w:adjustRightInd w:val="0"/>
              <w:snapToGrid w:val="0"/>
              <w:jc w:val="center"/>
              <w:rPr>
                <w:rFonts w:cs="Times New Roman"/>
                <w:color w:val="000000"/>
                <w:kern w:val="0"/>
              </w:rPr>
            </w:pPr>
            <w:r>
              <w:rPr>
                <w:rFonts w:cs="Times New Roman"/>
                <w:color w:val="000000"/>
                <w:kern w:val="0"/>
              </w:rPr>
              <w:t>618.19</w:t>
            </w:r>
          </w:p>
        </w:tc>
      </w:tr>
    </w:tbl>
    <w:p>
      <w:pPr>
        <w:pStyle w:val="4"/>
        <w:rPr>
          <w:color w:val="000000"/>
        </w:rPr>
      </w:pPr>
      <w:bookmarkStart w:id="108" w:name="_Toc85660210"/>
      <w:bookmarkStart w:id="109" w:name="_Toc85632442"/>
      <w:bookmarkStart w:id="110" w:name="_Toc85487687"/>
      <w:r>
        <w:rPr>
          <w:color w:val="000000"/>
        </w:rPr>
        <w:t>3.2.6  建设征地影响分析</w:t>
      </w:r>
      <w:bookmarkEnd w:id="108"/>
      <w:bookmarkEnd w:id="109"/>
      <w:bookmarkEnd w:id="110"/>
    </w:p>
    <w:p>
      <w:pPr>
        <w:overflowPunct w:val="0"/>
        <w:autoSpaceDE w:val="0"/>
        <w:autoSpaceDN w:val="0"/>
        <w:adjustRightInd w:val="0"/>
        <w:spacing w:line="480" w:lineRule="exact"/>
        <w:ind w:firstLine="480" w:firstLineChars="200"/>
        <w:rPr>
          <w:color w:val="000000"/>
          <w:kern w:val="0"/>
          <w:sz w:val="24"/>
        </w:rPr>
      </w:pPr>
      <w:r>
        <w:rPr>
          <w:rFonts w:hAnsi="宋体"/>
          <w:color w:val="000000"/>
          <w:kern w:val="0"/>
          <w:sz w:val="24"/>
        </w:rPr>
        <w:t>根据实物指标调查结果，</w:t>
      </w:r>
      <w:r>
        <w:rPr>
          <w:rFonts w:hint="eastAsia" w:hAnsi="宋体"/>
          <w:color w:val="000000"/>
          <w:kern w:val="0"/>
          <w:sz w:val="24"/>
        </w:rPr>
        <w:t>陆河</w:t>
      </w:r>
      <w:r>
        <w:rPr>
          <w:rFonts w:hAnsi="宋体"/>
          <w:color w:val="000000"/>
          <w:kern w:val="0"/>
          <w:sz w:val="24"/>
        </w:rPr>
        <w:t>抽水蓄能电站建设征地对区域影响主要体现在以下几个方面：</w:t>
      </w:r>
    </w:p>
    <w:p>
      <w:pPr>
        <w:pStyle w:val="839"/>
        <w:numPr>
          <w:ilvl w:val="0"/>
          <w:numId w:val="6"/>
        </w:numPr>
        <w:overflowPunct w:val="0"/>
        <w:autoSpaceDE w:val="0"/>
        <w:autoSpaceDN w:val="0"/>
        <w:spacing w:line="480" w:lineRule="exact"/>
        <w:ind w:left="0" w:firstLine="482" w:firstLineChars="0"/>
        <w:textAlignment w:val="auto"/>
        <w:rPr>
          <w:rFonts w:ascii="Times New Roman"/>
          <w:color w:val="000000"/>
          <w:kern w:val="2"/>
          <w:szCs w:val="24"/>
        </w:rPr>
      </w:pPr>
      <w:r>
        <w:rPr>
          <w:rFonts w:ascii="Times New Roman" w:hAnsi="宋体"/>
          <w:color w:val="000000"/>
          <w:kern w:val="2"/>
          <w:szCs w:val="24"/>
        </w:rPr>
        <w:t>对农业生产的影响</w:t>
      </w:r>
    </w:p>
    <w:p>
      <w:pPr>
        <w:overflowPunct w:val="0"/>
        <w:autoSpaceDE w:val="0"/>
        <w:autoSpaceDN w:val="0"/>
        <w:adjustRightInd w:val="0"/>
        <w:spacing w:line="480" w:lineRule="exact"/>
        <w:ind w:firstLine="480" w:firstLineChars="200"/>
        <w:rPr>
          <w:rFonts w:hAnsi="宋体"/>
          <w:sz w:val="24"/>
        </w:rPr>
      </w:pPr>
      <w:r>
        <w:rPr>
          <w:rFonts w:hint="eastAsia" w:hAnsi="宋体"/>
          <w:sz w:val="24"/>
        </w:rPr>
        <w:t>建设征地永久征收耕地面积</w:t>
      </w:r>
      <w:r>
        <w:rPr>
          <w:rFonts w:hAnsi="宋体"/>
          <w:sz w:val="24"/>
        </w:rPr>
        <w:t>500.63</w:t>
      </w:r>
      <w:r>
        <w:rPr>
          <w:rFonts w:hint="eastAsia" w:hAnsi="宋体"/>
          <w:sz w:val="24"/>
        </w:rPr>
        <w:t>亩，其中水田</w:t>
      </w:r>
      <w:r>
        <w:rPr>
          <w:rFonts w:hAnsi="宋体"/>
          <w:sz w:val="24"/>
        </w:rPr>
        <w:t>349.75</w:t>
      </w:r>
      <w:r>
        <w:rPr>
          <w:rFonts w:hint="eastAsia" w:hAnsi="宋体"/>
          <w:sz w:val="24"/>
        </w:rPr>
        <w:t>亩、旱地</w:t>
      </w:r>
      <w:r>
        <w:rPr>
          <w:rFonts w:hAnsi="宋体"/>
          <w:sz w:val="24"/>
        </w:rPr>
        <w:t>150.89</w:t>
      </w:r>
      <w:r>
        <w:rPr>
          <w:rFonts w:hint="eastAsia" w:hAnsi="宋体"/>
          <w:sz w:val="24"/>
        </w:rPr>
        <w:t>亩。耕地征收面积占该相应村民小组耕地面积的比例平均值为</w:t>
      </w:r>
      <w:r>
        <w:rPr>
          <w:rFonts w:hAnsi="宋体"/>
          <w:sz w:val="24"/>
        </w:rPr>
        <w:t>32.62%</w:t>
      </w:r>
      <w:r>
        <w:rPr>
          <w:rFonts w:hint="eastAsia" w:hAnsi="宋体"/>
          <w:sz w:val="24"/>
        </w:rPr>
        <w:t>。生产安置所涉及的3个组中，由于建设征地影响的耕地占原耕地比例在10%以下的有1个组，</w:t>
      </w:r>
      <w:r>
        <w:rPr>
          <w:rFonts w:hAnsi="宋体"/>
          <w:sz w:val="24"/>
        </w:rPr>
        <w:t>2</w:t>
      </w:r>
      <w:r>
        <w:rPr>
          <w:rFonts w:hint="eastAsia" w:hAnsi="宋体"/>
          <w:sz w:val="24"/>
        </w:rPr>
        <w:t>0%~</w:t>
      </w:r>
      <w:r>
        <w:rPr>
          <w:rFonts w:hAnsi="宋体"/>
          <w:sz w:val="24"/>
        </w:rPr>
        <w:t>3</w:t>
      </w:r>
      <w:r>
        <w:rPr>
          <w:rFonts w:hint="eastAsia" w:hAnsi="宋体"/>
          <w:sz w:val="24"/>
        </w:rPr>
        <w:t>0%之间的有1个组，</w:t>
      </w:r>
      <w:r>
        <w:rPr>
          <w:rFonts w:hAnsi="宋体"/>
          <w:sz w:val="24"/>
        </w:rPr>
        <w:t>6</w:t>
      </w:r>
      <w:r>
        <w:rPr>
          <w:rFonts w:hint="eastAsia" w:hAnsi="宋体"/>
          <w:sz w:val="24"/>
        </w:rPr>
        <w:t>0%~</w:t>
      </w:r>
      <w:r>
        <w:rPr>
          <w:rFonts w:hAnsi="宋体"/>
          <w:sz w:val="24"/>
        </w:rPr>
        <w:t>7</w:t>
      </w:r>
      <w:r>
        <w:rPr>
          <w:rFonts w:hint="eastAsia" w:hAnsi="宋体"/>
          <w:sz w:val="24"/>
        </w:rPr>
        <w:t>0%之间的有1个组。</w:t>
      </w:r>
    </w:p>
    <w:p>
      <w:pPr>
        <w:overflowPunct w:val="0"/>
        <w:autoSpaceDE w:val="0"/>
        <w:autoSpaceDN w:val="0"/>
        <w:adjustRightInd w:val="0"/>
        <w:spacing w:line="480" w:lineRule="exact"/>
        <w:ind w:firstLine="480" w:firstLineChars="200"/>
        <w:rPr>
          <w:color w:val="000000"/>
          <w:sz w:val="24"/>
        </w:rPr>
      </w:pPr>
      <w:r>
        <w:rPr>
          <w:rFonts w:hint="eastAsia" w:hAnsi="宋体"/>
          <w:color w:val="000000"/>
          <w:sz w:val="24"/>
        </w:rPr>
        <w:t>根据上述数据分析，从农业生产角度来看，陆河抽水蓄能电站建设征地对陆河的农业生产影响有限。随着电站的开工建设及移民安置规划的实施，移民生产条件可以得到恢复并有所提高。电站建成后，在提高当地电力供应质量、发展地方经济，调整产业结构，提高群众生活水平等方面将发挥重要的促进作用。</w:t>
      </w:r>
    </w:p>
    <w:p>
      <w:pPr>
        <w:pStyle w:val="839"/>
        <w:numPr>
          <w:ilvl w:val="0"/>
          <w:numId w:val="6"/>
        </w:numPr>
        <w:overflowPunct w:val="0"/>
        <w:autoSpaceDE w:val="0"/>
        <w:autoSpaceDN w:val="0"/>
        <w:spacing w:line="480" w:lineRule="exact"/>
        <w:ind w:left="0" w:firstLine="482" w:firstLineChars="0"/>
        <w:textAlignment w:val="auto"/>
        <w:rPr>
          <w:rFonts w:ascii="Times New Roman"/>
          <w:color w:val="000000"/>
          <w:kern w:val="2"/>
          <w:szCs w:val="24"/>
        </w:rPr>
      </w:pPr>
      <w:r>
        <w:rPr>
          <w:rFonts w:ascii="Times New Roman" w:hAnsi="宋体"/>
          <w:color w:val="000000"/>
          <w:kern w:val="2"/>
          <w:szCs w:val="24"/>
        </w:rPr>
        <w:t>对基础设施的影响</w:t>
      </w:r>
    </w:p>
    <w:p>
      <w:pPr>
        <w:overflowPunct w:val="0"/>
        <w:autoSpaceDE w:val="0"/>
        <w:autoSpaceDN w:val="0"/>
        <w:adjustRightInd w:val="0"/>
        <w:spacing w:line="480" w:lineRule="exact"/>
        <w:ind w:firstLine="480" w:firstLineChars="200"/>
        <w:rPr>
          <w:rFonts w:hAnsi="宋体"/>
          <w:color w:val="000000"/>
          <w:sz w:val="24"/>
        </w:rPr>
      </w:pPr>
      <w:r>
        <w:rPr>
          <w:rFonts w:hint="eastAsia" w:hAnsi="宋体"/>
          <w:color w:val="000000"/>
          <w:sz w:val="24"/>
        </w:rPr>
        <w:t>工程建设征地影响的村均有通村公路，交通条件便利；农民饮水主要以井水和引山泉水为主；电力线路到户，通信网络基本到户，移动通信网络基本覆盖。通过合理的规划，对影响的水、电、路、通信等各类基础设施可进行复(改)建处理，对建设征地区的生活生产条件基本没有影响。</w:t>
      </w:r>
    </w:p>
    <w:p>
      <w:pPr>
        <w:overflowPunct w:val="0"/>
        <w:autoSpaceDE w:val="0"/>
        <w:autoSpaceDN w:val="0"/>
        <w:adjustRightInd w:val="0"/>
        <w:spacing w:line="480" w:lineRule="exact"/>
        <w:ind w:firstLine="480" w:firstLineChars="200"/>
        <w:rPr>
          <w:color w:val="FF0000"/>
        </w:rPr>
      </w:pPr>
      <w:r>
        <w:rPr>
          <w:rFonts w:hint="eastAsia" w:hAnsi="宋体"/>
          <w:color w:val="000000"/>
          <w:sz w:val="24"/>
        </w:rPr>
        <w:t>根据工程建设征地区实际情况，结合区域、行业建设发展规划，在研究、制定陆河抽水蓄能电站移民安置方案时，应考虑电站自然环境因素和社会环境因素，并充分考虑移民生产生活现状，在征求移民和安置区居民意愿的基础上，结合自然、社会环境和移民自身特点，尊重移民生活习惯和当地风俗，在保障甚至提高移民生活水平的前提下，拟定合适的陆河抽水蓄能电站移民安置方式。</w:t>
      </w:r>
    </w:p>
    <w:p>
      <w:pPr>
        <w:pStyle w:val="2"/>
      </w:pPr>
      <w:r>
        <w:br w:type="page"/>
      </w:r>
      <w:bookmarkStart w:id="111" w:name="_Toc90934863"/>
      <w:r>
        <w:t>4  规划设计依据和原则</w:t>
      </w:r>
      <w:bookmarkEnd w:id="73"/>
      <w:bookmarkEnd w:id="74"/>
      <w:bookmarkEnd w:id="75"/>
      <w:bookmarkEnd w:id="76"/>
      <w:bookmarkEnd w:id="77"/>
      <w:bookmarkEnd w:id="111"/>
    </w:p>
    <w:p>
      <w:pPr>
        <w:pStyle w:val="3"/>
      </w:pPr>
      <w:bookmarkStart w:id="112" w:name="_Toc90934864"/>
      <w:bookmarkStart w:id="113" w:name="_Toc7446"/>
      <w:bookmarkStart w:id="114" w:name="_Toc9850"/>
      <w:bookmarkStart w:id="115" w:name="_Toc85660212"/>
      <w:bookmarkStart w:id="116" w:name="_Toc85487689"/>
      <w:bookmarkStart w:id="117" w:name="_Toc86265073"/>
      <w:bookmarkStart w:id="118" w:name="_Toc21258"/>
      <w:bookmarkStart w:id="119" w:name="_Toc28410"/>
      <w:r>
        <w:t>4.1  规划设计依据</w:t>
      </w:r>
      <w:bookmarkEnd w:id="112"/>
      <w:bookmarkEnd w:id="113"/>
      <w:bookmarkEnd w:id="114"/>
    </w:p>
    <w:p>
      <w:pPr>
        <w:pStyle w:val="4"/>
      </w:pPr>
      <w:r>
        <w:t>4.1.1  主要法律、法规</w:t>
      </w:r>
    </w:p>
    <w:p>
      <w:pPr>
        <w:numPr>
          <w:ilvl w:val="2"/>
          <w:numId w:val="7"/>
        </w:numPr>
        <w:overflowPunct w:val="0"/>
        <w:autoSpaceDE w:val="0"/>
        <w:autoSpaceDN w:val="0"/>
        <w:adjustRightInd w:val="0"/>
        <w:spacing w:line="460" w:lineRule="exact"/>
        <w:ind w:left="0" w:firstLine="480" w:firstLineChars="200"/>
        <w:rPr>
          <w:rFonts w:hAnsi="宋体"/>
          <w:sz w:val="24"/>
        </w:rPr>
      </w:pPr>
      <w:r>
        <w:rPr>
          <w:rFonts w:hint="eastAsia" w:hAnsi="宋体"/>
          <w:sz w:val="24"/>
        </w:rPr>
        <w:t xml:space="preserve"> </w:t>
      </w:r>
      <w:r>
        <w:rPr>
          <w:rFonts w:hAnsi="宋体"/>
          <w:sz w:val="24"/>
        </w:rPr>
        <w:t>《中华人民共和国水法》(2016年7月2日修正)；</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《中华人民共和国土地管理法》</w:t>
      </w:r>
      <w:r>
        <w:rPr>
          <w:sz w:val="24"/>
        </w:rPr>
        <w:t>(2019</w:t>
      </w:r>
      <w:r>
        <w:rPr>
          <w:rFonts w:hAnsi="宋体"/>
          <w:sz w:val="24"/>
        </w:rPr>
        <w:t>年</w:t>
      </w:r>
      <w:r>
        <w:rPr>
          <w:sz w:val="24"/>
        </w:rPr>
        <w:t>8</w:t>
      </w:r>
      <w:r>
        <w:rPr>
          <w:rFonts w:hAnsi="宋体"/>
          <w:sz w:val="24"/>
        </w:rPr>
        <w:t>月</w:t>
      </w:r>
      <w:r>
        <w:rPr>
          <w:sz w:val="24"/>
        </w:rPr>
        <w:t>26</w:t>
      </w:r>
      <w:r>
        <w:rPr>
          <w:rFonts w:hAnsi="宋体"/>
          <w:sz w:val="24"/>
        </w:rPr>
        <w:t>日修正</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《中华人民共和国农村土地承包法》</w:t>
      </w:r>
      <w:r>
        <w:rPr>
          <w:sz w:val="24"/>
        </w:rPr>
        <w:t>(2018</w:t>
      </w:r>
      <w:r>
        <w:rPr>
          <w:rFonts w:hAnsi="宋体"/>
          <w:sz w:val="24"/>
        </w:rPr>
        <w:t>年</w:t>
      </w:r>
      <w:r>
        <w:rPr>
          <w:sz w:val="24"/>
        </w:rPr>
        <w:t>12</w:t>
      </w:r>
      <w:r>
        <w:rPr>
          <w:rFonts w:hAnsi="宋体"/>
          <w:sz w:val="24"/>
        </w:rPr>
        <w:t>月</w:t>
      </w:r>
      <w:r>
        <w:rPr>
          <w:sz w:val="24"/>
        </w:rPr>
        <w:t>29</w:t>
      </w:r>
      <w:r>
        <w:rPr>
          <w:rFonts w:hAnsi="宋体"/>
          <w:sz w:val="24"/>
        </w:rPr>
        <w:t>日修正</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《中华人民共和国城乡规划法》</w:t>
      </w:r>
      <w:r>
        <w:rPr>
          <w:sz w:val="24"/>
        </w:rPr>
        <w:t>(2019</w:t>
      </w:r>
      <w:r>
        <w:rPr>
          <w:rFonts w:hAnsi="宋体"/>
          <w:sz w:val="24"/>
        </w:rPr>
        <w:t>年</w:t>
      </w:r>
      <w:r>
        <w:rPr>
          <w:sz w:val="24"/>
        </w:rPr>
        <w:t>4</w:t>
      </w:r>
      <w:r>
        <w:rPr>
          <w:rFonts w:hAnsi="宋体"/>
          <w:sz w:val="24"/>
        </w:rPr>
        <w:t>月</w:t>
      </w:r>
      <w:r>
        <w:rPr>
          <w:sz w:val="24"/>
        </w:rPr>
        <w:t>23</w:t>
      </w:r>
      <w:r>
        <w:rPr>
          <w:rFonts w:hAnsi="宋体"/>
          <w:sz w:val="24"/>
        </w:rPr>
        <w:t>日修正</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《中华人民共和国水土保持法》</w:t>
      </w:r>
      <w:r>
        <w:rPr>
          <w:sz w:val="24"/>
        </w:rPr>
        <w:t>(2011</w:t>
      </w:r>
      <w:r>
        <w:rPr>
          <w:rFonts w:hAnsi="宋体"/>
          <w:sz w:val="24"/>
        </w:rPr>
        <w:t>年</w:t>
      </w:r>
      <w:r>
        <w:rPr>
          <w:sz w:val="24"/>
        </w:rPr>
        <w:t>3</w:t>
      </w:r>
      <w:r>
        <w:rPr>
          <w:rFonts w:hAnsi="宋体"/>
          <w:sz w:val="24"/>
        </w:rPr>
        <w:t>月</w:t>
      </w:r>
      <w:r>
        <w:rPr>
          <w:sz w:val="24"/>
        </w:rPr>
        <w:t>1</w:t>
      </w:r>
      <w:r>
        <w:rPr>
          <w:rFonts w:hAnsi="宋体"/>
          <w:sz w:val="24"/>
        </w:rPr>
        <w:t>日施行</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《中华人民共和国环境保护法》</w:t>
      </w:r>
      <w:r>
        <w:rPr>
          <w:sz w:val="24"/>
        </w:rPr>
        <w:t>(2015</w:t>
      </w:r>
      <w:r>
        <w:rPr>
          <w:rFonts w:hAnsi="宋体"/>
          <w:sz w:val="24"/>
        </w:rPr>
        <w:t>年</w:t>
      </w:r>
      <w:r>
        <w:rPr>
          <w:sz w:val="24"/>
        </w:rPr>
        <w:t>1</w:t>
      </w:r>
      <w:r>
        <w:rPr>
          <w:rFonts w:hAnsi="宋体"/>
          <w:sz w:val="24"/>
        </w:rPr>
        <w:t>月</w:t>
      </w:r>
      <w:r>
        <w:rPr>
          <w:sz w:val="24"/>
        </w:rPr>
        <w:t>1</w:t>
      </w:r>
      <w:r>
        <w:rPr>
          <w:rFonts w:hAnsi="宋体"/>
          <w:sz w:val="24"/>
        </w:rPr>
        <w:t>日施行</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《中华人民共和国环境影响评价法》</w:t>
      </w:r>
      <w:r>
        <w:rPr>
          <w:sz w:val="24"/>
        </w:rPr>
        <w:t>(2018</w:t>
      </w:r>
      <w:r>
        <w:rPr>
          <w:rFonts w:hAnsi="宋体"/>
          <w:sz w:val="24"/>
        </w:rPr>
        <w:t>年</w:t>
      </w:r>
      <w:r>
        <w:rPr>
          <w:sz w:val="24"/>
        </w:rPr>
        <w:t>12</w:t>
      </w:r>
      <w:r>
        <w:rPr>
          <w:rFonts w:hAnsi="宋体"/>
          <w:sz w:val="24"/>
        </w:rPr>
        <w:t>月</w:t>
      </w:r>
      <w:r>
        <w:rPr>
          <w:sz w:val="24"/>
        </w:rPr>
        <w:t>29</w:t>
      </w:r>
      <w:r>
        <w:rPr>
          <w:rFonts w:hAnsi="宋体"/>
          <w:sz w:val="24"/>
        </w:rPr>
        <w:t>日修正</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《中华人民共和国矿产资源法》</w:t>
      </w:r>
      <w:r>
        <w:rPr>
          <w:sz w:val="24"/>
        </w:rPr>
        <w:t>(2009</w:t>
      </w:r>
      <w:r>
        <w:rPr>
          <w:rFonts w:hAnsi="宋体"/>
          <w:sz w:val="24"/>
        </w:rPr>
        <w:t>年</w:t>
      </w:r>
      <w:r>
        <w:rPr>
          <w:sz w:val="24"/>
        </w:rPr>
        <w:t>8</w:t>
      </w:r>
      <w:r>
        <w:rPr>
          <w:rFonts w:hAnsi="宋体"/>
          <w:sz w:val="24"/>
        </w:rPr>
        <w:t>月</w:t>
      </w:r>
      <w:r>
        <w:rPr>
          <w:sz w:val="24"/>
        </w:rPr>
        <w:t>27</w:t>
      </w:r>
      <w:r>
        <w:rPr>
          <w:rFonts w:hAnsi="宋体"/>
          <w:sz w:val="24"/>
        </w:rPr>
        <w:t>日修正</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《中华人民共和国文物保护法》</w:t>
      </w:r>
      <w:r>
        <w:rPr>
          <w:sz w:val="24"/>
        </w:rPr>
        <w:t>(2017</w:t>
      </w:r>
      <w:r>
        <w:rPr>
          <w:rFonts w:hAnsi="宋体"/>
          <w:sz w:val="24"/>
        </w:rPr>
        <w:t>年</w:t>
      </w:r>
      <w:r>
        <w:rPr>
          <w:sz w:val="24"/>
        </w:rPr>
        <w:t>11</w:t>
      </w:r>
      <w:r>
        <w:rPr>
          <w:rFonts w:hAnsi="宋体"/>
          <w:sz w:val="24"/>
        </w:rPr>
        <w:t>月</w:t>
      </w:r>
      <w:r>
        <w:rPr>
          <w:sz w:val="24"/>
        </w:rPr>
        <w:t>4</w:t>
      </w:r>
      <w:r>
        <w:rPr>
          <w:rFonts w:hAnsi="宋体"/>
          <w:sz w:val="24"/>
        </w:rPr>
        <w:t>日修正</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《中华人民共和国森林法》</w:t>
      </w:r>
      <w:r>
        <w:rPr>
          <w:sz w:val="24"/>
        </w:rPr>
        <w:t>(2019</w:t>
      </w:r>
      <w:r>
        <w:rPr>
          <w:rFonts w:hAnsi="宋体"/>
          <w:sz w:val="24"/>
        </w:rPr>
        <w:t>年</w:t>
      </w:r>
      <w:r>
        <w:rPr>
          <w:sz w:val="24"/>
        </w:rPr>
        <w:t>10</w:t>
      </w:r>
      <w:r>
        <w:rPr>
          <w:rFonts w:hAnsi="宋体"/>
          <w:sz w:val="24"/>
        </w:rPr>
        <w:t>月</w:t>
      </w:r>
      <w:r>
        <w:rPr>
          <w:sz w:val="24"/>
        </w:rPr>
        <w:t>29</w:t>
      </w:r>
      <w:r>
        <w:rPr>
          <w:rFonts w:hAnsi="宋体"/>
          <w:sz w:val="24"/>
        </w:rPr>
        <w:t>日修订</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sz w:val="24"/>
        </w:rPr>
        <w:t xml:space="preserve"> 《中华人民共和国森林法》(2019年10月29日修订)；</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《基本农田保护条例》</w:t>
      </w:r>
      <w:r>
        <w:rPr>
          <w:sz w:val="24"/>
        </w:rPr>
        <w:t>(</w:t>
      </w:r>
      <w:r>
        <w:rPr>
          <w:rFonts w:hAnsi="宋体"/>
          <w:sz w:val="24"/>
        </w:rPr>
        <w:t>国务院令第</w:t>
      </w:r>
      <w:r>
        <w:rPr>
          <w:sz w:val="24"/>
        </w:rPr>
        <w:t>257</w:t>
      </w:r>
      <w:r>
        <w:rPr>
          <w:rFonts w:hAnsi="宋体"/>
          <w:sz w:val="24"/>
        </w:rPr>
        <w:t>号</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《关于全面实行永久基本农田特殊保护的通知》</w:t>
      </w:r>
      <w:r>
        <w:rPr>
          <w:sz w:val="24"/>
        </w:rPr>
        <w:t>(</w:t>
      </w:r>
      <w:r>
        <w:rPr>
          <w:rFonts w:hAnsi="宋体"/>
          <w:sz w:val="24"/>
        </w:rPr>
        <w:t>国土资规〔</w:t>
      </w:r>
      <w:r>
        <w:rPr>
          <w:sz w:val="24"/>
        </w:rPr>
        <w:t>2018</w:t>
      </w:r>
      <w:r>
        <w:rPr>
          <w:rFonts w:hAnsi="宋体"/>
          <w:sz w:val="24"/>
        </w:rPr>
        <w:t>〕</w:t>
      </w:r>
      <w:r>
        <w:rPr>
          <w:sz w:val="24"/>
        </w:rPr>
        <w:t>1</w:t>
      </w:r>
      <w:r>
        <w:rPr>
          <w:rFonts w:hAnsi="宋体"/>
          <w:sz w:val="24"/>
        </w:rPr>
        <w:t>号</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《土地复垦条例》</w:t>
      </w:r>
      <w:r>
        <w:rPr>
          <w:sz w:val="24"/>
        </w:rPr>
        <w:t>(</w:t>
      </w:r>
      <w:r>
        <w:rPr>
          <w:rFonts w:hAnsi="宋体"/>
          <w:sz w:val="24"/>
        </w:rPr>
        <w:t>国务院令第</w:t>
      </w:r>
      <w:r>
        <w:rPr>
          <w:sz w:val="24"/>
        </w:rPr>
        <w:t>592</w:t>
      </w:r>
      <w:r>
        <w:rPr>
          <w:rFonts w:hAnsi="宋体"/>
          <w:sz w:val="24"/>
        </w:rPr>
        <w:t>号</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《国务院关于修改</w:t>
      </w:r>
      <w:r>
        <w:rPr>
          <w:rFonts w:hint="eastAsia"/>
          <w:sz w:val="24"/>
        </w:rPr>
        <w:t>〈</w:t>
      </w:r>
      <w:r>
        <w:rPr>
          <w:rFonts w:hAnsi="宋体"/>
          <w:sz w:val="24"/>
        </w:rPr>
        <w:t>大中型水利水电工程建设征地补偿和移民安置条例</w:t>
      </w:r>
      <w:r>
        <w:rPr>
          <w:rFonts w:hint="eastAsia"/>
          <w:sz w:val="24"/>
        </w:rPr>
        <w:t>〉</w:t>
      </w:r>
      <w:r>
        <w:rPr>
          <w:rFonts w:hAnsi="宋体"/>
          <w:sz w:val="24"/>
        </w:rPr>
        <w:t>的决定》</w:t>
      </w:r>
      <w:r>
        <w:rPr>
          <w:sz w:val="24"/>
        </w:rPr>
        <w:t>(</w:t>
      </w:r>
      <w:r>
        <w:rPr>
          <w:rFonts w:hAnsi="宋体"/>
          <w:sz w:val="24"/>
        </w:rPr>
        <w:t>国务院令第</w:t>
      </w:r>
      <w:r>
        <w:rPr>
          <w:sz w:val="24"/>
        </w:rPr>
        <w:t>679</w:t>
      </w:r>
      <w:r>
        <w:rPr>
          <w:rFonts w:hAnsi="宋体"/>
          <w:sz w:val="24"/>
        </w:rPr>
        <w:t>号</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《关于加大用地政策支持力度促进大中型水利水电工程建设的意见》</w:t>
      </w:r>
      <w:r>
        <w:rPr>
          <w:sz w:val="24"/>
        </w:rPr>
        <w:t>(</w:t>
      </w:r>
      <w:r>
        <w:rPr>
          <w:rFonts w:hAnsi="宋体"/>
          <w:sz w:val="24"/>
        </w:rPr>
        <w:t>国土资规〔</w:t>
      </w:r>
      <w:r>
        <w:rPr>
          <w:sz w:val="24"/>
        </w:rPr>
        <w:t>2016</w:t>
      </w:r>
      <w:r>
        <w:rPr>
          <w:rFonts w:hAnsi="宋体"/>
          <w:sz w:val="24"/>
        </w:rPr>
        <w:t>〕</w:t>
      </w:r>
      <w:r>
        <w:rPr>
          <w:sz w:val="24"/>
        </w:rPr>
        <w:t>1</w:t>
      </w:r>
      <w:r>
        <w:rPr>
          <w:rFonts w:hAnsi="宋体"/>
          <w:sz w:val="24"/>
        </w:rPr>
        <w:t>号</w:t>
      </w:r>
      <w:r>
        <w:rPr>
          <w:sz w:val="24"/>
        </w:rPr>
        <w:t>)</w:t>
      </w:r>
      <w:r>
        <w:rPr>
          <w:rFonts w:hAnsi="宋体"/>
          <w:sz w:val="24"/>
        </w:rPr>
        <w:t>；</w:t>
      </w:r>
    </w:p>
    <w:p>
      <w:pPr>
        <w:numPr>
          <w:ilvl w:val="2"/>
          <w:numId w:val="7"/>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《建设项目使用林地审核审批管理办法》</w:t>
      </w:r>
      <w:r>
        <w:rPr>
          <w:sz w:val="24"/>
        </w:rPr>
        <w:t>(</w:t>
      </w:r>
      <w:r>
        <w:rPr>
          <w:rFonts w:hAnsi="宋体"/>
          <w:sz w:val="24"/>
        </w:rPr>
        <w:t>国家林业局令第</w:t>
      </w:r>
      <w:r>
        <w:rPr>
          <w:sz w:val="24"/>
        </w:rPr>
        <w:t>35</w:t>
      </w:r>
      <w:r>
        <w:rPr>
          <w:rFonts w:hAnsi="宋体"/>
          <w:sz w:val="24"/>
        </w:rPr>
        <w:t>号</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rFonts w:hint="eastAsia"/>
          <w:sz w:val="24"/>
        </w:rPr>
        <w:t>18) 《广东省实施＜中华人民共和国土地管理法＞办法》(2009年1月1日施行)；</w:t>
      </w:r>
    </w:p>
    <w:p>
      <w:pPr>
        <w:overflowPunct w:val="0"/>
        <w:autoSpaceDE w:val="0"/>
        <w:autoSpaceDN w:val="0"/>
        <w:adjustRightInd w:val="0"/>
        <w:snapToGrid w:val="0"/>
        <w:spacing w:line="480" w:lineRule="exact"/>
        <w:ind w:firstLine="480" w:firstLineChars="200"/>
        <w:rPr>
          <w:sz w:val="24"/>
        </w:rPr>
      </w:pPr>
      <w:r>
        <w:rPr>
          <w:rFonts w:hint="eastAsia"/>
          <w:sz w:val="24"/>
        </w:rPr>
        <w:t>19) 《广东省林地保护管理条例》(2020年9月29日修正)；</w:t>
      </w:r>
    </w:p>
    <w:p>
      <w:pPr>
        <w:overflowPunct w:val="0"/>
        <w:autoSpaceDE w:val="0"/>
        <w:autoSpaceDN w:val="0"/>
        <w:adjustRightInd w:val="0"/>
        <w:snapToGrid w:val="0"/>
        <w:spacing w:line="480" w:lineRule="exact"/>
        <w:ind w:firstLine="480" w:firstLineChars="200"/>
        <w:rPr>
          <w:sz w:val="24"/>
          <w:szCs w:val="24"/>
        </w:rPr>
      </w:pPr>
      <w:r>
        <w:rPr>
          <w:rFonts w:hint="eastAsia"/>
          <w:sz w:val="24"/>
        </w:rPr>
        <w:t>20</w:t>
      </w:r>
      <w:r>
        <w:rPr>
          <w:rFonts w:hint="eastAsia"/>
          <w:sz w:val="24"/>
          <w:szCs w:val="24"/>
        </w:rPr>
        <w:t>) 《中共广东省为广东省人民政府关于加强耕地保护和改进占补平衡的实施意见》(粤发</w:t>
      </w:r>
      <w:r>
        <w:rPr>
          <w:rFonts w:hint="eastAsia"/>
          <w:sz w:val="24"/>
        </w:rPr>
        <w:t>〔</w:t>
      </w:r>
      <w:r>
        <w:rPr>
          <w:rFonts w:hint="eastAsia"/>
          <w:sz w:val="24"/>
          <w:szCs w:val="24"/>
        </w:rPr>
        <w:t>2017</w:t>
      </w:r>
      <w:r>
        <w:rPr>
          <w:rFonts w:hint="eastAsia"/>
          <w:sz w:val="24"/>
        </w:rPr>
        <w:t>〕</w:t>
      </w:r>
      <w:r>
        <w:rPr>
          <w:rFonts w:hint="eastAsia"/>
          <w:sz w:val="24"/>
          <w:szCs w:val="24"/>
        </w:rPr>
        <w:t>21号)；</w:t>
      </w:r>
    </w:p>
    <w:p>
      <w:pPr>
        <w:overflowPunct w:val="0"/>
        <w:autoSpaceDE w:val="0"/>
        <w:autoSpaceDN w:val="0"/>
        <w:adjustRightInd w:val="0"/>
        <w:snapToGrid w:val="0"/>
        <w:spacing w:line="480" w:lineRule="exact"/>
        <w:ind w:firstLine="480" w:firstLineChars="200"/>
        <w:rPr>
          <w:sz w:val="24"/>
          <w:szCs w:val="24"/>
        </w:rPr>
      </w:pPr>
      <w:r>
        <w:rPr>
          <w:rFonts w:hint="eastAsia"/>
          <w:sz w:val="24"/>
        </w:rPr>
        <w:t>21</w:t>
      </w:r>
      <w:r>
        <w:rPr>
          <w:rFonts w:hint="eastAsia"/>
          <w:sz w:val="24"/>
          <w:szCs w:val="24"/>
        </w:rPr>
        <w:t>) 《广东省国土资源厅关于印发</w:t>
      </w:r>
      <w:r>
        <w:rPr>
          <w:rFonts w:hint="eastAsia"/>
          <w:sz w:val="24"/>
        </w:rPr>
        <w:t>〈</w:t>
      </w:r>
      <w:r>
        <w:rPr>
          <w:rFonts w:hint="eastAsia"/>
          <w:sz w:val="24"/>
          <w:szCs w:val="24"/>
        </w:rPr>
        <w:t>广东省跨地级以上市耕地储备指标网上公开竞价交易规则</w:t>
      </w:r>
      <w:r>
        <w:rPr>
          <w:rFonts w:hint="eastAsia"/>
          <w:sz w:val="24"/>
        </w:rPr>
        <w:t>〉</w:t>
      </w:r>
      <w:r>
        <w:rPr>
          <w:rFonts w:hint="eastAsia"/>
          <w:sz w:val="24"/>
          <w:szCs w:val="24"/>
        </w:rPr>
        <w:t>的通知》(粤国土资耕保发</w:t>
      </w:r>
      <w:r>
        <w:rPr>
          <w:rFonts w:hint="eastAsia"/>
          <w:sz w:val="24"/>
        </w:rPr>
        <w:t>〔</w:t>
      </w:r>
      <w:r>
        <w:rPr>
          <w:rFonts w:hint="eastAsia"/>
          <w:sz w:val="24"/>
          <w:szCs w:val="24"/>
        </w:rPr>
        <w:t>2013</w:t>
      </w:r>
      <w:r>
        <w:rPr>
          <w:rFonts w:hint="eastAsia"/>
          <w:sz w:val="24"/>
        </w:rPr>
        <w:t>〕</w:t>
      </w:r>
      <w:r>
        <w:rPr>
          <w:rFonts w:hint="eastAsia"/>
          <w:sz w:val="24"/>
          <w:szCs w:val="24"/>
        </w:rPr>
        <w:t>20号)；</w:t>
      </w:r>
    </w:p>
    <w:p>
      <w:pPr>
        <w:overflowPunct w:val="0"/>
        <w:autoSpaceDE w:val="0"/>
        <w:autoSpaceDN w:val="0"/>
        <w:adjustRightInd w:val="0"/>
        <w:snapToGrid w:val="0"/>
        <w:spacing w:line="480" w:lineRule="exact"/>
        <w:ind w:firstLine="480" w:firstLineChars="200"/>
        <w:rPr>
          <w:sz w:val="24"/>
          <w:szCs w:val="24"/>
        </w:rPr>
      </w:pPr>
      <w:r>
        <w:rPr>
          <w:rFonts w:hint="eastAsia"/>
          <w:sz w:val="24"/>
        </w:rPr>
        <w:t>22</w:t>
      </w:r>
      <w:r>
        <w:rPr>
          <w:rFonts w:hint="eastAsia"/>
          <w:sz w:val="24"/>
          <w:szCs w:val="24"/>
        </w:rPr>
        <w:t>) 《广东省国土资源厅关于建立水田指标预购制度的通知》(粤国土资耕保发</w:t>
      </w:r>
      <w:r>
        <w:rPr>
          <w:rFonts w:hint="eastAsia"/>
          <w:sz w:val="24"/>
        </w:rPr>
        <w:t>〔</w:t>
      </w:r>
      <w:r>
        <w:rPr>
          <w:rFonts w:hint="eastAsia"/>
          <w:sz w:val="24"/>
          <w:szCs w:val="24"/>
        </w:rPr>
        <w:t>2017</w:t>
      </w:r>
      <w:r>
        <w:rPr>
          <w:rFonts w:hint="eastAsia"/>
          <w:sz w:val="24"/>
        </w:rPr>
        <w:t>〕</w:t>
      </w:r>
      <w:r>
        <w:rPr>
          <w:rFonts w:hint="eastAsia"/>
          <w:sz w:val="24"/>
          <w:szCs w:val="24"/>
        </w:rPr>
        <w:t>196号)；</w:t>
      </w:r>
    </w:p>
    <w:p>
      <w:pPr>
        <w:overflowPunct w:val="0"/>
        <w:autoSpaceDE w:val="0"/>
        <w:autoSpaceDN w:val="0"/>
        <w:adjustRightInd w:val="0"/>
        <w:snapToGrid w:val="0"/>
        <w:spacing w:line="480" w:lineRule="exact"/>
        <w:ind w:firstLine="480" w:firstLineChars="200"/>
        <w:rPr>
          <w:sz w:val="24"/>
        </w:rPr>
      </w:pPr>
      <w:r>
        <w:rPr>
          <w:rFonts w:hint="eastAsia"/>
          <w:sz w:val="24"/>
        </w:rPr>
        <w:t>23) 《广东省人民代表大会常务委员会关于广东省耕地占用税适用税额的决定》(2019年9月1日施行)；</w:t>
      </w:r>
    </w:p>
    <w:p>
      <w:pPr>
        <w:overflowPunct w:val="0"/>
        <w:autoSpaceDE w:val="0"/>
        <w:autoSpaceDN w:val="0"/>
        <w:adjustRightInd w:val="0"/>
        <w:snapToGrid w:val="0"/>
        <w:spacing w:line="480" w:lineRule="exact"/>
        <w:ind w:firstLine="480" w:firstLineChars="200"/>
        <w:rPr>
          <w:sz w:val="24"/>
        </w:rPr>
      </w:pPr>
      <w:r>
        <w:rPr>
          <w:rFonts w:hint="eastAsia"/>
          <w:sz w:val="24"/>
        </w:rPr>
        <w:t>24) 《广东省关于加强征收农村集体土地留用地安置管理工作的意见》(粤府办〔2016〕30号)；</w:t>
      </w:r>
    </w:p>
    <w:p>
      <w:pPr>
        <w:overflowPunct w:val="0"/>
        <w:autoSpaceDE w:val="0"/>
        <w:autoSpaceDN w:val="0"/>
        <w:adjustRightInd w:val="0"/>
        <w:snapToGrid w:val="0"/>
        <w:spacing w:line="480" w:lineRule="exact"/>
        <w:ind w:firstLine="480" w:firstLineChars="200"/>
        <w:rPr>
          <w:sz w:val="24"/>
        </w:rPr>
      </w:pPr>
      <w:r>
        <w:rPr>
          <w:rFonts w:hint="eastAsia"/>
          <w:sz w:val="24"/>
        </w:rPr>
        <w:t>25) 《广东省人民政府办公厅转发省人力资源社会保障厅关于进一步完善我省被征地农民养老保障政策意见的通知》(粤府办〔2021〕22号)；</w:t>
      </w:r>
    </w:p>
    <w:p>
      <w:pPr>
        <w:overflowPunct w:val="0"/>
        <w:autoSpaceDE w:val="0"/>
        <w:autoSpaceDN w:val="0"/>
        <w:adjustRightInd w:val="0"/>
        <w:snapToGrid w:val="0"/>
        <w:spacing w:line="480" w:lineRule="exact"/>
        <w:ind w:firstLine="480" w:firstLineChars="200"/>
        <w:rPr>
          <w:sz w:val="24"/>
        </w:rPr>
      </w:pPr>
      <w:r>
        <w:rPr>
          <w:rFonts w:hint="eastAsia"/>
          <w:sz w:val="24"/>
        </w:rPr>
        <w:t>26) 《广东省非农业建设补充耕地管理办法》(广东省人民政府令第146号)；</w:t>
      </w:r>
    </w:p>
    <w:p>
      <w:pPr>
        <w:overflowPunct w:val="0"/>
        <w:autoSpaceDE w:val="0"/>
        <w:autoSpaceDN w:val="0"/>
        <w:adjustRightInd w:val="0"/>
        <w:snapToGrid w:val="0"/>
        <w:spacing w:line="480" w:lineRule="exact"/>
        <w:ind w:firstLine="480" w:firstLineChars="200"/>
        <w:rPr>
          <w:sz w:val="24"/>
        </w:rPr>
      </w:pPr>
      <w:r>
        <w:rPr>
          <w:rFonts w:hint="eastAsia"/>
          <w:sz w:val="24"/>
        </w:rPr>
        <w:t>26) 《广东省国土资源厅关于印发广东省征地补偿保护标准(2016 年修订调整)的通知》(粤国土资规〔2016〕1号)；</w:t>
      </w:r>
    </w:p>
    <w:p>
      <w:pPr>
        <w:widowControl/>
        <w:overflowPunct w:val="0"/>
        <w:autoSpaceDE w:val="0"/>
        <w:autoSpaceDN w:val="0"/>
        <w:adjustRightInd w:val="0"/>
        <w:snapToGrid w:val="0"/>
        <w:spacing w:line="480" w:lineRule="exact"/>
        <w:ind w:firstLine="480" w:firstLineChars="200"/>
        <w:jc w:val="left"/>
        <w:rPr>
          <w:sz w:val="24"/>
        </w:rPr>
      </w:pPr>
      <w:r>
        <w:rPr>
          <w:rFonts w:hint="eastAsia"/>
          <w:sz w:val="24"/>
        </w:rPr>
        <w:t>27) 汕尾市人民政府关于公布实施征收农用地区片综合地价的公告(2021年2月10日)；</w:t>
      </w:r>
    </w:p>
    <w:p>
      <w:pPr>
        <w:overflowPunct w:val="0"/>
        <w:autoSpaceDE w:val="0"/>
        <w:autoSpaceDN w:val="0"/>
        <w:adjustRightInd w:val="0"/>
        <w:snapToGrid w:val="0"/>
        <w:spacing w:line="480" w:lineRule="exact"/>
        <w:ind w:firstLine="480" w:firstLineChars="200"/>
        <w:rPr>
          <w:sz w:val="24"/>
        </w:rPr>
      </w:pPr>
      <w:r>
        <w:rPr>
          <w:rFonts w:hint="eastAsia"/>
          <w:sz w:val="24"/>
        </w:rPr>
        <w:t>28) 《陆河县人民政府办公室关于印发陆河县征收土地补偿实施办法(2017年修订调整)的通知》(陆河府办〔2017〕36号)。</w:t>
      </w:r>
    </w:p>
    <w:p>
      <w:pPr>
        <w:pStyle w:val="4"/>
      </w:pPr>
      <w:r>
        <w:t>4.1.2  主要技术规范及行业标准</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《水电工程建设征地移民安置规划设计规范》</w:t>
      </w:r>
      <w:r>
        <w:rPr>
          <w:sz w:val="24"/>
        </w:rPr>
        <w:t>(DL/T 5064-2007)</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《水电工程建设征地实物指标调查规范》</w:t>
      </w:r>
      <w:r>
        <w:rPr>
          <w:sz w:val="24"/>
        </w:rPr>
        <w:t>(NB/T 10102-2018)</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《水电工程建设征地处理范围界定规范》</w:t>
      </w:r>
      <w:r>
        <w:rPr>
          <w:sz w:val="24"/>
        </w:rPr>
        <w:t>(NB/T 10338-2019)</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《水电工程农村移民安置规划设计规范》</w:t>
      </w:r>
      <w:r>
        <w:rPr>
          <w:sz w:val="24"/>
        </w:rPr>
        <w:t>(DL/T 5378-2007)</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szCs w:val="24"/>
        </w:rPr>
      </w:pPr>
      <w:r>
        <w:rPr>
          <w:sz w:val="24"/>
          <w:szCs w:val="24"/>
        </w:rPr>
        <w:t>《水电工程建设征地移民安置专业项目规划设计规范》(NB/T 10801-2021)；</w:t>
      </w:r>
    </w:p>
    <w:p>
      <w:pPr>
        <w:numPr>
          <w:ilvl w:val="0"/>
          <w:numId w:val="8"/>
        </w:numPr>
        <w:overflowPunct w:val="0"/>
        <w:autoSpaceDE w:val="0"/>
        <w:autoSpaceDN w:val="0"/>
        <w:adjustRightInd w:val="0"/>
        <w:spacing w:line="460" w:lineRule="exact"/>
        <w:ind w:left="0" w:firstLine="480" w:firstLineChars="200"/>
        <w:rPr>
          <w:sz w:val="24"/>
          <w:szCs w:val="24"/>
        </w:rPr>
      </w:pPr>
      <w:r>
        <w:rPr>
          <w:sz w:val="24"/>
          <w:szCs w:val="24"/>
        </w:rPr>
        <w:t>《水电工程水库库底清理设计规范》(NB/T 10803-2021)；</w:t>
      </w:r>
    </w:p>
    <w:p>
      <w:pPr>
        <w:numPr>
          <w:ilvl w:val="0"/>
          <w:numId w:val="8"/>
        </w:numPr>
        <w:overflowPunct w:val="0"/>
        <w:autoSpaceDE w:val="0"/>
        <w:autoSpaceDN w:val="0"/>
        <w:adjustRightInd w:val="0"/>
        <w:spacing w:line="460" w:lineRule="exact"/>
        <w:ind w:left="0" w:firstLine="480" w:firstLineChars="200"/>
        <w:rPr>
          <w:sz w:val="24"/>
          <w:szCs w:val="24"/>
        </w:rPr>
      </w:pPr>
      <w:r>
        <w:rPr>
          <w:sz w:val="24"/>
          <w:szCs w:val="24"/>
        </w:rPr>
        <w:t>《水电工程建设征地移民安置补偿费用概(估)算编制规范》(DL/T 5382-2007)；</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《水电工程设计概算编制规定》</w:t>
      </w:r>
      <w:r>
        <w:rPr>
          <w:sz w:val="24"/>
        </w:rPr>
        <w:t>(2013</w:t>
      </w:r>
      <w:r>
        <w:rPr>
          <w:rFonts w:hAnsi="宋体"/>
          <w:sz w:val="24"/>
        </w:rPr>
        <w:t>年版</w:t>
      </w:r>
      <w:r>
        <w:rPr>
          <w:sz w:val="24"/>
        </w:rPr>
        <w:t>)</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《水电工程建设征地移民安置规划大纲编制规程》</w:t>
      </w:r>
      <w:r>
        <w:rPr>
          <w:sz w:val="24"/>
        </w:rPr>
        <w:t>(NB/T 35069-2015)</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《水电工程测量规范》</w:t>
      </w:r>
      <w:r>
        <w:rPr>
          <w:sz w:val="24"/>
        </w:rPr>
        <w:t>(NB/T 35029-2014)</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int="eastAsia"/>
          <w:sz w:val="24"/>
        </w:rPr>
        <w:t>《水电工程建设征地企业处理规划设计规范》</w:t>
      </w:r>
      <w:r>
        <w:rPr>
          <w:sz w:val="24"/>
        </w:rPr>
        <w:t>(NB/T 10605-2021)</w:t>
      </w:r>
      <w:r>
        <w:rPr>
          <w:rFonts w:hint="eastAsia"/>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《土地利用现状分类》</w:t>
      </w:r>
      <w:r>
        <w:rPr>
          <w:sz w:val="24"/>
        </w:rPr>
        <w:t>(GB/T 21010-2017)</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《房产测量规范》</w:t>
      </w:r>
      <w:r>
        <w:rPr>
          <w:sz w:val="24"/>
        </w:rPr>
        <w:t>(GB/T 17986.1-2000)</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《农村生活污染控制技术规范》</w:t>
      </w:r>
      <w:r>
        <w:rPr>
          <w:sz w:val="24"/>
        </w:rPr>
        <w:t>(HJ 574-2010)</w:t>
      </w:r>
      <w:r>
        <w:rPr>
          <w:rFonts w:hAnsi="宋体"/>
          <w:sz w:val="24"/>
        </w:rPr>
        <w:t>；</w:t>
      </w:r>
    </w:p>
    <w:p>
      <w:pPr>
        <w:numPr>
          <w:ilvl w:val="0"/>
          <w:numId w:val="8"/>
        </w:numPr>
        <w:overflowPunct w:val="0"/>
        <w:autoSpaceDE w:val="0"/>
        <w:autoSpaceDN w:val="0"/>
        <w:adjustRightInd w:val="0"/>
        <w:spacing w:line="460" w:lineRule="exact"/>
        <w:ind w:left="0" w:firstLine="480" w:firstLineChars="200"/>
        <w:rPr>
          <w:sz w:val="24"/>
        </w:rPr>
      </w:pPr>
      <w:r>
        <w:rPr>
          <w:rFonts w:hAnsi="宋体"/>
          <w:sz w:val="24"/>
        </w:rPr>
        <w:t>《防洪标准》</w:t>
      </w:r>
      <w:r>
        <w:rPr>
          <w:sz w:val="24"/>
        </w:rPr>
        <w:t>(GB 50201-2014)</w:t>
      </w:r>
      <w:r>
        <w:rPr>
          <w:rFonts w:hAnsi="宋体"/>
          <w:sz w:val="24"/>
        </w:rPr>
        <w:t>；</w:t>
      </w:r>
    </w:p>
    <w:p>
      <w:pPr>
        <w:pStyle w:val="18"/>
        <w:spacing w:line="480" w:lineRule="exact"/>
        <w:ind w:firstLine="480"/>
        <w:rPr>
          <w:rFonts w:hAnsi="宋体"/>
          <w:sz w:val="24"/>
        </w:rPr>
      </w:pPr>
      <w:r>
        <w:rPr>
          <w:rFonts w:hAnsi="宋体"/>
          <w:sz w:val="24"/>
        </w:rPr>
        <w:t>其他相关的规程、规范。</w:t>
      </w:r>
    </w:p>
    <w:p>
      <w:pPr>
        <w:pStyle w:val="4"/>
      </w:pPr>
      <w:bookmarkStart w:id="120" w:name="_Toc85660215"/>
      <w:bookmarkStart w:id="121" w:name="_Toc85632447"/>
      <w:bookmarkStart w:id="122" w:name="_Toc85487692"/>
      <w:r>
        <w:t>4.1.3  相关文件及资料</w:t>
      </w:r>
      <w:bookmarkEnd w:id="120"/>
      <w:bookmarkEnd w:id="121"/>
      <w:bookmarkEnd w:id="122"/>
    </w:p>
    <w:p>
      <w:pPr>
        <w:numPr>
          <w:ilvl w:val="0"/>
          <w:numId w:val="9"/>
        </w:numPr>
        <w:overflowPunct w:val="0"/>
        <w:autoSpaceDE w:val="0"/>
        <w:autoSpaceDN w:val="0"/>
        <w:adjustRightInd w:val="0"/>
        <w:snapToGrid w:val="0"/>
        <w:spacing w:line="480" w:lineRule="exact"/>
        <w:ind w:left="0" w:firstLine="480" w:firstLineChars="200"/>
        <w:rPr>
          <w:kern w:val="0"/>
          <w:sz w:val="24"/>
        </w:rPr>
      </w:pPr>
      <w:r>
        <w:rPr>
          <w:rFonts w:hAnsi="宋体"/>
          <w:kern w:val="0"/>
          <w:sz w:val="24"/>
        </w:rPr>
        <w:t>工程建设征地区</w:t>
      </w:r>
      <w:r>
        <w:rPr>
          <w:kern w:val="0"/>
          <w:sz w:val="24"/>
        </w:rPr>
        <w:t>1:</w:t>
      </w:r>
      <w:r>
        <w:rPr>
          <w:rFonts w:hint="eastAsia"/>
          <w:kern w:val="0"/>
          <w:sz w:val="24"/>
        </w:rPr>
        <w:t>1</w:t>
      </w:r>
      <w:r>
        <w:rPr>
          <w:kern w:val="0"/>
          <w:sz w:val="24"/>
        </w:rPr>
        <w:t>000</w:t>
      </w:r>
      <w:r>
        <w:rPr>
          <w:rFonts w:hAnsi="宋体"/>
          <w:kern w:val="0"/>
          <w:sz w:val="24"/>
        </w:rPr>
        <w:t>地类地形图；</w:t>
      </w:r>
    </w:p>
    <w:p>
      <w:pPr>
        <w:numPr>
          <w:ilvl w:val="0"/>
          <w:numId w:val="9"/>
        </w:numPr>
        <w:overflowPunct w:val="0"/>
        <w:autoSpaceDE w:val="0"/>
        <w:autoSpaceDN w:val="0"/>
        <w:adjustRightInd w:val="0"/>
        <w:snapToGrid w:val="0"/>
        <w:spacing w:line="480" w:lineRule="exact"/>
        <w:ind w:left="0" w:firstLine="480" w:firstLineChars="200"/>
        <w:rPr>
          <w:kern w:val="0"/>
          <w:sz w:val="24"/>
        </w:rPr>
      </w:pPr>
      <w:r>
        <w:rPr>
          <w:rFonts w:hint="eastAsia" w:hAnsi="宋体"/>
          <w:kern w:val="0"/>
          <w:sz w:val="24"/>
        </w:rPr>
        <w:t>《广东省人民政府关于禁止在广东陆河抽水 蓄能电站项目工程占地及淹没区新增 建设项目和迁入人口的通告》(粤府函〔2021〕368号)</w:t>
      </w:r>
      <w:r>
        <w:rPr>
          <w:rFonts w:hAnsi="宋体"/>
          <w:kern w:val="0"/>
          <w:sz w:val="24"/>
        </w:rPr>
        <w:t>；</w:t>
      </w:r>
    </w:p>
    <w:p>
      <w:pPr>
        <w:numPr>
          <w:ilvl w:val="0"/>
          <w:numId w:val="9"/>
        </w:numPr>
        <w:overflowPunct w:val="0"/>
        <w:autoSpaceDE w:val="0"/>
        <w:autoSpaceDN w:val="0"/>
        <w:adjustRightInd w:val="0"/>
        <w:snapToGrid w:val="0"/>
        <w:spacing w:line="480" w:lineRule="exact"/>
        <w:ind w:left="0" w:firstLine="480" w:firstLineChars="200"/>
        <w:rPr>
          <w:kern w:val="0"/>
          <w:sz w:val="24"/>
          <w:szCs w:val="24"/>
        </w:rPr>
      </w:pPr>
      <w:r>
        <w:rPr>
          <w:rFonts w:hAnsi="宋体"/>
          <w:kern w:val="0"/>
          <w:sz w:val="24"/>
          <w:szCs w:val="24"/>
        </w:rPr>
        <w:t>《</w:t>
      </w:r>
      <w:r>
        <w:rPr>
          <w:rFonts w:hint="eastAsia" w:hAnsi="宋体"/>
          <w:kern w:val="0"/>
          <w:sz w:val="24"/>
          <w:szCs w:val="24"/>
        </w:rPr>
        <w:t>广东陆河</w:t>
      </w:r>
      <w:r>
        <w:rPr>
          <w:rFonts w:hAnsi="宋体"/>
          <w:kern w:val="0"/>
          <w:sz w:val="24"/>
          <w:szCs w:val="24"/>
        </w:rPr>
        <w:t>抽水蓄能电站可行性研究阶段正常蓄水位选择专题报告》及审查意见；</w:t>
      </w:r>
    </w:p>
    <w:p>
      <w:pPr>
        <w:numPr>
          <w:ilvl w:val="0"/>
          <w:numId w:val="9"/>
        </w:numPr>
        <w:overflowPunct w:val="0"/>
        <w:autoSpaceDE w:val="0"/>
        <w:autoSpaceDN w:val="0"/>
        <w:adjustRightInd w:val="0"/>
        <w:snapToGrid w:val="0"/>
        <w:spacing w:line="480" w:lineRule="exact"/>
        <w:ind w:left="0" w:firstLine="464" w:firstLineChars="200"/>
        <w:rPr>
          <w:spacing w:val="-4"/>
          <w:kern w:val="0"/>
          <w:sz w:val="24"/>
        </w:rPr>
      </w:pPr>
      <w:r>
        <w:rPr>
          <w:rFonts w:hAnsi="宋体"/>
          <w:spacing w:val="-4"/>
          <w:kern w:val="0"/>
          <w:sz w:val="24"/>
        </w:rPr>
        <w:t>《</w:t>
      </w:r>
      <w:r>
        <w:rPr>
          <w:rFonts w:hint="eastAsia" w:hAnsi="宋体"/>
          <w:spacing w:val="-4"/>
          <w:kern w:val="0"/>
          <w:sz w:val="24"/>
        </w:rPr>
        <w:t>广东陆河(三江口)</w:t>
      </w:r>
      <w:r>
        <w:rPr>
          <w:rFonts w:hAnsi="宋体"/>
          <w:spacing w:val="-4"/>
          <w:kern w:val="0"/>
          <w:sz w:val="24"/>
        </w:rPr>
        <w:t>抽水蓄能电站可行性研究阶段施工总布置专题研究报告》及审查意见；</w:t>
      </w:r>
    </w:p>
    <w:p>
      <w:pPr>
        <w:numPr>
          <w:ilvl w:val="0"/>
          <w:numId w:val="9"/>
        </w:numPr>
        <w:overflowPunct w:val="0"/>
        <w:autoSpaceDE w:val="0"/>
        <w:autoSpaceDN w:val="0"/>
        <w:adjustRightInd w:val="0"/>
        <w:snapToGrid w:val="0"/>
        <w:spacing w:line="480" w:lineRule="exact"/>
        <w:ind w:left="0" w:firstLine="480" w:firstLineChars="200"/>
        <w:rPr>
          <w:kern w:val="0"/>
          <w:sz w:val="24"/>
        </w:rPr>
      </w:pPr>
      <w:r>
        <w:rPr>
          <w:rFonts w:hAnsi="宋体"/>
          <w:kern w:val="0"/>
          <w:sz w:val="24"/>
        </w:rPr>
        <w:t>工程建设征</w:t>
      </w:r>
      <w:r>
        <w:rPr>
          <w:kern w:val="0"/>
          <w:sz w:val="24"/>
        </w:rPr>
        <w:t>(</w:t>
      </w:r>
      <w:r>
        <w:rPr>
          <w:rFonts w:hAnsi="宋体"/>
          <w:kern w:val="0"/>
          <w:sz w:val="24"/>
        </w:rPr>
        <w:t>占</w:t>
      </w:r>
      <w:r>
        <w:rPr>
          <w:kern w:val="0"/>
          <w:sz w:val="24"/>
        </w:rPr>
        <w:t>)</w:t>
      </w:r>
      <w:r>
        <w:rPr>
          <w:rFonts w:hAnsi="宋体"/>
          <w:kern w:val="0"/>
          <w:sz w:val="24"/>
        </w:rPr>
        <w:t>地区的自然、经济社会资料及土地利用现状调查资料；</w:t>
      </w:r>
    </w:p>
    <w:p>
      <w:pPr>
        <w:numPr>
          <w:ilvl w:val="0"/>
          <w:numId w:val="9"/>
        </w:numPr>
        <w:overflowPunct w:val="0"/>
        <w:autoSpaceDE w:val="0"/>
        <w:autoSpaceDN w:val="0"/>
        <w:adjustRightInd w:val="0"/>
        <w:snapToGrid w:val="0"/>
        <w:spacing w:line="480" w:lineRule="exact"/>
        <w:ind w:left="0" w:firstLine="480" w:firstLineChars="200"/>
        <w:rPr>
          <w:kern w:val="0"/>
          <w:sz w:val="24"/>
        </w:rPr>
      </w:pPr>
      <w:r>
        <w:rPr>
          <w:rFonts w:hAnsi="宋体"/>
          <w:kern w:val="0"/>
          <w:sz w:val="24"/>
        </w:rPr>
        <w:t>其他有关资料。</w:t>
      </w:r>
    </w:p>
    <w:bookmarkEnd w:id="115"/>
    <w:bookmarkEnd w:id="116"/>
    <w:bookmarkEnd w:id="117"/>
    <w:bookmarkEnd w:id="118"/>
    <w:bookmarkEnd w:id="119"/>
    <w:p>
      <w:pPr>
        <w:pStyle w:val="3"/>
        <w:rPr>
          <w:kern w:val="2"/>
        </w:rPr>
      </w:pPr>
      <w:bookmarkStart w:id="123" w:name="_Toc90934865"/>
      <w:bookmarkStart w:id="124" w:name="_Toc86265074"/>
      <w:bookmarkStart w:id="125" w:name="_Toc5788"/>
      <w:bookmarkStart w:id="126" w:name="_Toc85487693"/>
      <w:bookmarkStart w:id="127" w:name="_Toc31990"/>
      <w:bookmarkStart w:id="128" w:name="_Toc85660216"/>
      <w:r>
        <w:rPr>
          <w:kern w:val="2"/>
        </w:rPr>
        <w:t>4.2  规划原则</w:t>
      </w:r>
      <w:bookmarkEnd w:id="123"/>
      <w:bookmarkEnd w:id="124"/>
      <w:bookmarkEnd w:id="125"/>
      <w:bookmarkEnd w:id="126"/>
      <w:bookmarkEnd w:id="127"/>
      <w:bookmarkEnd w:id="128"/>
    </w:p>
    <w:p>
      <w:pPr>
        <w:pStyle w:val="4"/>
      </w:pPr>
      <w:bookmarkStart w:id="129" w:name="_Toc85632449"/>
      <w:bookmarkStart w:id="130" w:name="_Toc85660217"/>
      <w:r>
        <w:t>4.2.1</w:t>
      </w:r>
      <w:r>
        <w:rPr>
          <w:rFonts w:ascii="Tahoma" w:hAnsi="Tahoma" w:eastAsia="宋体" w:cs="Tahoma"/>
          <w:kern w:val="2"/>
        </w:rPr>
        <w:t xml:space="preserve">  </w:t>
      </w:r>
      <w:r>
        <w:t>移民安置原则</w:t>
      </w:r>
      <w:bookmarkEnd w:id="129"/>
      <w:bookmarkEnd w:id="130"/>
    </w:p>
    <w:p>
      <w:pPr>
        <w:numPr>
          <w:ilvl w:val="0"/>
          <w:numId w:val="10"/>
        </w:numPr>
        <w:overflowPunct w:val="0"/>
        <w:autoSpaceDE w:val="0"/>
        <w:autoSpaceDN w:val="0"/>
        <w:adjustRightInd w:val="0"/>
        <w:spacing w:line="460" w:lineRule="exact"/>
        <w:ind w:left="0" w:firstLine="480" w:firstLineChars="200"/>
        <w:rPr>
          <w:rFonts w:hAnsi="宋体"/>
          <w:sz w:val="24"/>
        </w:rPr>
      </w:pPr>
      <w:r>
        <w:rPr>
          <w:rFonts w:hint="eastAsia" w:hAnsi="宋体"/>
          <w:sz w:val="24"/>
        </w:rPr>
        <w:t xml:space="preserve"> 积极响应“乡村振兴”战略，发展美丽乡村建设，科学合理利用现有自然资源、社会经济条件，从移民未来长远发展角度开展规划工作；</w:t>
      </w:r>
    </w:p>
    <w:p>
      <w:pPr>
        <w:numPr>
          <w:ilvl w:val="0"/>
          <w:numId w:val="10"/>
        </w:numPr>
        <w:overflowPunct w:val="0"/>
        <w:autoSpaceDE w:val="0"/>
        <w:autoSpaceDN w:val="0"/>
        <w:adjustRightInd w:val="0"/>
        <w:spacing w:line="460" w:lineRule="exact"/>
        <w:ind w:left="0" w:firstLine="480" w:firstLineChars="200"/>
        <w:rPr>
          <w:rFonts w:hAnsi="宋体"/>
          <w:sz w:val="24"/>
        </w:rPr>
      </w:pPr>
      <w:r>
        <w:rPr>
          <w:rFonts w:hint="eastAsia" w:hAnsi="宋体"/>
          <w:sz w:val="24"/>
        </w:rPr>
        <w:t xml:space="preserve"> </w:t>
      </w:r>
      <w:r>
        <w:rPr>
          <w:rFonts w:hAnsi="宋体"/>
          <w:sz w:val="24"/>
        </w:rPr>
        <w:t>实事求是，科学合理，严格贯彻国家有关的法律法规和方针政策</w:t>
      </w:r>
      <w:r>
        <w:rPr>
          <w:rFonts w:hint="eastAsia" w:hAnsi="宋体"/>
          <w:sz w:val="24"/>
        </w:rPr>
        <w:t>；</w:t>
      </w:r>
    </w:p>
    <w:p>
      <w:pPr>
        <w:numPr>
          <w:ilvl w:val="0"/>
          <w:numId w:val="10"/>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以人为本，保障移民合法权益，满足移民生存与发展的需求</w:t>
      </w:r>
      <w:r>
        <w:rPr>
          <w:rFonts w:hint="eastAsia" w:hAnsi="宋体"/>
          <w:sz w:val="24"/>
        </w:rPr>
        <w:t>；</w:t>
      </w:r>
    </w:p>
    <w:p>
      <w:pPr>
        <w:numPr>
          <w:ilvl w:val="0"/>
          <w:numId w:val="10"/>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结合工程实际，以节约用地，优化工程占地，尽可能减少建设征地影响损失</w:t>
      </w:r>
      <w:r>
        <w:rPr>
          <w:rFonts w:hint="eastAsia" w:hAnsi="宋体"/>
          <w:sz w:val="24"/>
        </w:rPr>
        <w:t>；</w:t>
      </w:r>
    </w:p>
    <w:p>
      <w:pPr>
        <w:numPr>
          <w:ilvl w:val="0"/>
          <w:numId w:val="10"/>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移民安置规划应与地方国民经济和社会发展规划以及土地利用总体规划、城镇体系规划、城市总体规划、集镇规划等相衔接。</w:t>
      </w:r>
    </w:p>
    <w:p>
      <w:pPr>
        <w:pStyle w:val="4"/>
      </w:pPr>
      <w:bookmarkStart w:id="131" w:name="_Toc85660218"/>
      <w:bookmarkStart w:id="132" w:name="_Toc85632450"/>
      <w:r>
        <w:t>4.2.2  农村移民安置原则</w:t>
      </w:r>
      <w:bookmarkEnd w:id="131"/>
      <w:bookmarkEnd w:id="132"/>
    </w:p>
    <w:p>
      <w:pPr>
        <w:numPr>
          <w:ilvl w:val="1"/>
          <w:numId w:val="11"/>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坚持</w:t>
      </w:r>
      <w:r>
        <w:rPr>
          <w:rFonts w:hint="eastAsia"/>
          <w:sz w:val="24"/>
        </w:rPr>
        <w:t>“</w:t>
      </w:r>
      <w:r>
        <w:rPr>
          <w:rFonts w:hAnsi="宋体"/>
          <w:sz w:val="24"/>
        </w:rPr>
        <w:t>前期补偿补助、后期扶持和实行开发性移民</w:t>
      </w:r>
      <w:r>
        <w:rPr>
          <w:rFonts w:hint="eastAsia"/>
          <w:sz w:val="24"/>
        </w:rPr>
        <w:t>”</w:t>
      </w:r>
      <w:r>
        <w:rPr>
          <w:rFonts w:hAnsi="宋体"/>
          <w:sz w:val="24"/>
        </w:rPr>
        <w:t>的方针，使移民生活水平达到或超过原有水平</w:t>
      </w:r>
      <w:r>
        <w:rPr>
          <w:rFonts w:hint="eastAsia" w:hAnsi="宋体"/>
          <w:sz w:val="24"/>
        </w:rPr>
        <w:t>；</w:t>
      </w:r>
    </w:p>
    <w:p>
      <w:pPr>
        <w:numPr>
          <w:ilvl w:val="1"/>
          <w:numId w:val="11"/>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移民安置应以安置区当地环境容量为基础，因地制宜、全面规划、合理利用资源妥善安置移民。</w:t>
      </w:r>
    </w:p>
    <w:p>
      <w:pPr>
        <w:pStyle w:val="4"/>
      </w:pPr>
      <w:bookmarkStart w:id="133" w:name="_Toc85660219"/>
      <w:bookmarkStart w:id="134" w:name="_Toc85632451"/>
      <w:r>
        <w:t>4.2.</w:t>
      </w:r>
      <w:r>
        <w:rPr>
          <w:rFonts w:hint="eastAsia"/>
        </w:rPr>
        <w:t>3</w:t>
      </w:r>
      <w:r>
        <w:t xml:space="preserve">  </w:t>
      </w:r>
      <w:r>
        <w:rPr>
          <w:rFonts w:hAnsi="宋体"/>
        </w:rPr>
        <w:t>专业项目处理原则</w:t>
      </w:r>
      <w:bookmarkEnd w:id="133"/>
      <w:bookmarkEnd w:id="134"/>
    </w:p>
    <w:p>
      <w:pPr>
        <w:overflowPunct w:val="0"/>
        <w:autoSpaceDE w:val="0"/>
        <w:autoSpaceDN w:val="0"/>
        <w:adjustRightInd w:val="0"/>
        <w:spacing w:line="460" w:lineRule="exact"/>
        <w:ind w:firstLine="480" w:firstLineChars="200"/>
        <w:rPr>
          <w:sz w:val="24"/>
        </w:rPr>
      </w:pPr>
      <w:r>
        <w:rPr>
          <w:rFonts w:hAnsi="宋体"/>
          <w:sz w:val="24"/>
        </w:rPr>
        <w:t>对专业项目的迁建和复建，坚持</w:t>
      </w:r>
      <w:r>
        <w:rPr>
          <w:rFonts w:hint="eastAsia"/>
          <w:sz w:val="24"/>
        </w:rPr>
        <w:t>“</w:t>
      </w:r>
      <w:r>
        <w:rPr>
          <w:rFonts w:hAnsi="宋体"/>
          <w:sz w:val="24"/>
        </w:rPr>
        <w:t>原规模、原标准或者恢复原功能</w:t>
      </w:r>
      <w:r>
        <w:rPr>
          <w:rFonts w:hint="eastAsia"/>
          <w:sz w:val="24"/>
        </w:rPr>
        <w:t>”</w:t>
      </w:r>
      <w:r>
        <w:rPr>
          <w:rFonts w:hAnsi="宋体"/>
          <w:sz w:val="24"/>
        </w:rPr>
        <w:t>的原则。</w:t>
      </w:r>
    </w:p>
    <w:p>
      <w:pPr>
        <w:pStyle w:val="4"/>
      </w:pPr>
      <w:bookmarkStart w:id="135" w:name="_Toc85632452"/>
      <w:bookmarkStart w:id="136" w:name="_Toc85660220"/>
      <w:r>
        <w:t>4.2.</w:t>
      </w:r>
      <w:r>
        <w:rPr>
          <w:rFonts w:hint="eastAsia"/>
        </w:rPr>
        <w:t>4</w:t>
      </w:r>
      <w:r>
        <w:t xml:space="preserve">  环境保护设计原则</w:t>
      </w:r>
      <w:bookmarkEnd w:id="135"/>
      <w:bookmarkEnd w:id="136"/>
    </w:p>
    <w:p>
      <w:pPr>
        <w:numPr>
          <w:ilvl w:val="0"/>
          <w:numId w:val="12"/>
        </w:numPr>
        <w:overflowPunct w:val="0"/>
        <w:autoSpaceDE w:val="0"/>
        <w:autoSpaceDN w:val="0"/>
        <w:adjustRightInd w:val="0"/>
        <w:spacing w:line="460" w:lineRule="exact"/>
        <w:ind w:left="0" w:firstLine="480" w:firstLineChars="200"/>
        <w:rPr>
          <w:rFonts w:hAnsi="宋体"/>
          <w:sz w:val="24"/>
        </w:rPr>
      </w:pPr>
      <w:r>
        <w:rPr>
          <w:rFonts w:hint="eastAsia" w:hAnsi="宋体"/>
          <w:sz w:val="24"/>
        </w:rPr>
        <w:t xml:space="preserve"> </w:t>
      </w:r>
      <w:r>
        <w:rPr>
          <w:rFonts w:hAnsi="宋体"/>
          <w:sz w:val="24"/>
        </w:rPr>
        <w:t>预防或减免环境影响的原则：应提出从源头上减少污染物排放和加强施工管理的要求。各项措施应与移民安置工程同时设计、同时施工、同时投产使用。</w:t>
      </w:r>
    </w:p>
    <w:p>
      <w:pPr>
        <w:numPr>
          <w:ilvl w:val="0"/>
          <w:numId w:val="12"/>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恢复原有环境功能的原则：结合水土保持措施实施植被绿化，以恢复移民安置工程建设影响区原有环境功能。</w:t>
      </w:r>
    </w:p>
    <w:p>
      <w:pPr>
        <w:numPr>
          <w:ilvl w:val="0"/>
          <w:numId w:val="12"/>
        </w:numPr>
        <w:overflowPunct w:val="0"/>
        <w:autoSpaceDE w:val="0"/>
        <w:autoSpaceDN w:val="0"/>
        <w:adjustRightInd w:val="0"/>
        <w:spacing w:line="460" w:lineRule="exact"/>
        <w:ind w:left="0" w:firstLine="480" w:firstLineChars="200"/>
        <w:rPr>
          <w:spacing w:val="-4"/>
          <w:sz w:val="24"/>
        </w:rPr>
      </w:pPr>
      <w:r>
        <w:rPr>
          <w:rFonts w:hint="eastAsia" w:hAnsi="宋体"/>
          <w:sz w:val="24"/>
        </w:rPr>
        <w:t xml:space="preserve"> </w:t>
      </w:r>
      <w:r>
        <w:rPr>
          <w:rFonts w:hAnsi="宋体"/>
          <w:spacing w:val="-4"/>
          <w:sz w:val="24"/>
        </w:rPr>
        <w:t>工程措施与管理措施相结合的原则：针对建设中产生的生产废水和迁建后生活污水等采取处理和防护措施，同时加强管理，减少移民安置建设对居民生产生活的影响。</w:t>
      </w:r>
    </w:p>
    <w:p>
      <w:pPr>
        <w:numPr>
          <w:ilvl w:val="0"/>
          <w:numId w:val="12"/>
        </w:numPr>
        <w:overflowPunct w:val="0"/>
        <w:autoSpaceDE w:val="0"/>
        <w:autoSpaceDN w:val="0"/>
        <w:adjustRightInd w:val="0"/>
        <w:spacing w:line="460" w:lineRule="exact"/>
        <w:ind w:left="0" w:firstLine="480" w:firstLineChars="200"/>
        <w:rPr>
          <w:sz w:val="24"/>
        </w:rPr>
      </w:pPr>
      <w:r>
        <w:rPr>
          <w:rFonts w:hint="eastAsia" w:hAnsi="宋体"/>
          <w:sz w:val="24"/>
        </w:rPr>
        <w:t xml:space="preserve"> </w:t>
      </w:r>
      <w:r>
        <w:rPr>
          <w:rFonts w:hAnsi="宋体"/>
          <w:sz w:val="24"/>
        </w:rPr>
        <w:t>可持续发展的原则：环境保护方案必须具有可持续性，以确保移民安置区生态环境可与经济社会协调发展。</w:t>
      </w:r>
    </w:p>
    <w:p>
      <w:pPr>
        <w:pStyle w:val="2"/>
        <w:rPr>
          <w:sz w:val="24"/>
        </w:rPr>
      </w:pPr>
      <w:r>
        <w:rPr>
          <w:rFonts w:eastAsia="宋体"/>
          <w:sz w:val="24"/>
          <w:szCs w:val="21"/>
        </w:rPr>
        <w:br w:type="page"/>
      </w:r>
      <w:bookmarkStart w:id="137" w:name="_Toc86265075"/>
      <w:bookmarkStart w:id="138" w:name="_Toc85487694"/>
      <w:bookmarkStart w:id="139" w:name="_Toc9878"/>
      <w:bookmarkStart w:id="140" w:name="_Toc85660221"/>
      <w:bookmarkStart w:id="141" w:name="_Toc1472"/>
      <w:bookmarkStart w:id="142" w:name="_Toc90934866"/>
      <w:r>
        <w:t>5  安置任务、规划目标和安置标准</w:t>
      </w:r>
      <w:bookmarkEnd w:id="137"/>
      <w:bookmarkEnd w:id="138"/>
      <w:bookmarkEnd w:id="139"/>
      <w:bookmarkEnd w:id="140"/>
      <w:bookmarkEnd w:id="141"/>
      <w:bookmarkEnd w:id="142"/>
    </w:p>
    <w:p>
      <w:pPr>
        <w:pStyle w:val="3"/>
      </w:pPr>
      <w:bookmarkStart w:id="143" w:name="_Toc85487695"/>
      <w:bookmarkStart w:id="144" w:name="_Toc679"/>
      <w:bookmarkStart w:id="145" w:name="_Toc85660222"/>
      <w:bookmarkStart w:id="146" w:name="_Toc29756"/>
      <w:bookmarkStart w:id="147" w:name="_Toc90934867"/>
      <w:bookmarkStart w:id="148" w:name="_Toc86265076"/>
      <w:r>
        <w:t>5.1  移民安置任务</w:t>
      </w:r>
      <w:bookmarkEnd w:id="143"/>
      <w:bookmarkEnd w:id="144"/>
      <w:bookmarkEnd w:id="145"/>
      <w:bookmarkEnd w:id="146"/>
      <w:bookmarkEnd w:id="147"/>
      <w:bookmarkEnd w:id="148"/>
    </w:p>
    <w:p>
      <w:pPr>
        <w:pStyle w:val="4"/>
      </w:pPr>
      <w:bookmarkStart w:id="149" w:name="_Toc85487696"/>
      <w:bookmarkStart w:id="150" w:name="_Toc85632455"/>
      <w:bookmarkStart w:id="151" w:name="_Toc85660223"/>
      <w:r>
        <w:t>5.1.1  规划设计基准年和水平年</w:t>
      </w:r>
      <w:bookmarkEnd w:id="149"/>
      <w:bookmarkEnd w:id="150"/>
      <w:bookmarkEnd w:id="151"/>
    </w:p>
    <w:p>
      <w:pPr>
        <w:overflowPunct w:val="0"/>
        <w:autoSpaceDE w:val="0"/>
        <w:autoSpaceDN w:val="0"/>
        <w:adjustRightInd w:val="0"/>
        <w:spacing w:line="480" w:lineRule="exact"/>
        <w:ind w:firstLine="480" w:firstLineChars="200"/>
        <w:rPr>
          <w:rFonts w:hAnsi="宋体"/>
          <w:sz w:val="24"/>
        </w:rPr>
      </w:pPr>
      <w:r>
        <w:rPr>
          <w:sz w:val="24"/>
        </w:rPr>
        <w:t xml:space="preserve">a) </w:t>
      </w:r>
      <w:r>
        <w:rPr>
          <w:rFonts w:hAnsi="宋体"/>
          <w:sz w:val="24"/>
        </w:rPr>
        <w:t>规划设计基准年</w:t>
      </w:r>
    </w:p>
    <w:p>
      <w:pPr>
        <w:overflowPunct w:val="0"/>
        <w:autoSpaceDE w:val="0"/>
        <w:autoSpaceDN w:val="0"/>
        <w:adjustRightInd w:val="0"/>
        <w:spacing w:line="520" w:lineRule="exact"/>
        <w:ind w:firstLine="480"/>
        <w:rPr>
          <w:rFonts w:hAnsi="宋体"/>
          <w:sz w:val="24"/>
        </w:rPr>
      </w:pPr>
      <w:r>
        <w:rPr>
          <w:rFonts w:hint="eastAsia" w:hAnsi="宋体"/>
          <w:sz w:val="24"/>
        </w:rPr>
        <w:t>2021年12月13日，广东省人民政府发布</w:t>
      </w:r>
      <w:r>
        <w:rPr>
          <w:rFonts w:hAnsi="宋体"/>
          <w:sz w:val="24"/>
        </w:rPr>
        <w:t>《</w:t>
      </w:r>
      <w:r>
        <w:rPr>
          <w:rFonts w:hint="eastAsia" w:hAnsi="宋体"/>
          <w:sz w:val="24"/>
        </w:rPr>
        <w:t>广东省人民政府关于禁止在广东陆河抽水 蓄能电站项目工程占地及淹没区新增建设项目和迁入人口的通告</w:t>
      </w:r>
      <w:r>
        <w:rPr>
          <w:rFonts w:hAnsi="宋体"/>
          <w:sz w:val="24"/>
        </w:rPr>
        <w:t>》(粤府函〔2021〕</w:t>
      </w:r>
      <w:r>
        <w:rPr>
          <w:rFonts w:hint="eastAsia" w:hAnsi="宋体"/>
          <w:sz w:val="24"/>
        </w:rPr>
        <w:t>368</w:t>
      </w:r>
      <w:r>
        <w:rPr>
          <w:rFonts w:hAnsi="宋体"/>
          <w:sz w:val="24"/>
        </w:rPr>
        <w:t>号)</w:t>
      </w:r>
      <w:r>
        <w:rPr>
          <w:rFonts w:hint="eastAsia" w:hAnsi="宋体"/>
          <w:sz w:val="24"/>
        </w:rPr>
        <w:t>，因此，采用2021年作为广东陆河抽水蓄能电站工程的规划设计基准年。</w:t>
      </w:r>
    </w:p>
    <w:p>
      <w:pPr>
        <w:overflowPunct w:val="0"/>
        <w:autoSpaceDE w:val="0"/>
        <w:autoSpaceDN w:val="0"/>
        <w:adjustRightInd w:val="0"/>
        <w:spacing w:line="480" w:lineRule="exact"/>
        <w:ind w:firstLine="480" w:firstLineChars="200"/>
        <w:rPr>
          <w:rFonts w:hAnsi="宋体"/>
          <w:sz w:val="24"/>
        </w:rPr>
      </w:pPr>
      <w:r>
        <w:rPr>
          <w:sz w:val="24"/>
        </w:rPr>
        <w:t xml:space="preserve">b) </w:t>
      </w:r>
      <w:r>
        <w:rPr>
          <w:rFonts w:hAnsi="宋体"/>
          <w:sz w:val="24"/>
        </w:rPr>
        <w:t>规划设计水平年</w:t>
      </w:r>
    </w:p>
    <w:p>
      <w:pPr>
        <w:overflowPunct w:val="0"/>
        <w:autoSpaceDE w:val="0"/>
        <w:autoSpaceDN w:val="0"/>
        <w:adjustRightInd w:val="0"/>
        <w:spacing w:line="480" w:lineRule="exact"/>
        <w:ind w:firstLine="480" w:firstLineChars="200"/>
        <w:rPr>
          <w:sz w:val="24"/>
        </w:rPr>
      </w:pPr>
      <w:r>
        <w:rPr>
          <w:rFonts w:hAnsi="宋体"/>
          <w:sz w:val="24"/>
        </w:rPr>
        <w:t>根据《水电工程建设征地移民安置规划设计规范》</w:t>
      </w:r>
      <w:r>
        <w:rPr>
          <w:sz w:val="24"/>
        </w:rPr>
        <w:t>(DL/T 5064-2007)</w:t>
      </w:r>
      <w:r>
        <w:rPr>
          <w:rFonts w:hAnsi="宋体"/>
          <w:sz w:val="24"/>
        </w:rPr>
        <w:t>的规定，以水库下闸蓄水的当年作为规划设计水平年。枢纽工程建设区移民安置人口推算宜结合实际搬迁年确定截止时间。</w:t>
      </w:r>
    </w:p>
    <w:p>
      <w:pPr>
        <w:overflowPunct w:val="0"/>
        <w:autoSpaceDE w:val="0"/>
        <w:autoSpaceDN w:val="0"/>
        <w:adjustRightInd w:val="0"/>
        <w:spacing w:line="480" w:lineRule="exact"/>
        <w:ind w:firstLine="480" w:firstLineChars="200"/>
        <w:rPr>
          <w:rFonts w:hAnsi="宋体"/>
          <w:sz w:val="24"/>
        </w:rPr>
      </w:pPr>
      <w:r>
        <w:rPr>
          <w:rFonts w:hAnsi="宋体"/>
          <w:sz w:val="24"/>
        </w:rPr>
        <w:t>根据《</w:t>
      </w:r>
      <w:r>
        <w:rPr>
          <w:rFonts w:hint="eastAsia" w:hAnsi="宋体"/>
          <w:sz w:val="24"/>
        </w:rPr>
        <w:t>广东陆河</w:t>
      </w:r>
      <w:r>
        <w:rPr>
          <w:rFonts w:hAnsi="宋体"/>
          <w:sz w:val="24"/>
        </w:rPr>
        <w:t>抽水蓄能电站可行性研究阶段施工总布置专题研究报告》</w:t>
      </w:r>
      <w:r>
        <w:rPr>
          <w:sz w:val="24"/>
        </w:rPr>
        <w:t>(</w:t>
      </w:r>
      <w:r>
        <w:rPr>
          <w:rFonts w:hAnsi="宋体"/>
          <w:sz w:val="24"/>
        </w:rPr>
        <w:t>审定本</w:t>
      </w:r>
      <w:r>
        <w:rPr>
          <w:sz w:val="24"/>
        </w:rPr>
        <w:t>)</w:t>
      </w:r>
      <w:r>
        <w:rPr>
          <w:rFonts w:hAnsi="宋体"/>
          <w:sz w:val="24"/>
        </w:rPr>
        <w:t>初步计划，本工程筹备期</w:t>
      </w:r>
      <w:r>
        <w:rPr>
          <w:rFonts w:hint="eastAsia"/>
          <w:sz w:val="24"/>
        </w:rPr>
        <w:t>1年半</w:t>
      </w:r>
      <w:r>
        <w:rPr>
          <w:rFonts w:hAnsi="宋体"/>
          <w:sz w:val="24"/>
        </w:rPr>
        <w:t>，建设期</w:t>
      </w:r>
      <w:r>
        <w:rPr>
          <w:rFonts w:hint="eastAsia"/>
          <w:sz w:val="24"/>
        </w:rPr>
        <w:t>5年</w:t>
      </w:r>
      <w:r>
        <w:rPr>
          <w:rFonts w:hint="eastAsia" w:hAnsi="宋体"/>
          <w:sz w:val="24"/>
        </w:rPr>
        <w:t>4个月</w:t>
      </w:r>
      <w:r>
        <w:rPr>
          <w:rFonts w:hAnsi="宋体"/>
          <w:sz w:val="24"/>
        </w:rPr>
        <w:t>，按</w:t>
      </w:r>
      <w:r>
        <w:rPr>
          <w:sz w:val="24"/>
        </w:rPr>
        <w:t>2024</w:t>
      </w:r>
      <w:r>
        <w:rPr>
          <w:rFonts w:hAnsi="宋体"/>
          <w:sz w:val="24"/>
        </w:rPr>
        <w:t>年具备枢纽工程开工条件，</w:t>
      </w:r>
      <w:r>
        <w:rPr>
          <w:sz w:val="24"/>
        </w:rPr>
        <w:t>2024</w:t>
      </w:r>
      <w:r>
        <w:rPr>
          <w:rFonts w:hAnsi="宋体"/>
          <w:sz w:val="24"/>
        </w:rPr>
        <w:t>年初需完成枢纽工程建设区征地移民搬迁，为枢纽工程建设区移民搬迁截止年</w:t>
      </w:r>
      <w:r>
        <w:rPr>
          <w:rFonts w:hint="eastAsia" w:hAnsi="宋体"/>
          <w:sz w:val="24"/>
        </w:rPr>
        <w:t>。</w:t>
      </w:r>
      <w:r>
        <w:rPr>
          <w:rFonts w:hAnsi="宋体"/>
          <w:sz w:val="24"/>
        </w:rPr>
        <w:t>本电站实物指标集中在枢纽工程建设区与水库淹没区重叠部分，根据</w:t>
      </w:r>
      <w:r>
        <w:rPr>
          <w:sz w:val="24"/>
        </w:rPr>
        <w:t>“</w:t>
      </w:r>
      <w:r>
        <w:rPr>
          <w:rFonts w:hAnsi="宋体"/>
          <w:sz w:val="24"/>
        </w:rPr>
        <w:t>先移民后建设</w:t>
      </w:r>
      <w:r>
        <w:rPr>
          <w:sz w:val="24"/>
        </w:rPr>
        <w:t>”</w:t>
      </w:r>
      <w:r>
        <w:rPr>
          <w:rFonts w:hAnsi="宋体"/>
          <w:sz w:val="24"/>
        </w:rPr>
        <w:t>的水电开发方针，水库淹没区可考虑提前移民，结合本抽水蓄能电站的建设征地特点，因此本工程移民安置规划设计水平年采用</w:t>
      </w:r>
      <w:r>
        <w:rPr>
          <w:sz w:val="24"/>
        </w:rPr>
        <w:t>2024</w:t>
      </w:r>
      <w:r>
        <w:rPr>
          <w:rFonts w:hAnsi="宋体"/>
          <w:sz w:val="24"/>
        </w:rPr>
        <w:t>年。</w:t>
      </w:r>
    </w:p>
    <w:p>
      <w:pPr>
        <w:pStyle w:val="4"/>
      </w:pPr>
      <w:bookmarkStart w:id="152" w:name="_Toc85632456"/>
      <w:bookmarkStart w:id="153" w:name="_Toc85487697"/>
      <w:bookmarkStart w:id="154" w:name="_Toc85660224"/>
      <w:r>
        <w:t>5.1.2  安置人口</w:t>
      </w:r>
      <w:bookmarkEnd w:id="152"/>
      <w:bookmarkEnd w:id="153"/>
      <w:bookmarkEnd w:id="154"/>
    </w:p>
    <w:p>
      <w:pPr>
        <w:pStyle w:val="5"/>
      </w:pPr>
      <w:r>
        <w:t>5.1.2.1  人口自然增长率</w:t>
      </w:r>
    </w:p>
    <w:p>
      <w:pPr>
        <w:adjustRightInd w:val="0"/>
        <w:spacing w:line="480" w:lineRule="exact"/>
        <w:ind w:firstLine="480" w:firstLineChars="200"/>
        <w:rPr>
          <w:sz w:val="24"/>
        </w:rPr>
      </w:pPr>
      <w:r>
        <w:rPr>
          <w:rFonts w:hint="eastAsia" w:hAnsi="宋体"/>
          <w:sz w:val="24"/>
        </w:rPr>
        <w:t>根据陆河县统计局提供的陆河县近三年人口自然增长情况，2</w:t>
      </w:r>
      <w:r>
        <w:rPr>
          <w:rFonts w:hAnsi="宋体"/>
          <w:sz w:val="24"/>
        </w:rPr>
        <w:t>0</w:t>
      </w:r>
      <w:r>
        <w:rPr>
          <w:rFonts w:hint="eastAsia" w:hAnsi="宋体"/>
          <w:sz w:val="24"/>
        </w:rPr>
        <w:t>1</w:t>
      </w:r>
      <w:r>
        <w:rPr>
          <w:rFonts w:hAnsi="宋体"/>
          <w:sz w:val="24"/>
        </w:rPr>
        <w:t>8</w:t>
      </w:r>
      <w:r>
        <w:rPr>
          <w:rFonts w:hint="eastAsia" w:hAnsi="宋体"/>
          <w:sz w:val="24"/>
        </w:rPr>
        <w:t>年至2</w:t>
      </w:r>
      <w:r>
        <w:rPr>
          <w:rFonts w:hAnsi="宋体"/>
          <w:sz w:val="24"/>
        </w:rPr>
        <w:t>020</w:t>
      </w:r>
      <w:r>
        <w:rPr>
          <w:rFonts w:hint="eastAsia" w:hAnsi="宋体"/>
          <w:sz w:val="24"/>
        </w:rPr>
        <w:t>年陆河县人口自然增长率分别为</w:t>
      </w:r>
      <w:r>
        <w:rPr>
          <w:rFonts w:hAnsi="Times New Roman" w:cs="Times New Roman"/>
          <w:sz w:val="24"/>
        </w:rPr>
        <w:t>9.5</w:t>
      </w:r>
      <w:r>
        <w:rPr>
          <w:rFonts w:hint="eastAsia" w:hAnsi="Times New Roman" w:cs="Times New Roman"/>
          <w:sz w:val="24"/>
        </w:rPr>
        <w:t>‰、</w:t>
      </w:r>
      <w:r>
        <w:rPr>
          <w:rFonts w:hAnsi="Times New Roman" w:cs="Times New Roman"/>
          <w:sz w:val="24"/>
        </w:rPr>
        <w:t>9.41</w:t>
      </w:r>
      <w:r>
        <w:rPr>
          <w:rFonts w:hint="eastAsia" w:hAnsi="Times New Roman" w:cs="Times New Roman"/>
          <w:sz w:val="24"/>
        </w:rPr>
        <w:t>‰和</w:t>
      </w:r>
      <w:r>
        <w:rPr>
          <w:rFonts w:hAnsi="Times New Roman" w:cs="Times New Roman"/>
          <w:sz w:val="24"/>
        </w:rPr>
        <w:t>9.46</w:t>
      </w:r>
      <w:r>
        <w:rPr>
          <w:rFonts w:hint="eastAsia" w:hAnsi="Times New Roman" w:cs="Times New Roman"/>
          <w:sz w:val="24"/>
        </w:rPr>
        <w:t>‰</w:t>
      </w:r>
      <w:r>
        <w:rPr>
          <w:rFonts w:hint="eastAsia" w:hAnsi="宋体"/>
          <w:sz w:val="24"/>
        </w:rPr>
        <w:t>，陆河</w:t>
      </w:r>
      <w:r>
        <w:rPr>
          <w:rFonts w:hAnsi="宋体"/>
          <w:sz w:val="24"/>
        </w:rPr>
        <w:t>抽水蓄能电站建设征地区域内人口年自然增长率</w:t>
      </w:r>
      <w:r>
        <w:rPr>
          <w:rFonts w:hint="eastAsia" w:hAnsi="宋体"/>
          <w:sz w:val="24"/>
        </w:rPr>
        <w:t>按陆河县近三年的平均值9.46</w:t>
      </w:r>
      <w:r>
        <w:rPr>
          <w:sz w:val="24"/>
        </w:rPr>
        <w:t>‰</w:t>
      </w:r>
      <w:r>
        <w:rPr>
          <w:rFonts w:hint="eastAsia"/>
          <w:sz w:val="24"/>
        </w:rPr>
        <w:t>计算</w:t>
      </w:r>
      <w:r>
        <w:rPr>
          <w:rFonts w:hAnsi="宋体"/>
          <w:sz w:val="24"/>
        </w:rPr>
        <w:t>。</w:t>
      </w:r>
    </w:p>
    <w:p>
      <w:pPr>
        <w:pStyle w:val="5"/>
      </w:pPr>
      <w:r>
        <w:t>5.1.2.2  生产安置人口</w:t>
      </w:r>
    </w:p>
    <w:p>
      <w:pPr>
        <w:adjustRightInd w:val="0"/>
        <w:spacing w:line="480" w:lineRule="exact"/>
        <w:ind w:firstLine="480" w:firstLineChars="200"/>
        <w:rPr>
          <w:sz w:val="24"/>
          <w:szCs w:val="24"/>
        </w:rPr>
      </w:pPr>
      <w:r>
        <w:rPr>
          <w:rFonts w:hint="eastAsia" w:hAnsi="宋体"/>
          <w:sz w:val="24"/>
          <w:szCs w:val="24"/>
        </w:rPr>
        <w:t>建设征地区移民的主要农业收入来源为耕地，</w:t>
      </w:r>
      <w:r>
        <w:rPr>
          <w:rFonts w:hAnsi="宋体"/>
          <w:sz w:val="24"/>
          <w:szCs w:val="24"/>
        </w:rPr>
        <w:t>根据《水电工程建设征地移民安置规划设计规范》</w:t>
      </w:r>
      <w:r>
        <w:rPr>
          <w:sz w:val="24"/>
          <w:szCs w:val="24"/>
        </w:rPr>
        <w:t>(DL/T 5064-2007)</w:t>
      </w:r>
      <w:r>
        <w:rPr>
          <w:rFonts w:hAnsi="宋体"/>
          <w:sz w:val="24"/>
          <w:szCs w:val="24"/>
        </w:rPr>
        <w:t>，基准年的生产安置人口按建设征地处理范围涉及村民组的耕地面积除以该组征地前人均耕地面积计算</w:t>
      </w:r>
      <w:r>
        <w:rPr>
          <w:rFonts w:hint="eastAsia" w:hAnsi="宋体"/>
          <w:sz w:val="24"/>
          <w:szCs w:val="24"/>
        </w:rPr>
        <w:t>，</w:t>
      </w:r>
      <w:r>
        <w:rPr>
          <w:rFonts w:hAnsi="宋体"/>
          <w:spacing w:val="2"/>
          <w:sz w:val="24"/>
          <w:szCs w:val="24"/>
        </w:rPr>
        <w:t>计算单元为村民小组。</w:t>
      </w:r>
    </w:p>
    <w:p>
      <w:pPr>
        <w:adjustRightInd w:val="0"/>
        <w:spacing w:line="480" w:lineRule="exact"/>
        <w:ind w:firstLine="480" w:firstLineChars="200"/>
        <w:rPr>
          <w:rFonts w:hAnsi="宋体"/>
          <w:sz w:val="24"/>
        </w:rPr>
      </w:pPr>
      <w:r>
        <w:rPr>
          <w:rFonts w:hint="eastAsia" w:hAnsi="宋体"/>
          <w:sz w:val="24"/>
          <w:szCs w:val="24"/>
        </w:rPr>
        <w:t>规划设计水平年</w:t>
      </w:r>
      <w:r>
        <w:rPr>
          <w:rFonts w:hAnsi="宋体"/>
          <w:sz w:val="24"/>
          <w:szCs w:val="24"/>
        </w:rPr>
        <w:t>的生产安置人口以基准年的生产安置人口为基础，根据人口自然</w:t>
      </w:r>
      <w:r>
        <w:rPr>
          <w:rFonts w:hAnsi="宋体"/>
          <w:sz w:val="24"/>
        </w:rPr>
        <w:t>增长率从基准年推算到</w:t>
      </w:r>
      <w:r>
        <w:rPr>
          <w:rFonts w:hint="eastAsia" w:hAnsi="宋体"/>
          <w:sz w:val="24"/>
        </w:rPr>
        <w:t>规划设计水平年</w:t>
      </w:r>
      <w:r>
        <w:rPr>
          <w:rFonts w:hAnsi="宋体"/>
          <w:sz w:val="24"/>
        </w:rPr>
        <w:t>，计算公式为：</w:t>
      </w:r>
    </w:p>
    <w:p>
      <w:pPr>
        <w:adjustRightInd w:val="0"/>
        <w:spacing w:line="480" w:lineRule="exact"/>
        <w:rPr>
          <w:rFonts w:cs="Times New Roman"/>
          <w:i/>
          <w:sz w:val="24"/>
          <w:szCs w:val="24"/>
        </w:rPr>
      </w:pPr>
      <m:oMathPara>
        <m:oMath>
          <m:r>
            <m:rPr/>
            <w:rPr>
              <w:rFonts w:ascii="Cambria Math" w:hAnsi="Cambria Math" w:cs="Times New Roman"/>
              <w:sz w:val="24"/>
              <w:szCs w:val="24"/>
            </w:rPr>
            <m:t>R=</m:t>
          </m:r>
          <m:r>
            <m:rPr/>
            <w:rPr>
              <w:rFonts w:hint="eastAsia"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R</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(1+k)</m:t>
              </m:r>
              <m:ctrlPr>
                <w:rPr>
                  <w:rFonts w:ascii="Cambria Math" w:hAnsi="Cambria Math" w:cs="Times New Roman"/>
                  <w:i/>
                  <w:sz w:val="24"/>
                  <w:szCs w:val="24"/>
                </w:rPr>
              </m:ctrlPr>
            </m:e>
            <m: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n</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n</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ctrlPr>
                <w:rPr>
                  <w:rFonts w:ascii="Cambria Math" w:hAnsi="Cambria Math" w:cs="Times New Roman"/>
                  <w:i/>
                  <w:sz w:val="24"/>
                  <w:szCs w:val="24"/>
                </w:rPr>
              </m:ctrlPr>
            </m:sup>
          </m:sSup>
        </m:oMath>
      </m:oMathPara>
    </w:p>
    <w:p>
      <w:pPr>
        <w:adjustRightInd w:val="0"/>
        <w:snapToGrid w:val="0"/>
        <w:spacing w:before="120" w:beforeLines="50"/>
        <w:ind w:firstLine="2640" w:firstLineChars="1100"/>
        <w:rPr>
          <w:sz w:val="24"/>
          <w:szCs w:val="24"/>
        </w:rPr>
      </w:pPr>
      <m:oMathPara>
        <m:oMath>
          <m:r>
            <m:rPr/>
            <w:rPr>
              <w:rFonts w:ascii="Cambria Math" w:hAnsi="Cambria Math"/>
              <w:sz w:val="24"/>
              <w:szCs w:val="24"/>
            </w:rPr>
            <m:t>R=</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S</m:t>
                  </m:r>
                  <m:ctrlPr>
                    <w:rPr>
                      <w:rFonts w:ascii="Cambria Math" w:hAnsi="Cambria Math"/>
                      <w:i/>
                      <w:sz w:val="24"/>
                      <w:szCs w:val="24"/>
                    </w:rPr>
                  </m:ctrlPr>
                </m:e>
                <m:sub>
                  <m:r>
                    <m:rPr/>
                    <w:rPr>
                      <w:rFonts w:ascii="Cambria Math" w:hAnsi="Cambria Math"/>
                      <w:sz w:val="24"/>
                      <w:szCs w:val="24"/>
                    </w:rPr>
                    <m:t>i,z</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S</m:t>
                  </m:r>
                  <m:ctrlPr>
                    <w:rPr>
                      <w:rFonts w:ascii="Cambria Math" w:hAnsi="Cambria Math"/>
                      <w:i/>
                      <w:sz w:val="24"/>
                      <w:szCs w:val="24"/>
                    </w:rPr>
                  </m:ctrlPr>
                </m:e>
                <m:sub>
                  <m:r>
                    <m:rPr/>
                    <w:rPr>
                      <w:rFonts w:ascii="Cambria Math" w:hAnsi="Cambria Math"/>
                      <w:sz w:val="24"/>
                      <w:szCs w:val="24"/>
                    </w:rPr>
                    <m:t>i,zq</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i,j</m:t>
                  </m:r>
                  <m:ctrlPr>
                    <w:rPr>
                      <w:rFonts w:ascii="Cambria Math" w:hAnsi="Cambria Math"/>
                      <w:i/>
                      <w:sz w:val="24"/>
                      <w:szCs w:val="24"/>
                    </w:rPr>
                  </m:ctrlPr>
                </m:sub>
              </m:sSub>
              <m:ctrlPr>
                <w:rPr>
                  <w:rFonts w:ascii="Cambria Math" w:hAnsi="Cambria Math"/>
                  <w:i/>
                  <w:sz w:val="24"/>
                  <w:szCs w:val="24"/>
                </w:rPr>
              </m:ctrlPr>
            </m:den>
          </m:f>
        </m:oMath>
      </m:oMathPara>
    </w:p>
    <w:p>
      <w:pPr>
        <w:adjustRightInd w:val="0"/>
        <w:spacing w:line="480" w:lineRule="exact"/>
        <w:ind w:firstLine="480" w:firstLineChars="200"/>
        <w:rPr>
          <w:sz w:val="24"/>
        </w:rPr>
      </w:pPr>
      <w:r>
        <w:rPr>
          <w:sz w:val="24"/>
        </w:rPr>
        <w:t>式中：</w:t>
      </w:r>
      <w:r>
        <w:rPr>
          <w:i/>
          <w:iCs/>
          <w:sz w:val="24"/>
        </w:rPr>
        <w:t>R</w:t>
      </w:r>
      <w:r>
        <w:rPr>
          <w:sz w:val="24"/>
        </w:rPr>
        <w:t>——规划设计水平年生产安置总人口数；</w:t>
      </w:r>
    </w:p>
    <w:p>
      <w:pPr>
        <w:adjustRightInd w:val="0"/>
        <w:spacing w:line="480" w:lineRule="exact"/>
        <w:ind w:firstLine="1200" w:firstLineChars="500"/>
        <w:rPr>
          <w:sz w:val="24"/>
        </w:rPr>
      </w:pPr>
      <w:r>
        <w:rPr>
          <w:i/>
          <w:iCs/>
          <w:sz w:val="24"/>
        </w:rPr>
        <w:t>R</w:t>
      </w:r>
      <w:r>
        <w:rPr>
          <w:i/>
          <w:iCs/>
          <w:sz w:val="24"/>
          <w:vertAlign w:val="subscript"/>
        </w:rPr>
        <w:t>i</w:t>
      </w:r>
      <w:r>
        <w:rPr>
          <w:sz w:val="24"/>
        </w:rPr>
        <w:t>——计算单元设计基准年的生产安置人口数；</w:t>
      </w:r>
    </w:p>
    <w:p>
      <w:pPr>
        <w:adjustRightInd w:val="0"/>
        <w:spacing w:line="480" w:lineRule="exact"/>
        <w:ind w:firstLine="1200" w:firstLineChars="500"/>
        <w:rPr>
          <w:sz w:val="24"/>
        </w:rPr>
      </w:pPr>
      <w:r>
        <w:rPr>
          <w:i/>
          <w:iCs/>
          <w:sz w:val="24"/>
        </w:rPr>
        <w:t>S</w:t>
      </w:r>
      <w:r>
        <w:rPr>
          <w:i/>
          <w:iCs/>
          <w:sz w:val="24"/>
          <w:vertAlign w:val="subscript"/>
        </w:rPr>
        <w:t>i,z</w:t>
      </w:r>
      <w:r>
        <w:rPr>
          <w:sz w:val="24"/>
        </w:rPr>
        <w:t>——计算单元设计基准年征收的</w:t>
      </w:r>
      <w:bookmarkStart w:id="155" w:name="OLE_LINK40"/>
      <w:r>
        <w:rPr>
          <w:sz w:val="24"/>
        </w:rPr>
        <w:t>耕</w:t>
      </w:r>
      <w:bookmarkEnd w:id="155"/>
      <w:r>
        <w:rPr>
          <w:sz w:val="24"/>
        </w:rPr>
        <w:t>地面积；</w:t>
      </w:r>
    </w:p>
    <w:p>
      <w:pPr>
        <w:adjustRightInd w:val="0"/>
        <w:spacing w:line="480" w:lineRule="exact"/>
        <w:ind w:firstLine="1200" w:firstLineChars="500"/>
        <w:rPr>
          <w:sz w:val="24"/>
        </w:rPr>
      </w:pPr>
      <w:r>
        <w:rPr>
          <w:i/>
          <w:iCs/>
          <w:sz w:val="24"/>
        </w:rPr>
        <w:t>S</w:t>
      </w:r>
      <w:r>
        <w:rPr>
          <w:i/>
          <w:iCs/>
          <w:sz w:val="24"/>
          <w:vertAlign w:val="subscript"/>
        </w:rPr>
        <w:t>i,zq</w:t>
      </w:r>
      <w:r>
        <w:rPr>
          <w:sz w:val="24"/>
        </w:rPr>
        <w:t>——计算单元设计基准年征收前的耕地面积；</w:t>
      </w:r>
    </w:p>
    <w:p>
      <w:pPr>
        <w:adjustRightInd w:val="0"/>
        <w:spacing w:line="480" w:lineRule="exact"/>
        <w:ind w:firstLine="1200" w:firstLineChars="500"/>
        <w:rPr>
          <w:sz w:val="24"/>
        </w:rPr>
      </w:pPr>
      <w:r>
        <w:rPr>
          <w:i/>
          <w:iCs/>
          <w:sz w:val="24"/>
        </w:rPr>
        <w:t>R</w:t>
      </w:r>
      <w:r>
        <w:rPr>
          <w:i/>
          <w:iCs/>
          <w:sz w:val="24"/>
          <w:vertAlign w:val="subscript"/>
        </w:rPr>
        <w:t>i,j</w:t>
      </w:r>
      <w:r>
        <w:rPr>
          <w:sz w:val="24"/>
        </w:rPr>
        <w:t>——计算单元设计基准年农业人口数；</w:t>
      </w:r>
    </w:p>
    <w:p>
      <w:pPr>
        <w:adjustRightInd w:val="0"/>
        <w:spacing w:line="480" w:lineRule="exact"/>
        <w:ind w:firstLine="1200" w:firstLineChars="500"/>
        <w:rPr>
          <w:sz w:val="24"/>
        </w:rPr>
      </w:pPr>
      <w:r>
        <w:rPr>
          <w:i/>
          <w:iCs/>
          <w:sz w:val="24"/>
        </w:rPr>
        <w:t>i</w:t>
      </w:r>
      <w:r>
        <w:rPr>
          <w:sz w:val="24"/>
        </w:rPr>
        <w:t>——计算单元数量；</w:t>
      </w:r>
    </w:p>
    <w:p>
      <w:pPr>
        <w:adjustRightInd w:val="0"/>
        <w:spacing w:line="480" w:lineRule="exact"/>
        <w:ind w:firstLine="1200" w:firstLineChars="500"/>
        <w:rPr>
          <w:sz w:val="24"/>
        </w:rPr>
      </w:pPr>
      <w:r>
        <w:rPr>
          <w:i/>
          <w:iCs/>
          <w:sz w:val="24"/>
        </w:rPr>
        <w:t>k</w:t>
      </w:r>
      <w:r>
        <w:rPr>
          <w:sz w:val="24"/>
        </w:rPr>
        <w:t>——人口自然增长率</w:t>
      </w:r>
      <w:r>
        <w:rPr>
          <w:bCs/>
          <w:sz w:val="24"/>
        </w:rPr>
        <w:t>；</w:t>
      </w:r>
    </w:p>
    <w:p>
      <w:pPr>
        <w:adjustRightInd w:val="0"/>
        <w:spacing w:line="480" w:lineRule="exact"/>
        <w:ind w:firstLine="1200" w:firstLineChars="500"/>
        <w:rPr>
          <w:sz w:val="24"/>
        </w:rPr>
      </w:pPr>
      <w:r>
        <w:rPr>
          <w:i/>
          <w:iCs/>
          <w:sz w:val="24"/>
        </w:rPr>
        <w:t>n</w:t>
      </w:r>
      <w:r>
        <w:rPr>
          <w:i/>
          <w:iCs/>
          <w:sz w:val="24"/>
          <w:vertAlign w:val="subscript"/>
        </w:rPr>
        <w:t>1</w:t>
      </w:r>
      <w:r>
        <w:rPr>
          <w:sz w:val="24"/>
        </w:rPr>
        <w:t>——移民安置规划设计水平年；</w:t>
      </w:r>
    </w:p>
    <w:p>
      <w:pPr>
        <w:adjustRightInd w:val="0"/>
        <w:spacing w:line="480" w:lineRule="exact"/>
        <w:ind w:firstLine="1200" w:firstLineChars="500"/>
        <w:rPr>
          <w:sz w:val="24"/>
        </w:rPr>
      </w:pPr>
      <w:bookmarkStart w:id="156" w:name="OLE_LINK17"/>
      <w:r>
        <w:rPr>
          <w:i/>
          <w:iCs/>
          <w:sz w:val="24"/>
        </w:rPr>
        <w:t>n</w:t>
      </w:r>
      <w:r>
        <w:rPr>
          <w:i/>
          <w:iCs/>
          <w:sz w:val="24"/>
          <w:vertAlign w:val="subscript"/>
        </w:rPr>
        <w:t>2</w:t>
      </w:r>
      <w:r>
        <w:rPr>
          <w:sz w:val="24"/>
        </w:rPr>
        <w:t>——</w:t>
      </w:r>
      <w:bookmarkEnd w:id="156"/>
      <w:r>
        <w:rPr>
          <w:sz w:val="24"/>
        </w:rPr>
        <w:t>移民安置规划设计基准年。</w:t>
      </w:r>
    </w:p>
    <w:p>
      <w:pPr>
        <w:adjustRightInd w:val="0"/>
        <w:spacing w:line="480" w:lineRule="exact"/>
        <w:ind w:firstLine="480" w:firstLineChars="200"/>
        <w:rPr>
          <w:rFonts w:hAnsi="宋体"/>
          <w:sz w:val="24"/>
        </w:rPr>
      </w:pPr>
      <w:r>
        <w:rPr>
          <w:rFonts w:hAnsi="宋体"/>
          <w:sz w:val="24"/>
        </w:rPr>
        <w:t>根据上述方法计算出的规划设计水平年生产安置人口必须满足下列条件，即：</w:t>
      </w:r>
    </w:p>
    <w:p>
      <w:pPr>
        <w:adjustRightInd w:val="0"/>
        <w:snapToGrid/>
        <w:spacing w:before="0" w:beforeLines="-2147483648" w:after="0" w:afterLines="-2147483648" w:line="480" w:lineRule="exact"/>
        <w:ind w:firstLine="480" w:firstLineChars="200"/>
        <w:jc w:val="both"/>
        <w:rPr>
          <w:sz w:val="24"/>
        </w:rPr>
      </w:pPr>
      <m:oMathPara>
        <m:oMath>
          <m:r>
            <m:rPr/>
            <w:rPr>
              <w:rFonts w:ascii="Cambria Math" w:hAnsi="Cambria Math"/>
              <w:sz w:val="24"/>
            </w:rPr>
            <m:t>R≤</m:t>
          </m:r>
          <m:sSub>
            <m:sSubPr>
              <m:ctrlPr>
                <w:rPr>
                  <w:rFonts w:ascii="Cambria Math" w:hAnsi="Cambria Math"/>
                  <w:i/>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j</m:t>
              </m:r>
              <m:ctrlPr>
                <w:rPr>
                  <w:rFonts w:ascii="Cambria Math" w:hAnsi="Cambria Math"/>
                  <w:i/>
                  <w:sz w:val="24"/>
                </w:rPr>
              </m:ctrlPr>
            </m:sub>
          </m:sSub>
          <m:sSup>
            <m:sSupPr>
              <m:ctrlPr>
                <w:rPr>
                  <w:rFonts w:ascii="Cambria Math" w:hAnsi="Cambria Math"/>
                  <w:i/>
                  <w:sz w:val="24"/>
                </w:rPr>
              </m:ctrlPr>
            </m:sSupPr>
            <m:e>
              <m:r>
                <m:rPr/>
                <w:rPr>
                  <w:rFonts w:ascii="Cambria Math" w:hAnsi="Cambria Math"/>
                  <w:sz w:val="24"/>
                </w:rPr>
                <m:t>(1+k)</m:t>
              </m:r>
              <m:ctrlPr>
                <w:rPr>
                  <w:rFonts w:ascii="Cambria Math" w:hAnsi="Cambria Math"/>
                  <w:i/>
                  <w:sz w:val="24"/>
                </w:rPr>
              </m:ctrlPr>
            </m:e>
            <m:sup>
              <m:r>
                <m:rPr/>
                <w:rPr>
                  <w:rFonts w:ascii="Cambria Math" w:hAnsi="Cambria Math"/>
                  <w:sz w:val="24"/>
                </w:rPr>
                <m:t>(</m:t>
              </m:r>
              <m:sSub>
                <m:sSubPr>
                  <m:ctrlPr>
                    <w:rPr>
                      <w:rFonts w:ascii="Cambria Math" w:hAnsi="Cambria Math"/>
                      <w:i/>
                      <w:sz w:val="24"/>
                    </w:rPr>
                  </m:ctrlPr>
                </m:sSubPr>
                <m:e>
                  <m:r>
                    <m:rPr/>
                    <w:rPr>
                      <w:rFonts w:ascii="Cambria Math" w:hAnsi="Cambria Math"/>
                      <w:sz w:val="24"/>
                    </w:rPr>
                    <m:t>n</m:t>
                  </m:r>
                  <m:ctrlPr>
                    <w:rPr>
                      <w:rFonts w:ascii="Cambria Math" w:hAnsi="Cambria Math"/>
                      <w:i/>
                      <w:sz w:val="24"/>
                    </w:rPr>
                  </m:ctrlPr>
                </m:e>
                <m:sub>
                  <m:r>
                    <m:rPr/>
                    <w:rPr>
                      <w:rFonts w:ascii="Cambria Math" w:hAnsi="Cambria Math"/>
                      <w:sz w:val="24"/>
                    </w:rPr>
                    <m:t>1</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n</m:t>
                  </m:r>
                  <m:ctrlPr>
                    <w:rPr>
                      <w:rFonts w:ascii="Cambria Math" w:hAnsi="Cambria Math"/>
                      <w:i/>
                      <w:sz w:val="24"/>
                    </w:rPr>
                  </m:ctrlPr>
                </m:e>
                <m:sub>
                  <m:r>
                    <m:rPr/>
                    <w:rPr>
                      <w:rFonts w:ascii="Cambria Math" w:hAnsi="Cambria Math"/>
                      <w:sz w:val="24"/>
                    </w:rPr>
                    <m:t>2</m:t>
                  </m:r>
                  <m:ctrlPr>
                    <w:rPr>
                      <w:rFonts w:ascii="Cambria Math" w:hAnsi="Cambria Math"/>
                      <w:i/>
                      <w:sz w:val="24"/>
                    </w:rPr>
                  </m:ctrlPr>
                </m:sub>
              </m:sSub>
              <m:r>
                <m:rPr/>
                <w:rPr>
                  <w:rFonts w:ascii="Cambria Math" w:hAnsi="Cambria Math"/>
                  <w:sz w:val="24"/>
                </w:rPr>
                <m:t>)</m:t>
              </m:r>
              <m:ctrlPr>
                <w:rPr>
                  <w:rFonts w:ascii="Cambria Math" w:hAnsi="Cambria Math"/>
                  <w:i/>
                  <w:sz w:val="24"/>
                </w:rPr>
              </m:ctrlPr>
            </m:sup>
          </m:sSup>
        </m:oMath>
      </m:oMathPara>
    </w:p>
    <w:p>
      <w:pPr>
        <w:adjustRightInd w:val="0"/>
        <w:spacing w:line="480" w:lineRule="exact"/>
        <w:ind w:firstLine="480" w:firstLineChars="200"/>
        <w:rPr>
          <w:sz w:val="24"/>
        </w:rPr>
      </w:pPr>
      <w:r>
        <w:rPr>
          <w:rFonts w:hAnsi="宋体"/>
          <w:sz w:val="24"/>
        </w:rPr>
        <w:t>式中：</w:t>
      </w:r>
      <w:r>
        <w:rPr>
          <w:i/>
          <w:iCs/>
          <w:sz w:val="24"/>
        </w:rPr>
        <w:t>R</w:t>
      </w:r>
      <w:r>
        <w:rPr>
          <w:i/>
          <w:iCs/>
          <w:sz w:val="24"/>
          <w:vertAlign w:val="subscript"/>
        </w:rPr>
        <w:t>j</w:t>
      </w:r>
      <w:r>
        <w:rPr>
          <w:sz w:val="24"/>
        </w:rPr>
        <w:t>——</w:t>
      </w:r>
      <w:r>
        <w:rPr>
          <w:rFonts w:hAnsi="宋体"/>
          <w:sz w:val="24"/>
        </w:rPr>
        <w:t>设计基准年农业人口总数。</w:t>
      </w:r>
    </w:p>
    <w:p>
      <w:pPr>
        <w:adjustRightInd w:val="0"/>
        <w:spacing w:line="480" w:lineRule="exact"/>
        <w:ind w:firstLine="480" w:firstLineChars="200"/>
        <w:rPr>
          <w:rFonts w:hAnsi="宋体"/>
          <w:sz w:val="24"/>
        </w:rPr>
      </w:pPr>
      <w:r>
        <w:rPr>
          <w:rFonts w:hAnsi="宋体"/>
          <w:sz w:val="24"/>
        </w:rPr>
        <w:t>经计算，</w:t>
      </w:r>
      <w:r>
        <w:rPr>
          <w:rFonts w:hint="eastAsia" w:hAnsi="宋体"/>
          <w:sz w:val="24"/>
        </w:rPr>
        <w:t>陆河</w:t>
      </w:r>
      <w:r>
        <w:rPr>
          <w:rFonts w:hAnsi="宋体"/>
          <w:sz w:val="24"/>
        </w:rPr>
        <w:t>抽水蓄能电站建设征地基准年生产安置人口为</w:t>
      </w:r>
      <w:r>
        <w:rPr>
          <w:sz w:val="24"/>
        </w:rPr>
        <w:t>154</w:t>
      </w:r>
      <w:r>
        <w:rPr>
          <w:rFonts w:hAnsi="宋体"/>
          <w:sz w:val="24"/>
        </w:rPr>
        <w:t>人，至</w:t>
      </w:r>
      <w:r>
        <w:rPr>
          <w:rFonts w:hint="eastAsia" w:hAnsi="宋体"/>
          <w:sz w:val="24"/>
        </w:rPr>
        <w:t>规划设计水平年</w:t>
      </w:r>
      <w:r>
        <w:rPr>
          <w:rFonts w:hAnsi="宋体"/>
          <w:sz w:val="24"/>
        </w:rPr>
        <w:t>生产安置人口为</w:t>
      </w:r>
      <w:bookmarkStart w:id="157" w:name="_Hlk80826495"/>
      <w:r>
        <w:rPr>
          <w:sz w:val="24"/>
        </w:rPr>
        <w:t>160</w:t>
      </w:r>
      <w:r>
        <w:rPr>
          <w:rFonts w:hAnsi="宋体"/>
          <w:sz w:val="24"/>
        </w:rPr>
        <w:t>人</w:t>
      </w:r>
      <w:bookmarkEnd w:id="157"/>
      <w:r>
        <w:rPr>
          <w:rFonts w:hAnsi="宋体"/>
          <w:sz w:val="24"/>
        </w:rPr>
        <w:t>。详见表</w:t>
      </w:r>
      <w:r>
        <w:rPr>
          <w:sz w:val="24"/>
        </w:rPr>
        <w:t>5.</w:t>
      </w:r>
      <w:r>
        <w:rPr>
          <w:rFonts w:hint="eastAsia"/>
          <w:sz w:val="24"/>
        </w:rPr>
        <w:t>1.2-1</w:t>
      </w:r>
      <w:r>
        <w:rPr>
          <w:rFonts w:hAnsi="宋体"/>
          <w:sz w:val="24"/>
        </w:rPr>
        <w:t>。</w:t>
      </w:r>
    </w:p>
    <w:p>
      <w:pPr>
        <w:adjustRightInd w:val="0"/>
        <w:spacing w:line="480" w:lineRule="exact"/>
        <w:rPr>
          <w:sz w:val="24"/>
        </w:rPr>
      </w:pPr>
    </w:p>
    <w:p>
      <w:pPr>
        <w:adjustRightInd w:val="0"/>
        <w:spacing w:line="480" w:lineRule="exact"/>
        <w:rPr>
          <w:sz w:val="24"/>
        </w:rPr>
        <w:sectPr>
          <w:footerReference r:id="rId16" w:type="default"/>
          <w:pgSz w:w="11906" w:h="16838"/>
          <w:pgMar w:top="1588" w:right="1565" w:bottom="1531" w:left="1565" w:header="1134" w:footer="1247" w:gutter="0"/>
          <w:cols w:space="720" w:num="1"/>
          <w:docGrid w:linePitch="312" w:charSpace="0"/>
        </w:sectPr>
      </w:pPr>
    </w:p>
    <w:p>
      <w:pPr>
        <w:pStyle w:val="517"/>
      </w:pPr>
      <w:r>
        <w:t>表5.</w:t>
      </w:r>
      <w:r>
        <w:rPr>
          <w:rFonts w:hint="eastAsia"/>
        </w:rPr>
        <w:t>1.</w:t>
      </w:r>
      <w:r>
        <w:t xml:space="preserve">2-1  </w:t>
      </w:r>
      <w:r>
        <w:rPr>
          <w:rFonts w:hint="eastAsia"/>
        </w:rPr>
        <w:t>陆河</w:t>
      </w:r>
      <w:r>
        <w:t>抽水蓄能电站建设征地生产安置人口计算表</w:t>
      </w:r>
    </w:p>
    <w:tbl>
      <w:tblPr>
        <w:tblStyle w:val="79"/>
        <w:tblW w:w="139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8"/>
        <w:gridCol w:w="1111"/>
        <w:gridCol w:w="891"/>
        <w:gridCol w:w="1111"/>
        <w:gridCol w:w="668"/>
        <w:gridCol w:w="668"/>
        <w:gridCol w:w="668"/>
        <w:gridCol w:w="732"/>
        <w:gridCol w:w="835"/>
        <w:gridCol w:w="835"/>
        <w:gridCol w:w="835"/>
        <w:gridCol w:w="1554"/>
        <w:gridCol w:w="836"/>
        <w:gridCol w:w="733"/>
        <w:gridCol w:w="892"/>
        <w:gridCol w:w="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68" w:type="dxa"/>
            <w:vMerge w:val="restart"/>
            <w:noWrap/>
            <w:vAlign w:val="center"/>
          </w:tcPr>
          <w:p>
            <w:pPr>
              <w:widowControl/>
              <w:jc w:val="center"/>
              <w:textAlignment w:val="center"/>
              <w:rPr>
                <w:rFonts w:cs="Times New Roman"/>
                <w:color w:val="000000"/>
              </w:rPr>
            </w:pPr>
            <w:r>
              <w:rPr>
                <w:rFonts w:hAnsi="宋体" w:cs="Times New Roman"/>
                <w:color w:val="000000"/>
                <w:kern w:val="0"/>
                <w:lang w:bidi="ar"/>
              </w:rPr>
              <w:t>序号</w:t>
            </w:r>
          </w:p>
        </w:tc>
        <w:tc>
          <w:tcPr>
            <w:tcW w:w="1111" w:type="dxa"/>
            <w:vMerge w:val="restart"/>
            <w:noWrap/>
            <w:vAlign w:val="center"/>
          </w:tcPr>
          <w:p>
            <w:pPr>
              <w:widowControl/>
              <w:jc w:val="center"/>
              <w:textAlignment w:val="center"/>
              <w:rPr>
                <w:rFonts w:cs="Times New Roman"/>
                <w:color w:val="000000"/>
              </w:rPr>
            </w:pPr>
            <w:r>
              <w:rPr>
                <w:rFonts w:hAnsi="宋体" w:cs="Times New Roman"/>
                <w:color w:val="000000"/>
                <w:kern w:val="0"/>
                <w:lang w:bidi="ar"/>
              </w:rPr>
              <w:t>村</w:t>
            </w:r>
          </w:p>
        </w:tc>
        <w:tc>
          <w:tcPr>
            <w:tcW w:w="891" w:type="dxa"/>
            <w:vMerge w:val="restart"/>
            <w:noWrap/>
            <w:vAlign w:val="center"/>
          </w:tcPr>
          <w:p>
            <w:pPr>
              <w:widowControl/>
              <w:jc w:val="center"/>
              <w:textAlignment w:val="center"/>
              <w:rPr>
                <w:rFonts w:cs="Times New Roman"/>
                <w:color w:val="000000"/>
              </w:rPr>
            </w:pPr>
            <w:r>
              <w:rPr>
                <w:rFonts w:hAnsi="宋体" w:cs="Times New Roman"/>
                <w:color w:val="000000"/>
                <w:kern w:val="0"/>
                <w:lang w:bidi="ar"/>
              </w:rPr>
              <w:t>组</w:t>
            </w:r>
          </w:p>
        </w:tc>
        <w:tc>
          <w:tcPr>
            <w:tcW w:w="1111" w:type="dxa"/>
            <w:vMerge w:val="restart"/>
            <w:noWrap/>
            <w:vAlign w:val="center"/>
          </w:tcPr>
          <w:p>
            <w:pPr>
              <w:widowControl/>
              <w:jc w:val="center"/>
              <w:textAlignment w:val="center"/>
              <w:rPr>
                <w:rFonts w:hAnsi="宋体" w:cs="Times New Roman"/>
                <w:color w:val="000000"/>
                <w:kern w:val="0"/>
                <w:lang w:bidi="ar"/>
              </w:rPr>
            </w:pPr>
            <w:r>
              <w:rPr>
                <w:rFonts w:hAnsi="宋体" w:cs="Times New Roman"/>
                <w:color w:val="000000"/>
                <w:kern w:val="0"/>
                <w:lang w:bidi="ar"/>
              </w:rPr>
              <w:t>农业人口</w:t>
            </w:r>
          </w:p>
        </w:tc>
        <w:tc>
          <w:tcPr>
            <w:tcW w:w="2736" w:type="dxa"/>
            <w:gridSpan w:val="4"/>
            <w:noWrap/>
            <w:vAlign w:val="center"/>
          </w:tcPr>
          <w:p>
            <w:pPr>
              <w:widowControl/>
              <w:jc w:val="center"/>
              <w:textAlignment w:val="center"/>
              <w:rPr>
                <w:rFonts w:cs="Times New Roman"/>
                <w:color w:val="000000"/>
              </w:rPr>
            </w:pPr>
            <w:r>
              <w:rPr>
                <w:rFonts w:hAnsi="宋体" w:cs="Times New Roman"/>
                <w:color w:val="000000"/>
                <w:kern w:val="0"/>
                <w:lang w:bidi="ar"/>
              </w:rPr>
              <w:t>现状耕地</w:t>
            </w:r>
          </w:p>
        </w:tc>
        <w:tc>
          <w:tcPr>
            <w:tcW w:w="2505" w:type="dxa"/>
            <w:gridSpan w:val="3"/>
            <w:noWrap/>
            <w:vAlign w:val="center"/>
          </w:tcPr>
          <w:p>
            <w:pPr>
              <w:widowControl/>
              <w:jc w:val="center"/>
              <w:textAlignment w:val="center"/>
              <w:rPr>
                <w:rFonts w:cs="Times New Roman"/>
                <w:color w:val="000000"/>
              </w:rPr>
            </w:pPr>
            <w:r>
              <w:rPr>
                <w:rFonts w:hAnsi="宋体" w:cs="Times New Roman"/>
                <w:color w:val="000000"/>
                <w:kern w:val="0"/>
                <w:lang w:bidi="ar"/>
              </w:rPr>
              <w:t>建设征地征收耕地</w:t>
            </w:r>
          </w:p>
        </w:tc>
        <w:tc>
          <w:tcPr>
            <w:tcW w:w="1554" w:type="dxa"/>
            <w:vMerge w:val="restart"/>
            <w:vAlign w:val="center"/>
          </w:tcPr>
          <w:p>
            <w:pPr>
              <w:widowControl/>
              <w:jc w:val="center"/>
              <w:textAlignment w:val="center"/>
              <w:rPr>
                <w:rFonts w:hAnsi="宋体" w:cs="Times New Roman"/>
                <w:color w:val="000000"/>
                <w:kern w:val="0"/>
                <w:lang w:bidi="ar"/>
              </w:rPr>
            </w:pPr>
            <w:r>
              <w:rPr>
                <w:rFonts w:hAnsi="宋体" w:cs="Times New Roman"/>
                <w:color w:val="000000"/>
                <w:kern w:val="0"/>
                <w:lang w:bidi="ar"/>
              </w:rPr>
              <w:t>征收影响比例</w:t>
            </w:r>
          </w:p>
        </w:tc>
        <w:tc>
          <w:tcPr>
            <w:tcW w:w="1569" w:type="dxa"/>
            <w:gridSpan w:val="2"/>
            <w:noWrap/>
            <w:vAlign w:val="center"/>
          </w:tcPr>
          <w:p>
            <w:pPr>
              <w:widowControl/>
              <w:jc w:val="center"/>
              <w:textAlignment w:val="center"/>
              <w:rPr>
                <w:rFonts w:cs="Times New Roman"/>
                <w:color w:val="000000"/>
              </w:rPr>
            </w:pPr>
            <w:r>
              <w:rPr>
                <w:rFonts w:hAnsi="宋体" w:cs="Times New Roman"/>
                <w:color w:val="000000"/>
                <w:kern w:val="0"/>
                <w:lang w:bidi="ar"/>
              </w:rPr>
              <w:t>剩余耕地</w:t>
            </w:r>
          </w:p>
        </w:tc>
        <w:tc>
          <w:tcPr>
            <w:tcW w:w="1779" w:type="dxa"/>
            <w:gridSpan w:val="2"/>
            <w:noWrap/>
            <w:vAlign w:val="center"/>
          </w:tcPr>
          <w:p>
            <w:pPr>
              <w:widowControl/>
              <w:jc w:val="center"/>
              <w:textAlignment w:val="center"/>
              <w:rPr>
                <w:rFonts w:cs="Times New Roman"/>
                <w:color w:val="000000"/>
              </w:rPr>
            </w:pPr>
            <w:r>
              <w:rPr>
                <w:rFonts w:hAnsi="宋体" w:cs="Times New Roman"/>
                <w:color w:val="000000"/>
                <w:kern w:val="0"/>
                <w:lang w:bidi="ar"/>
              </w:rPr>
              <w:t>生产安置人口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68" w:type="dxa"/>
            <w:vMerge w:val="continue"/>
            <w:noWrap/>
            <w:vAlign w:val="center"/>
          </w:tcPr>
          <w:p>
            <w:pPr>
              <w:jc w:val="center"/>
              <w:rPr>
                <w:rFonts w:cs="Times New Roman"/>
                <w:color w:val="000000"/>
              </w:rPr>
            </w:pPr>
          </w:p>
        </w:tc>
        <w:tc>
          <w:tcPr>
            <w:tcW w:w="1111" w:type="dxa"/>
            <w:vMerge w:val="continue"/>
            <w:noWrap/>
            <w:vAlign w:val="center"/>
          </w:tcPr>
          <w:p>
            <w:pPr>
              <w:jc w:val="center"/>
              <w:rPr>
                <w:rFonts w:cs="Times New Roman"/>
                <w:color w:val="000000"/>
              </w:rPr>
            </w:pPr>
          </w:p>
        </w:tc>
        <w:tc>
          <w:tcPr>
            <w:tcW w:w="891" w:type="dxa"/>
            <w:vMerge w:val="continue"/>
            <w:noWrap/>
            <w:vAlign w:val="center"/>
          </w:tcPr>
          <w:p>
            <w:pPr>
              <w:jc w:val="center"/>
              <w:rPr>
                <w:rFonts w:cs="Times New Roman"/>
                <w:color w:val="000000"/>
              </w:rPr>
            </w:pPr>
          </w:p>
        </w:tc>
        <w:tc>
          <w:tcPr>
            <w:tcW w:w="1111" w:type="dxa"/>
            <w:vMerge w:val="continue"/>
            <w:noWrap/>
            <w:vAlign w:val="center"/>
          </w:tcPr>
          <w:p>
            <w:pPr>
              <w:jc w:val="center"/>
              <w:rPr>
                <w:rFonts w:cs="Times New Roman"/>
                <w:color w:val="000000"/>
              </w:rPr>
            </w:pPr>
          </w:p>
        </w:tc>
        <w:tc>
          <w:tcPr>
            <w:tcW w:w="668" w:type="dxa"/>
            <w:noWrap/>
            <w:vAlign w:val="center"/>
          </w:tcPr>
          <w:p>
            <w:pPr>
              <w:widowControl/>
              <w:jc w:val="center"/>
              <w:textAlignment w:val="center"/>
              <w:rPr>
                <w:rFonts w:cs="Times New Roman"/>
                <w:color w:val="000000"/>
              </w:rPr>
            </w:pPr>
            <w:r>
              <w:rPr>
                <w:rFonts w:hAnsi="宋体" w:cs="Times New Roman"/>
                <w:color w:val="000000"/>
                <w:kern w:val="0"/>
                <w:lang w:bidi="ar"/>
              </w:rPr>
              <w:t>水田</w:t>
            </w:r>
          </w:p>
        </w:tc>
        <w:tc>
          <w:tcPr>
            <w:tcW w:w="668" w:type="dxa"/>
            <w:noWrap/>
            <w:vAlign w:val="center"/>
          </w:tcPr>
          <w:p>
            <w:pPr>
              <w:widowControl/>
              <w:jc w:val="center"/>
              <w:textAlignment w:val="center"/>
              <w:rPr>
                <w:rFonts w:cs="Times New Roman"/>
                <w:color w:val="000000"/>
              </w:rPr>
            </w:pPr>
            <w:r>
              <w:rPr>
                <w:rFonts w:hAnsi="宋体" w:cs="Times New Roman"/>
                <w:color w:val="000000"/>
                <w:kern w:val="0"/>
                <w:lang w:bidi="ar"/>
              </w:rPr>
              <w:t>旱地</w:t>
            </w:r>
          </w:p>
        </w:tc>
        <w:tc>
          <w:tcPr>
            <w:tcW w:w="668" w:type="dxa"/>
            <w:noWrap/>
            <w:vAlign w:val="center"/>
          </w:tcPr>
          <w:p>
            <w:pPr>
              <w:widowControl/>
              <w:jc w:val="center"/>
              <w:textAlignment w:val="center"/>
              <w:rPr>
                <w:rFonts w:cs="Times New Roman"/>
                <w:color w:val="000000"/>
              </w:rPr>
            </w:pPr>
            <w:r>
              <w:rPr>
                <w:rFonts w:hAnsi="宋体" w:cs="Times New Roman"/>
                <w:color w:val="000000"/>
                <w:kern w:val="0"/>
                <w:lang w:bidi="ar"/>
              </w:rPr>
              <w:t>合计</w:t>
            </w:r>
          </w:p>
        </w:tc>
        <w:tc>
          <w:tcPr>
            <w:tcW w:w="732" w:type="dxa"/>
            <w:noWrap/>
            <w:vAlign w:val="center"/>
          </w:tcPr>
          <w:p>
            <w:pPr>
              <w:widowControl/>
              <w:jc w:val="center"/>
              <w:textAlignment w:val="center"/>
              <w:rPr>
                <w:rFonts w:cs="Times New Roman"/>
                <w:color w:val="000000"/>
              </w:rPr>
            </w:pPr>
            <w:r>
              <w:rPr>
                <w:rFonts w:hAnsi="宋体" w:cs="Times New Roman"/>
                <w:color w:val="000000"/>
                <w:kern w:val="0"/>
                <w:lang w:bidi="ar"/>
              </w:rPr>
              <w:t>人均</w:t>
            </w:r>
          </w:p>
        </w:tc>
        <w:tc>
          <w:tcPr>
            <w:tcW w:w="835" w:type="dxa"/>
            <w:noWrap/>
            <w:vAlign w:val="center"/>
          </w:tcPr>
          <w:p>
            <w:pPr>
              <w:widowControl/>
              <w:jc w:val="center"/>
              <w:textAlignment w:val="center"/>
              <w:rPr>
                <w:rFonts w:cs="Times New Roman"/>
                <w:color w:val="000000"/>
              </w:rPr>
            </w:pPr>
            <w:r>
              <w:rPr>
                <w:rFonts w:hAnsi="宋体" w:cs="Times New Roman"/>
                <w:color w:val="000000"/>
                <w:kern w:val="0"/>
                <w:lang w:bidi="ar"/>
              </w:rPr>
              <w:t>水田</w:t>
            </w:r>
          </w:p>
        </w:tc>
        <w:tc>
          <w:tcPr>
            <w:tcW w:w="835" w:type="dxa"/>
            <w:noWrap/>
            <w:vAlign w:val="center"/>
          </w:tcPr>
          <w:p>
            <w:pPr>
              <w:widowControl/>
              <w:jc w:val="center"/>
              <w:textAlignment w:val="center"/>
              <w:rPr>
                <w:rFonts w:cs="Times New Roman"/>
                <w:color w:val="000000"/>
              </w:rPr>
            </w:pPr>
            <w:r>
              <w:rPr>
                <w:rFonts w:hAnsi="宋体" w:cs="Times New Roman"/>
                <w:color w:val="000000"/>
                <w:kern w:val="0"/>
                <w:lang w:bidi="ar"/>
              </w:rPr>
              <w:t>旱地</w:t>
            </w:r>
          </w:p>
        </w:tc>
        <w:tc>
          <w:tcPr>
            <w:tcW w:w="835" w:type="dxa"/>
            <w:noWrap/>
            <w:vAlign w:val="center"/>
          </w:tcPr>
          <w:p>
            <w:pPr>
              <w:widowControl/>
              <w:jc w:val="center"/>
              <w:textAlignment w:val="center"/>
              <w:rPr>
                <w:rFonts w:cs="Times New Roman"/>
                <w:color w:val="000000"/>
              </w:rPr>
            </w:pPr>
            <w:r>
              <w:rPr>
                <w:rFonts w:hAnsi="宋体" w:cs="Times New Roman"/>
                <w:color w:val="000000"/>
                <w:kern w:val="0"/>
                <w:lang w:bidi="ar"/>
              </w:rPr>
              <w:t>合计</w:t>
            </w:r>
          </w:p>
        </w:tc>
        <w:tc>
          <w:tcPr>
            <w:tcW w:w="1554" w:type="dxa"/>
            <w:vMerge w:val="continue"/>
            <w:vAlign w:val="center"/>
          </w:tcPr>
          <w:p>
            <w:pPr>
              <w:jc w:val="center"/>
              <w:rPr>
                <w:rFonts w:cs="Times New Roman"/>
                <w:color w:val="000000"/>
              </w:rPr>
            </w:pPr>
          </w:p>
        </w:tc>
        <w:tc>
          <w:tcPr>
            <w:tcW w:w="836" w:type="dxa"/>
            <w:noWrap/>
            <w:vAlign w:val="center"/>
          </w:tcPr>
          <w:p>
            <w:pPr>
              <w:widowControl/>
              <w:jc w:val="center"/>
              <w:textAlignment w:val="center"/>
              <w:rPr>
                <w:rFonts w:cs="Times New Roman"/>
                <w:color w:val="000000"/>
              </w:rPr>
            </w:pPr>
            <w:r>
              <w:rPr>
                <w:rFonts w:hAnsi="宋体" w:cs="Times New Roman"/>
                <w:color w:val="000000"/>
                <w:kern w:val="0"/>
                <w:lang w:bidi="ar"/>
              </w:rPr>
              <w:t>面积</w:t>
            </w:r>
          </w:p>
        </w:tc>
        <w:tc>
          <w:tcPr>
            <w:tcW w:w="733" w:type="dxa"/>
            <w:noWrap/>
            <w:vAlign w:val="center"/>
          </w:tcPr>
          <w:p>
            <w:pPr>
              <w:widowControl/>
              <w:jc w:val="center"/>
              <w:textAlignment w:val="center"/>
              <w:rPr>
                <w:rFonts w:cs="Times New Roman"/>
                <w:color w:val="000000"/>
              </w:rPr>
            </w:pPr>
            <w:r>
              <w:rPr>
                <w:rFonts w:hAnsi="宋体" w:cs="Times New Roman"/>
                <w:color w:val="000000"/>
                <w:kern w:val="0"/>
                <w:lang w:bidi="ar"/>
              </w:rPr>
              <w:t>人均</w:t>
            </w:r>
          </w:p>
        </w:tc>
        <w:tc>
          <w:tcPr>
            <w:tcW w:w="892" w:type="dxa"/>
            <w:noWrap/>
            <w:vAlign w:val="center"/>
          </w:tcPr>
          <w:p>
            <w:pPr>
              <w:widowControl/>
              <w:jc w:val="center"/>
              <w:textAlignment w:val="center"/>
              <w:rPr>
                <w:rFonts w:cs="Times New Roman"/>
                <w:color w:val="000000"/>
              </w:rPr>
            </w:pPr>
            <w:r>
              <w:rPr>
                <w:rFonts w:hAnsi="宋体" w:cs="Times New Roman"/>
                <w:color w:val="000000"/>
                <w:kern w:val="0"/>
                <w:lang w:bidi="ar"/>
              </w:rPr>
              <w:t>基准年</w:t>
            </w:r>
          </w:p>
        </w:tc>
        <w:tc>
          <w:tcPr>
            <w:tcW w:w="887" w:type="dxa"/>
            <w:noWrap/>
            <w:vAlign w:val="center"/>
          </w:tcPr>
          <w:p>
            <w:pPr>
              <w:widowControl/>
              <w:jc w:val="center"/>
              <w:textAlignment w:val="center"/>
              <w:rPr>
                <w:rFonts w:cs="Times New Roman"/>
                <w:color w:val="000000"/>
              </w:rPr>
            </w:pPr>
            <w:r>
              <w:rPr>
                <w:rFonts w:hAnsi="宋体" w:cs="Times New Roman"/>
                <w:color w:val="000000"/>
                <w:kern w:val="0"/>
                <w:lang w:bidi="ar"/>
              </w:rPr>
              <w:t>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68" w:type="dxa"/>
            <w:vMerge w:val="continue"/>
            <w:noWrap/>
            <w:vAlign w:val="center"/>
          </w:tcPr>
          <w:p>
            <w:pPr>
              <w:jc w:val="center"/>
              <w:rPr>
                <w:rFonts w:cs="Times New Roman"/>
                <w:color w:val="000000"/>
              </w:rPr>
            </w:pPr>
          </w:p>
        </w:tc>
        <w:tc>
          <w:tcPr>
            <w:tcW w:w="1111" w:type="dxa"/>
            <w:vMerge w:val="continue"/>
            <w:noWrap/>
            <w:vAlign w:val="center"/>
          </w:tcPr>
          <w:p>
            <w:pPr>
              <w:jc w:val="center"/>
              <w:rPr>
                <w:rFonts w:cs="Times New Roman"/>
                <w:color w:val="000000"/>
              </w:rPr>
            </w:pPr>
          </w:p>
        </w:tc>
        <w:tc>
          <w:tcPr>
            <w:tcW w:w="891" w:type="dxa"/>
            <w:vMerge w:val="continue"/>
            <w:noWrap/>
            <w:vAlign w:val="center"/>
          </w:tcPr>
          <w:p>
            <w:pPr>
              <w:jc w:val="center"/>
              <w:rPr>
                <w:rFonts w:cs="Times New Roman"/>
                <w:color w:val="000000"/>
              </w:rPr>
            </w:pPr>
          </w:p>
        </w:tc>
        <w:tc>
          <w:tcPr>
            <w:tcW w:w="1111" w:type="dxa"/>
            <w:noWrap/>
            <w:vAlign w:val="center"/>
          </w:tcPr>
          <w:p>
            <w:pPr>
              <w:widowControl/>
              <w:jc w:val="center"/>
              <w:textAlignment w:val="center"/>
              <w:rPr>
                <w:rFonts w:cs="Times New Roman"/>
                <w:color w:val="000000"/>
              </w:rPr>
            </w:pPr>
            <w:r>
              <w:rPr>
                <w:rFonts w:hAnsi="宋体" w:cs="Times New Roman"/>
                <w:color w:val="000000"/>
                <w:kern w:val="0"/>
                <w:lang w:bidi="ar"/>
              </w:rPr>
              <w:t>人</w:t>
            </w:r>
          </w:p>
        </w:tc>
        <w:tc>
          <w:tcPr>
            <w:tcW w:w="668" w:type="dxa"/>
            <w:noWrap/>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668" w:type="dxa"/>
            <w:noWrap/>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668" w:type="dxa"/>
            <w:noWrap/>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732" w:type="dxa"/>
            <w:noWrap/>
            <w:vAlign w:val="center"/>
          </w:tcPr>
          <w:p>
            <w:pPr>
              <w:widowControl/>
              <w:jc w:val="center"/>
              <w:textAlignment w:val="center"/>
              <w:rPr>
                <w:rFonts w:cs="Times New Roman"/>
                <w:color w:val="000000"/>
              </w:rPr>
            </w:pPr>
            <w:r>
              <w:rPr>
                <w:rFonts w:hAnsi="宋体" w:cs="Times New Roman"/>
                <w:color w:val="000000"/>
                <w:kern w:val="0"/>
                <w:lang w:bidi="ar"/>
              </w:rPr>
              <w:t>亩</w:t>
            </w:r>
            <w:r>
              <w:rPr>
                <w:rFonts w:cs="Times New Roman"/>
                <w:color w:val="000000"/>
                <w:kern w:val="0"/>
                <w:lang w:bidi="ar"/>
              </w:rPr>
              <w:t>/</w:t>
            </w:r>
            <w:r>
              <w:rPr>
                <w:rFonts w:hAnsi="宋体" w:cs="Times New Roman"/>
                <w:color w:val="000000"/>
                <w:kern w:val="0"/>
                <w:lang w:bidi="ar"/>
              </w:rPr>
              <w:t>人</w:t>
            </w:r>
          </w:p>
        </w:tc>
        <w:tc>
          <w:tcPr>
            <w:tcW w:w="835" w:type="dxa"/>
            <w:noWrap/>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835" w:type="dxa"/>
            <w:noWrap/>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835" w:type="dxa"/>
            <w:noWrap/>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1554" w:type="dxa"/>
            <w:vMerge w:val="continue"/>
            <w:vAlign w:val="center"/>
          </w:tcPr>
          <w:p>
            <w:pPr>
              <w:jc w:val="center"/>
              <w:rPr>
                <w:rFonts w:cs="Times New Roman"/>
                <w:color w:val="000000"/>
              </w:rPr>
            </w:pPr>
          </w:p>
        </w:tc>
        <w:tc>
          <w:tcPr>
            <w:tcW w:w="836" w:type="dxa"/>
            <w:vAlign w:val="center"/>
          </w:tcPr>
          <w:p>
            <w:pPr>
              <w:widowControl/>
              <w:jc w:val="center"/>
              <w:textAlignment w:val="center"/>
              <w:rPr>
                <w:rFonts w:cs="Times New Roman"/>
                <w:color w:val="000000"/>
              </w:rPr>
            </w:pPr>
            <w:r>
              <w:rPr>
                <w:rFonts w:hAnsi="宋体" w:cs="Times New Roman"/>
                <w:color w:val="000000"/>
                <w:kern w:val="0"/>
                <w:lang w:bidi="ar"/>
              </w:rPr>
              <w:t>亩</w:t>
            </w:r>
          </w:p>
        </w:tc>
        <w:tc>
          <w:tcPr>
            <w:tcW w:w="733" w:type="dxa"/>
            <w:vAlign w:val="center"/>
          </w:tcPr>
          <w:p>
            <w:pPr>
              <w:widowControl/>
              <w:jc w:val="center"/>
              <w:textAlignment w:val="center"/>
              <w:rPr>
                <w:rFonts w:cs="Times New Roman"/>
                <w:color w:val="000000"/>
              </w:rPr>
            </w:pPr>
            <w:r>
              <w:rPr>
                <w:rFonts w:hAnsi="宋体" w:cs="Times New Roman"/>
                <w:color w:val="000000"/>
              </w:rPr>
              <w:t>亩</w:t>
            </w:r>
            <w:r>
              <w:rPr>
                <w:rFonts w:cs="Times New Roman"/>
                <w:color w:val="000000"/>
              </w:rPr>
              <w:t>/</w:t>
            </w:r>
            <w:r>
              <w:rPr>
                <w:rFonts w:hAnsi="宋体" w:cs="Times New Roman"/>
                <w:color w:val="000000"/>
              </w:rPr>
              <w:t>人</w:t>
            </w:r>
          </w:p>
        </w:tc>
        <w:tc>
          <w:tcPr>
            <w:tcW w:w="892" w:type="dxa"/>
            <w:noWrap/>
            <w:vAlign w:val="center"/>
          </w:tcPr>
          <w:p>
            <w:pPr>
              <w:widowControl/>
              <w:jc w:val="center"/>
              <w:textAlignment w:val="center"/>
              <w:rPr>
                <w:rFonts w:cs="Times New Roman"/>
                <w:color w:val="000000"/>
              </w:rPr>
            </w:pPr>
            <w:r>
              <w:rPr>
                <w:rFonts w:hAnsi="宋体" w:cs="Times New Roman"/>
                <w:color w:val="000000"/>
                <w:kern w:val="0"/>
                <w:lang w:bidi="ar"/>
              </w:rPr>
              <w:t>人</w:t>
            </w:r>
          </w:p>
        </w:tc>
        <w:tc>
          <w:tcPr>
            <w:tcW w:w="887" w:type="dxa"/>
            <w:noWrap/>
            <w:vAlign w:val="center"/>
          </w:tcPr>
          <w:p>
            <w:pPr>
              <w:widowControl/>
              <w:jc w:val="center"/>
              <w:textAlignment w:val="center"/>
              <w:rPr>
                <w:rFonts w:cs="Times New Roman"/>
                <w:color w:val="000000"/>
              </w:rPr>
            </w:pPr>
            <w:r>
              <w:rPr>
                <w:rFonts w:hAnsi="宋体" w:cs="Times New Roman"/>
                <w:color w:val="000000"/>
                <w:kern w:val="0"/>
                <w:lang w:bidi="ar"/>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68" w:type="dxa"/>
            <w:noWrap/>
            <w:vAlign w:val="center"/>
          </w:tcPr>
          <w:p>
            <w:pPr>
              <w:widowControl/>
              <w:jc w:val="center"/>
              <w:textAlignment w:val="bottom"/>
              <w:rPr>
                <w:rFonts w:cs="Times New Roman"/>
                <w:color w:val="000000"/>
              </w:rPr>
            </w:pPr>
            <w:r>
              <w:rPr>
                <w:rFonts w:cs="Times New Roman"/>
                <w:color w:val="000000"/>
                <w:kern w:val="0"/>
                <w:lang w:bidi="ar"/>
              </w:rPr>
              <w:t>1</w:t>
            </w:r>
          </w:p>
        </w:tc>
        <w:tc>
          <w:tcPr>
            <w:tcW w:w="1111" w:type="dxa"/>
            <w:noWrap/>
            <w:vAlign w:val="center"/>
          </w:tcPr>
          <w:p>
            <w:pPr>
              <w:widowControl/>
              <w:jc w:val="center"/>
              <w:textAlignment w:val="bottom"/>
              <w:rPr>
                <w:rFonts w:cs="Times New Roman"/>
                <w:color w:val="000000"/>
              </w:rPr>
            </w:pPr>
            <w:r>
              <w:rPr>
                <w:rFonts w:hAnsi="宋体" w:cs="Times New Roman"/>
                <w:color w:val="000000"/>
                <w:kern w:val="0"/>
                <w:lang w:bidi="ar"/>
              </w:rPr>
              <w:t>激石溪村</w:t>
            </w:r>
          </w:p>
        </w:tc>
        <w:tc>
          <w:tcPr>
            <w:tcW w:w="891" w:type="dxa"/>
            <w:noWrap/>
            <w:vAlign w:val="center"/>
          </w:tcPr>
          <w:p>
            <w:pPr>
              <w:jc w:val="center"/>
              <w:rPr>
                <w:rFonts w:cs="Times New Roman"/>
                <w:color w:val="000000"/>
              </w:rPr>
            </w:pPr>
          </w:p>
        </w:tc>
        <w:tc>
          <w:tcPr>
            <w:tcW w:w="1111" w:type="dxa"/>
            <w:noWrap/>
            <w:vAlign w:val="center"/>
          </w:tcPr>
          <w:p>
            <w:pPr>
              <w:jc w:val="center"/>
              <w:rPr>
                <w:rFonts w:cs="Times New Roman"/>
                <w:color w:val="000000"/>
              </w:rPr>
            </w:pPr>
          </w:p>
        </w:tc>
        <w:tc>
          <w:tcPr>
            <w:tcW w:w="668" w:type="dxa"/>
            <w:noWrap/>
            <w:vAlign w:val="center"/>
          </w:tcPr>
          <w:p>
            <w:pPr>
              <w:jc w:val="center"/>
              <w:rPr>
                <w:rFonts w:cs="Times New Roman"/>
                <w:color w:val="000000"/>
              </w:rPr>
            </w:pPr>
          </w:p>
        </w:tc>
        <w:tc>
          <w:tcPr>
            <w:tcW w:w="668" w:type="dxa"/>
            <w:noWrap/>
            <w:vAlign w:val="center"/>
          </w:tcPr>
          <w:p>
            <w:pPr>
              <w:jc w:val="center"/>
              <w:rPr>
                <w:rFonts w:cs="Times New Roman"/>
                <w:color w:val="000000"/>
              </w:rPr>
            </w:pPr>
          </w:p>
        </w:tc>
        <w:tc>
          <w:tcPr>
            <w:tcW w:w="668" w:type="dxa"/>
            <w:noWrap/>
            <w:vAlign w:val="center"/>
          </w:tcPr>
          <w:p>
            <w:pPr>
              <w:jc w:val="center"/>
              <w:rPr>
                <w:rFonts w:cs="Times New Roman"/>
                <w:color w:val="000000"/>
              </w:rPr>
            </w:pPr>
          </w:p>
        </w:tc>
        <w:tc>
          <w:tcPr>
            <w:tcW w:w="732" w:type="dxa"/>
            <w:noWrap/>
            <w:vAlign w:val="center"/>
          </w:tcPr>
          <w:p>
            <w:pPr>
              <w:jc w:val="center"/>
              <w:rPr>
                <w:rFonts w:cs="Times New Roman"/>
                <w:color w:val="000000"/>
              </w:rPr>
            </w:pPr>
          </w:p>
        </w:tc>
        <w:tc>
          <w:tcPr>
            <w:tcW w:w="835" w:type="dxa"/>
            <w:noWrap/>
            <w:vAlign w:val="center"/>
          </w:tcPr>
          <w:p>
            <w:pPr>
              <w:widowControl/>
              <w:jc w:val="center"/>
              <w:textAlignment w:val="bottom"/>
              <w:rPr>
                <w:rFonts w:cs="Times New Roman"/>
                <w:color w:val="000000"/>
              </w:rPr>
            </w:pPr>
            <w:r>
              <w:rPr>
                <w:rFonts w:cs="Times New Roman"/>
                <w:color w:val="000000"/>
                <w:kern w:val="0"/>
                <w:lang w:bidi="ar"/>
              </w:rPr>
              <w:t>234.25</w:t>
            </w:r>
          </w:p>
        </w:tc>
        <w:tc>
          <w:tcPr>
            <w:tcW w:w="835" w:type="dxa"/>
            <w:noWrap/>
            <w:vAlign w:val="center"/>
          </w:tcPr>
          <w:p>
            <w:pPr>
              <w:widowControl/>
              <w:jc w:val="center"/>
              <w:textAlignment w:val="bottom"/>
              <w:rPr>
                <w:rFonts w:cs="Times New Roman"/>
                <w:color w:val="000000"/>
              </w:rPr>
            </w:pPr>
            <w:r>
              <w:rPr>
                <w:rFonts w:cs="Times New Roman"/>
                <w:color w:val="000000"/>
                <w:kern w:val="0"/>
                <w:lang w:bidi="ar"/>
              </w:rPr>
              <w:t>150.89</w:t>
            </w:r>
          </w:p>
        </w:tc>
        <w:tc>
          <w:tcPr>
            <w:tcW w:w="835" w:type="dxa"/>
            <w:noWrap/>
            <w:vAlign w:val="center"/>
          </w:tcPr>
          <w:p>
            <w:pPr>
              <w:widowControl/>
              <w:jc w:val="center"/>
              <w:textAlignment w:val="bottom"/>
              <w:rPr>
                <w:rFonts w:cs="Times New Roman"/>
                <w:color w:val="000000"/>
              </w:rPr>
            </w:pPr>
            <w:r>
              <w:rPr>
                <w:rFonts w:cs="Times New Roman"/>
                <w:color w:val="000000"/>
                <w:kern w:val="0"/>
                <w:lang w:bidi="ar"/>
              </w:rPr>
              <w:t>385.14</w:t>
            </w:r>
          </w:p>
        </w:tc>
        <w:tc>
          <w:tcPr>
            <w:tcW w:w="1554" w:type="dxa"/>
            <w:noWrap/>
            <w:vAlign w:val="center"/>
          </w:tcPr>
          <w:p>
            <w:pPr>
              <w:widowControl/>
              <w:jc w:val="center"/>
              <w:textAlignment w:val="bottom"/>
              <w:rPr>
                <w:rFonts w:cs="Times New Roman"/>
                <w:color w:val="000000"/>
                <w:kern w:val="0"/>
                <w:lang w:bidi="ar"/>
              </w:rPr>
            </w:pPr>
          </w:p>
        </w:tc>
        <w:tc>
          <w:tcPr>
            <w:tcW w:w="836"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w:t>
            </w:r>
          </w:p>
        </w:tc>
        <w:tc>
          <w:tcPr>
            <w:tcW w:w="733"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w:t>
            </w:r>
          </w:p>
        </w:tc>
        <w:tc>
          <w:tcPr>
            <w:tcW w:w="892"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154</w:t>
            </w:r>
          </w:p>
        </w:tc>
        <w:tc>
          <w:tcPr>
            <w:tcW w:w="887"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68" w:type="dxa"/>
            <w:noWrap/>
            <w:vAlign w:val="center"/>
          </w:tcPr>
          <w:p>
            <w:pPr>
              <w:widowControl/>
              <w:jc w:val="center"/>
              <w:textAlignment w:val="bottom"/>
              <w:rPr>
                <w:rFonts w:cs="Times New Roman"/>
                <w:color w:val="000000"/>
              </w:rPr>
            </w:pPr>
            <w:r>
              <w:rPr>
                <w:rFonts w:cs="Times New Roman"/>
                <w:color w:val="000000"/>
                <w:kern w:val="0"/>
                <w:lang w:bidi="ar"/>
              </w:rPr>
              <w:t>1.1</w:t>
            </w:r>
          </w:p>
        </w:tc>
        <w:tc>
          <w:tcPr>
            <w:tcW w:w="1111" w:type="dxa"/>
            <w:noWrap/>
            <w:vAlign w:val="center"/>
          </w:tcPr>
          <w:p>
            <w:pPr>
              <w:jc w:val="center"/>
              <w:rPr>
                <w:rFonts w:cs="Times New Roman"/>
                <w:color w:val="000000"/>
              </w:rPr>
            </w:pPr>
          </w:p>
        </w:tc>
        <w:tc>
          <w:tcPr>
            <w:tcW w:w="891" w:type="dxa"/>
            <w:noWrap/>
            <w:vAlign w:val="center"/>
          </w:tcPr>
          <w:p>
            <w:pPr>
              <w:widowControl/>
              <w:jc w:val="center"/>
              <w:textAlignment w:val="bottom"/>
              <w:rPr>
                <w:rFonts w:cs="Times New Roman"/>
                <w:color w:val="000000"/>
              </w:rPr>
            </w:pPr>
            <w:r>
              <w:rPr>
                <w:rFonts w:hAnsi="宋体" w:cs="Times New Roman"/>
                <w:color w:val="000000"/>
                <w:kern w:val="0"/>
                <w:lang w:bidi="ar"/>
              </w:rPr>
              <w:t>坝仔组</w:t>
            </w:r>
          </w:p>
        </w:tc>
        <w:tc>
          <w:tcPr>
            <w:tcW w:w="1111" w:type="dxa"/>
            <w:noWrap/>
            <w:vAlign w:val="center"/>
          </w:tcPr>
          <w:p>
            <w:pPr>
              <w:widowControl/>
              <w:jc w:val="center"/>
              <w:textAlignment w:val="bottom"/>
              <w:rPr>
                <w:rFonts w:cs="Times New Roman"/>
                <w:color w:val="000000"/>
              </w:rPr>
            </w:pPr>
            <w:r>
              <w:rPr>
                <w:rFonts w:cs="Times New Roman"/>
                <w:color w:val="000000"/>
                <w:kern w:val="0"/>
                <w:lang w:bidi="ar"/>
              </w:rPr>
              <w:t>216</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219</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86</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305</w:t>
            </w:r>
          </w:p>
        </w:tc>
        <w:tc>
          <w:tcPr>
            <w:tcW w:w="732" w:type="dxa"/>
            <w:noWrap/>
            <w:vAlign w:val="center"/>
          </w:tcPr>
          <w:p>
            <w:pPr>
              <w:widowControl/>
              <w:jc w:val="center"/>
              <w:textAlignment w:val="bottom"/>
              <w:rPr>
                <w:rFonts w:cs="Times New Roman"/>
                <w:color w:val="000000"/>
              </w:rPr>
            </w:pPr>
            <w:r>
              <w:rPr>
                <w:rFonts w:cs="Times New Roman"/>
                <w:color w:val="000000"/>
                <w:kern w:val="0"/>
                <w:lang w:bidi="ar"/>
              </w:rPr>
              <w:t>1.41</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17.96 </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11.10 </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29.06 </w:t>
            </w:r>
          </w:p>
        </w:tc>
        <w:tc>
          <w:tcPr>
            <w:tcW w:w="1554"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9.53%</w:t>
            </w:r>
          </w:p>
        </w:tc>
        <w:tc>
          <w:tcPr>
            <w:tcW w:w="836"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275.94</w:t>
            </w:r>
          </w:p>
        </w:tc>
        <w:tc>
          <w:tcPr>
            <w:tcW w:w="733"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1.28</w:t>
            </w:r>
          </w:p>
        </w:tc>
        <w:tc>
          <w:tcPr>
            <w:tcW w:w="892"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20</w:t>
            </w:r>
          </w:p>
        </w:tc>
        <w:tc>
          <w:tcPr>
            <w:tcW w:w="887"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68" w:type="dxa"/>
            <w:noWrap/>
            <w:vAlign w:val="center"/>
          </w:tcPr>
          <w:p>
            <w:pPr>
              <w:widowControl/>
              <w:jc w:val="center"/>
              <w:textAlignment w:val="bottom"/>
              <w:rPr>
                <w:rFonts w:cs="Times New Roman"/>
                <w:color w:val="000000"/>
              </w:rPr>
            </w:pPr>
            <w:r>
              <w:rPr>
                <w:rFonts w:cs="Times New Roman"/>
                <w:color w:val="000000"/>
                <w:kern w:val="0"/>
                <w:lang w:bidi="ar"/>
              </w:rPr>
              <w:t>1.2</w:t>
            </w:r>
          </w:p>
        </w:tc>
        <w:tc>
          <w:tcPr>
            <w:tcW w:w="1111" w:type="dxa"/>
            <w:noWrap/>
            <w:vAlign w:val="center"/>
          </w:tcPr>
          <w:p>
            <w:pPr>
              <w:jc w:val="center"/>
              <w:rPr>
                <w:rFonts w:cs="Times New Roman"/>
                <w:color w:val="000000"/>
              </w:rPr>
            </w:pPr>
          </w:p>
        </w:tc>
        <w:tc>
          <w:tcPr>
            <w:tcW w:w="891" w:type="dxa"/>
            <w:noWrap/>
            <w:vAlign w:val="center"/>
          </w:tcPr>
          <w:p>
            <w:pPr>
              <w:widowControl/>
              <w:jc w:val="center"/>
              <w:textAlignment w:val="bottom"/>
              <w:rPr>
                <w:rFonts w:cs="Times New Roman"/>
                <w:color w:val="000000"/>
              </w:rPr>
            </w:pPr>
            <w:r>
              <w:rPr>
                <w:rFonts w:hAnsi="宋体" w:cs="Times New Roman"/>
                <w:color w:val="000000"/>
                <w:kern w:val="0"/>
                <w:lang w:bidi="ar"/>
              </w:rPr>
              <w:t>博背组</w:t>
            </w:r>
          </w:p>
        </w:tc>
        <w:tc>
          <w:tcPr>
            <w:tcW w:w="1111" w:type="dxa"/>
            <w:noWrap/>
            <w:vAlign w:val="center"/>
          </w:tcPr>
          <w:p>
            <w:pPr>
              <w:widowControl/>
              <w:jc w:val="center"/>
              <w:textAlignment w:val="bottom"/>
              <w:rPr>
                <w:rFonts w:cs="Times New Roman"/>
                <w:color w:val="000000"/>
              </w:rPr>
            </w:pPr>
            <w:r>
              <w:rPr>
                <w:rFonts w:cs="Times New Roman"/>
                <w:color w:val="000000"/>
                <w:kern w:val="0"/>
                <w:lang w:bidi="ar"/>
              </w:rPr>
              <w:t>163</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148</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283</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431</w:t>
            </w:r>
          </w:p>
        </w:tc>
        <w:tc>
          <w:tcPr>
            <w:tcW w:w="732" w:type="dxa"/>
            <w:noWrap/>
            <w:vAlign w:val="center"/>
          </w:tcPr>
          <w:p>
            <w:pPr>
              <w:widowControl/>
              <w:jc w:val="center"/>
              <w:textAlignment w:val="bottom"/>
              <w:rPr>
                <w:rFonts w:cs="Times New Roman"/>
                <w:color w:val="000000"/>
              </w:rPr>
            </w:pPr>
            <w:r>
              <w:rPr>
                <w:rFonts w:cs="Times New Roman"/>
                <w:color w:val="000000"/>
                <w:kern w:val="0"/>
                <w:lang w:bidi="ar"/>
              </w:rPr>
              <w:t>2.64</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160.58 </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120.71 </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281.29 </w:t>
            </w:r>
          </w:p>
        </w:tc>
        <w:tc>
          <w:tcPr>
            <w:tcW w:w="1554"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65.26%</w:t>
            </w:r>
          </w:p>
        </w:tc>
        <w:tc>
          <w:tcPr>
            <w:tcW w:w="836"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149.71</w:t>
            </w:r>
          </w:p>
        </w:tc>
        <w:tc>
          <w:tcPr>
            <w:tcW w:w="733"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0.92</w:t>
            </w:r>
          </w:p>
        </w:tc>
        <w:tc>
          <w:tcPr>
            <w:tcW w:w="892"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106</w:t>
            </w:r>
          </w:p>
        </w:tc>
        <w:tc>
          <w:tcPr>
            <w:tcW w:w="887"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68" w:type="dxa"/>
            <w:noWrap/>
            <w:vAlign w:val="center"/>
          </w:tcPr>
          <w:p>
            <w:pPr>
              <w:widowControl/>
              <w:jc w:val="center"/>
              <w:textAlignment w:val="bottom"/>
              <w:rPr>
                <w:rFonts w:cs="Times New Roman"/>
                <w:color w:val="000000"/>
              </w:rPr>
            </w:pPr>
            <w:r>
              <w:rPr>
                <w:rFonts w:cs="Times New Roman"/>
                <w:color w:val="000000"/>
                <w:kern w:val="0"/>
                <w:lang w:bidi="ar"/>
              </w:rPr>
              <w:t>1.2</w:t>
            </w:r>
          </w:p>
        </w:tc>
        <w:tc>
          <w:tcPr>
            <w:tcW w:w="1111" w:type="dxa"/>
            <w:noWrap/>
            <w:vAlign w:val="center"/>
          </w:tcPr>
          <w:p>
            <w:pPr>
              <w:jc w:val="center"/>
              <w:rPr>
                <w:rFonts w:cs="Times New Roman"/>
                <w:color w:val="000000"/>
              </w:rPr>
            </w:pPr>
          </w:p>
        </w:tc>
        <w:tc>
          <w:tcPr>
            <w:tcW w:w="891" w:type="dxa"/>
            <w:noWrap/>
            <w:vAlign w:val="center"/>
          </w:tcPr>
          <w:p>
            <w:pPr>
              <w:widowControl/>
              <w:jc w:val="center"/>
              <w:textAlignment w:val="bottom"/>
              <w:rPr>
                <w:rFonts w:cs="Times New Roman"/>
                <w:color w:val="000000"/>
              </w:rPr>
            </w:pPr>
            <w:r>
              <w:rPr>
                <w:rFonts w:hAnsi="宋体" w:cs="Times New Roman"/>
                <w:color w:val="000000"/>
                <w:kern w:val="0"/>
                <w:lang w:bidi="ar"/>
              </w:rPr>
              <w:t>上屋组</w:t>
            </w:r>
          </w:p>
        </w:tc>
        <w:tc>
          <w:tcPr>
            <w:tcW w:w="1111" w:type="dxa"/>
            <w:noWrap/>
            <w:vAlign w:val="center"/>
          </w:tcPr>
          <w:p>
            <w:pPr>
              <w:widowControl/>
              <w:jc w:val="center"/>
              <w:textAlignment w:val="bottom"/>
              <w:rPr>
                <w:rFonts w:cs="Times New Roman"/>
                <w:color w:val="000000"/>
              </w:rPr>
            </w:pPr>
            <w:r>
              <w:rPr>
                <w:rFonts w:cs="Times New Roman"/>
                <w:color w:val="000000"/>
                <w:kern w:val="0"/>
                <w:lang w:bidi="ar"/>
              </w:rPr>
              <w:t>123</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172</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152</w:t>
            </w:r>
          </w:p>
        </w:tc>
        <w:tc>
          <w:tcPr>
            <w:tcW w:w="668" w:type="dxa"/>
            <w:noWrap/>
            <w:vAlign w:val="center"/>
          </w:tcPr>
          <w:p>
            <w:pPr>
              <w:widowControl/>
              <w:jc w:val="center"/>
              <w:textAlignment w:val="bottom"/>
              <w:rPr>
                <w:rFonts w:cs="Times New Roman"/>
                <w:color w:val="000000"/>
              </w:rPr>
            </w:pPr>
            <w:r>
              <w:rPr>
                <w:rFonts w:cs="Times New Roman"/>
                <w:color w:val="000000"/>
                <w:kern w:val="0"/>
                <w:lang w:bidi="ar"/>
              </w:rPr>
              <w:t>324</w:t>
            </w:r>
          </w:p>
        </w:tc>
        <w:tc>
          <w:tcPr>
            <w:tcW w:w="732" w:type="dxa"/>
            <w:noWrap/>
            <w:vAlign w:val="center"/>
          </w:tcPr>
          <w:p>
            <w:pPr>
              <w:widowControl/>
              <w:jc w:val="center"/>
              <w:textAlignment w:val="bottom"/>
              <w:rPr>
                <w:rFonts w:cs="Times New Roman"/>
                <w:color w:val="000000"/>
              </w:rPr>
            </w:pPr>
            <w:r>
              <w:rPr>
                <w:rFonts w:cs="Times New Roman"/>
                <w:color w:val="000000"/>
                <w:kern w:val="0"/>
                <w:lang w:bidi="ar"/>
              </w:rPr>
              <w:t>2.63</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55.71 </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19.08 </w:t>
            </w:r>
          </w:p>
        </w:tc>
        <w:tc>
          <w:tcPr>
            <w:tcW w:w="835"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 xml:space="preserve">74.79 </w:t>
            </w:r>
          </w:p>
        </w:tc>
        <w:tc>
          <w:tcPr>
            <w:tcW w:w="1554" w:type="dxa"/>
            <w:shd w:val="clear" w:color="auto" w:fill="auto"/>
            <w:noWrap/>
            <w:vAlign w:val="center"/>
          </w:tcPr>
          <w:p>
            <w:pPr>
              <w:widowControl/>
              <w:jc w:val="center"/>
              <w:textAlignment w:val="bottom"/>
              <w:rPr>
                <w:rFonts w:cs="Times New Roman"/>
                <w:color w:val="000000"/>
                <w:kern w:val="0"/>
                <w:lang w:bidi="ar"/>
              </w:rPr>
            </w:pPr>
            <w:r>
              <w:rPr>
                <w:rFonts w:hint="eastAsia" w:cs="Times New Roman"/>
                <w:color w:val="000000"/>
                <w:kern w:val="0"/>
                <w:lang w:bidi="ar"/>
              </w:rPr>
              <w:t>23.08%</w:t>
            </w:r>
          </w:p>
        </w:tc>
        <w:tc>
          <w:tcPr>
            <w:tcW w:w="836"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249.21</w:t>
            </w:r>
          </w:p>
        </w:tc>
        <w:tc>
          <w:tcPr>
            <w:tcW w:w="733"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2.03</w:t>
            </w:r>
          </w:p>
        </w:tc>
        <w:tc>
          <w:tcPr>
            <w:tcW w:w="892"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28</w:t>
            </w:r>
          </w:p>
        </w:tc>
        <w:tc>
          <w:tcPr>
            <w:tcW w:w="887" w:type="dxa"/>
            <w:shd w:val="clear" w:color="auto" w:fill="auto"/>
            <w:noWrap/>
            <w:vAlign w:val="center"/>
          </w:tcPr>
          <w:p>
            <w:pPr>
              <w:widowControl/>
              <w:jc w:val="center"/>
              <w:textAlignment w:val="center"/>
              <w:rPr>
                <w:rFonts w:cs="Times New Roman"/>
                <w:color w:val="000000"/>
                <w:kern w:val="0"/>
                <w:lang w:bidi="ar"/>
              </w:rPr>
            </w:pPr>
            <w:r>
              <w:rPr>
                <w:rFonts w:hint="eastAsia" w:cs="Times New Roman"/>
                <w:color w:val="000000"/>
                <w:kern w:val="0"/>
                <w:lang w:bidi="ar"/>
              </w:rPr>
              <w:t>29</w:t>
            </w:r>
          </w:p>
        </w:tc>
      </w:tr>
    </w:tbl>
    <w:p>
      <w:pPr>
        <w:adjustRightInd w:val="0"/>
        <w:spacing w:line="480" w:lineRule="exact"/>
        <w:rPr>
          <w:sz w:val="24"/>
        </w:rPr>
      </w:pPr>
    </w:p>
    <w:p>
      <w:pPr>
        <w:adjustRightInd w:val="0"/>
        <w:spacing w:line="480" w:lineRule="exact"/>
        <w:rPr>
          <w:sz w:val="24"/>
        </w:rPr>
        <w:sectPr>
          <w:footerReference r:id="rId17" w:type="default"/>
          <w:pgSz w:w="16838" w:h="11906" w:orient="landscape"/>
          <w:pgMar w:top="1588" w:right="1565" w:bottom="1531" w:left="1565" w:header="1134" w:footer="1247" w:gutter="0"/>
          <w:cols w:space="720" w:num="1"/>
          <w:docGrid w:linePitch="312" w:charSpace="0"/>
        </w:sectPr>
      </w:pPr>
    </w:p>
    <w:p>
      <w:pPr>
        <w:pStyle w:val="5"/>
      </w:pPr>
      <w:r>
        <w:t>5.1.2.3  搬迁安置人口</w:t>
      </w:r>
    </w:p>
    <w:p>
      <w:pPr>
        <w:overflowPunct w:val="0"/>
        <w:autoSpaceDE w:val="0"/>
        <w:autoSpaceDN w:val="0"/>
        <w:adjustRightInd w:val="0"/>
        <w:spacing w:line="480" w:lineRule="exact"/>
        <w:ind w:firstLine="480" w:firstLineChars="200"/>
        <w:rPr>
          <w:rFonts w:hAnsi="宋体"/>
          <w:sz w:val="24"/>
        </w:rPr>
      </w:pPr>
      <w:r>
        <w:rPr>
          <w:rFonts w:hint="eastAsia" w:hAnsi="宋体"/>
          <w:sz w:val="24"/>
        </w:rPr>
        <w:t>激石溪村全部</w:t>
      </w:r>
      <w:r>
        <w:rPr>
          <w:rFonts w:hAnsi="宋体"/>
          <w:sz w:val="24"/>
        </w:rPr>
        <w:t>村民于10年前集中搬迁至新田镇居住，且村内大部分房屋已于2019年农村改造时拆除，剩余本工程建设征地范围内的零星房屋均无常驻村民，仅作为生产性房屋，</w:t>
      </w:r>
      <w:r>
        <w:rPr>
          <w:rFonts w:hint="eastAsia" w:hAnsi="宋体"/>
          <w:sz w:val="24"/>
        </w:rPr>
        <w:t>建设征地范围内</w:t>
      </w:r>
      <w:r>
        <w:rPr>
          <w:rFonts w:hAnsi="宋体"/>
          <w:sz w:val="24"/>
        </w:rPr>
        <w:t>不涉及搬迁人口。</w:t>
      </w:r>
    </w:p>
    <w:p>
      <w:pPr>
        <w:pStyle w:val="4"/>
      </w:pPr>
      <w:bookmarkStart w:id="158" w:name="_Hlk90889181"/>
      <w:r>
        <w:t xml:space="preserve">5.1.3  </w:t>
      </w:r>
      <w:r>
        <w:rPr>
          <w:rFonts w:hint="eastAsia"/>
        </w:rPr>
        <w:t>农村小型专项</w:t>
      </w:r>
    </w:p>
    <w:p>
      <w:pPr>
        <w:overflowPunct w:val="0"/>
        <w:autoSpaceDE w:val="0"/>
        <w:autoSpaceDN w:val="0"/>
        <w:adjustRightInd w:val="0"/>
        <w:spacing w:line="480" w:lineRule="exact"/>
        <w:ind w:firstLine="480" w:firstLineChars="200"/>
        <w:rPr>
          <w:rFonts w:hAnsi="宋体"/>
          <w:sz w:val="24"/>
        </w:rPr>
      </w:pPr>
      <w:r>
        <w:rPr>
          <w:rFonts w:hint="eastAsia" w:hAnsi="宋体"/>
          <w:sz w:val="24"/>
        </w:rPr>
        <w:t>陆河抽水蓄能电站建设征地淹没占用影响的拦水堰共</w:t>
      </w:r>
      <w:r>
        <w:rPr>
          <w:rFonts w:hAnsi="宋体"/>
          <w:sz w:val="24"/>
        </w:rPr>
        <w:t>368</w:t>
      </w:r>
      <w:r>
        <w:rPr>
          <w:rFonts w:hint="eastAsia" w:hAnsi="宋体"/>
          <w:sz w:val="24"/>
        </w:rPr>
        <w:t>m长，灌溉渠道共</w:t>
      </w:r>
      <w:r>
        <w:rPr>
          <w:rFonts w:hAnsi="宋体"/>
          <w:sz w:val="24"/>
        </w:rPr>
        <w:t>15900</w:t>
      </w:r>
      <w:r>
        <w:rPr>
          <w:rFonts w:hint="eastAsia" w:hAnsi="宋体"/>
          <w:sz w:val="24"/>
        </w:rPr>
        <w:t>m。电站征地后，上述剩余水利设施已失去原有功能，不再进行恢复，本次对上述受影响的小型拦水堰和灌溉渠道采取一次性补偿处理。</w:t>
      </w:r>
    </w:p>
    <w:bookmarkEnd w:id="158"/>
    <w:p>
      <w:pPr>
        <w:pStyle w:val="4"/>
      </w:pPr>
      <w:r>
        <w:t>5.1.</w:t>
      </w:r>
      <w:r>
        <w:rPr>
          <w:rFonts w:hint="eastAsia"/>
        </w:rPr>
        <w:t>4</w:t>
      </w:r>
      <w:r>
        <w:t xml:space="preserve">  </w:t>
      </w:r>
      <w:r>
        <w:rPr>
          <w:rFonts w:hint="eastAsia"/>
        </w:rPr>
        <w:t>个体工商户</w:t>
      </w:r>
    </w:p>
    <w:p>
      <w:pPr>
        <w:overflowPunct w:val="0"/>
        <w:autoSpaceDE w:val="0"/>
        <w:autoSpaceDN w:val="0"/>
        <w:adjustRightInd w:val="0"/>
        <w:spacing w:line="480" w:lineRule="exact"/>
        <w:ind w:firstLine="480" w:firstLineChars="200"/>
      </w:pPr>
      <w:r>
        <w:rPr>
          <w:rFonts w:hint="eastAsia" w:hAnsi="宋体"/>
          <w:color w:val="000000"/>
          <w:kern w:val="0"/>
          <w:sz w:val="24"/>
        </w:rPr>
        <w:t>需对建设征地影响的个体工商户2户(其中餐饮业1户，养殖业1户)进行规划处理。</w:t>
      </w:r>
      <w:bookmarkStart w:id="159" w:name="_Toc85487698"/>
      <w:bookmarkStart w:id="160" w:name="_Toc85660225"/>
      <w:bookmarkStart w:id="161" w:name="_Toc85632457"/>
    </w:p>
    <w:p>
      <w:pPr>
        <w:pStyle w:val="4"/>
        <w:rPr>
          <w:rFonts w:cs="Times New Roman"/>
        </w:rPr>
      </w:pPr>
      <w:r>
        <w:rPr>
          <w:rFonts w:hint="eastAsia" w:cs="Times New Roman"/>
        </w:rPr>
        <w:t>5.1.5  专业项目</w:t>
      </w:r>
      <w:bookmarkEnd w:id="159"/>
      <w:bookmarkEnd w:id="160"/>
      <w:bookmarkEnd w:id="161"/>
    </w:p>
    <w:p>
      <w:pPr>
        <w:pStyle w:val="5"/>
      </w:pPr>
      <w:r>
        <w:t>5.1.</w:t>
      </w:r>
      <w:r>
        <w:rPr>
          <w:rFonts w:hint="eastAsia"/>
        </w:rPr>
        <w:t>5</w:t>
      </w:r>
      <w:r>
        <w:t>.</w:t>
      </w:r>
      <w:r>
        <w:rPr>
          <w:rFonts w:hint="eastAsia"/>
        </w:rPr>
        <w:t>1</w:t>
      </w:r>
      <w:r>
        <w:t xml:space="preserve">  交通工程</w:t>
      </w:r>
    </w:p>
    <w:p>
      <w:pPr>
        <w:spacing w:line="480" w:lineRule="exact"/>
        <w:ind w:firstLine="480" w:firstLineChars="200"/>
        <w:rPr>
          <w:rFonts w:hAnsi="宋体" w:cs="Times New Roman"/>
          <w:bCs/>
          <w:szCs w:val="28"/>
        </w:rPr>
      </w:pPr>
      <w:r>
        <w:rPr>
          <w:rFonts w:hint="eastAsia" w:hAnsi="宋体" w:cs="Times New Roman"/>
          <w:bCs w:val="0"/>
          <w:sz w:val="24"/>
          <w:szCs w:val="28"/>
        </w:rPr>
        <w:t>陆河抽水蓄能电站影响的交通设施主要有：</w:t>
      </w:r>
    </w:p>
    <w:p>
      <w:pPr>
        <w:spacing w:line="480" w:lineRule="exact"/>
        <w:ind w:firstLine="480" w:firstLineChars="200"/>
        <w:rPr>
          <w:rFonts w:hAnsi="宋体" w:cs="Times New Roman"/>
          <w:bCs/>
          <w:szCs w:val="28"/>
        </w:rPr>
      </w:pPr>
      <w:r>
        <w:rPr>
          <w:rFonts w:hint="eastAsia" w:cs="Times New Roman"/>
          <w:sz w:val="24"/>
          <w:szCs w:val="28"/>
        </w:rPr>
        <w:t>(</w:t>
      </w:r>
      <w:r>
        <w:rPr>
          <w:rFonts w:hAnsi="宋体" w:cs="Times New Roman"/>
          <w:bCs w:val="0"/>
          <w:sz w:val="24"/>
          <w:szCs w:val="28"/>
        </w:rPr>
        <w:t>1</w:t>
      </w:r>
      <w:r>
        <w:rPr>
          <w:rFonts w:hint="eastAsia" w:cs="Times New Roman"/>
          <w:sz w:val="24"/>
          <w:szCs w:val="28"/>
        </w:rPr>
        <w:t>)</w:t>
      </w:r>
      <w:r>
        <w:rPr>
          <w:rFonts w:cs="Times New Roman"/>
          <w:sz w:val="24"/>
          <w:szCs w:val="28"/>
        </w:rPr>
        <w:t xml:space="preserve"> </w:t>
      </w:r>
      <w:r>
        <w:rPr>
          <w:rFonts w:hAnsi="宋体" w:cs="Times New Roman"/>
          <w:bCs w:val="0"/>
          <w:sz w:val="24"/>
          <w:szCs w:val="28"/>
        </w:rPr>
        <w:t>Y850</w:t>
      </w:r>
      <w:r>
        <w:rPr>
          <w:rFonts w:hint="eastAsia" w:hAnsi="宋体" w:cs="Times New Roman"/>
          <w:bCs w:val="0"/>
          <w:sz w:val="24"/>
          <w:szCs w:val="28"/>
        </w:rPr>
        <w:t>公路</w:t>
      </w:r>
      <w:r>
        <w:rPr>
          <w:rFonts w:cs="Times New Roman"/>
          <w:sz w:val="24"/>
          <w:szCs w:val="28"/>
        </w:rPr>
        <w:t>(</w:t>
      </w:r>
      <w:r>
        <w:rPr>
          <w:rFonts w:hint="eastAsia" w:hAnsi="宋体" w:cs="Times New Roman"/>
          <w:bCs w:val="0"/>
          <w:sz w:val="24"/>
          <w:szCs w:val="28"/>
        </w:rPr>
        <w:t>揭紫公路</w:t>
      </w:r>
      <w:r>
        <w:rPr>
          <w:rFonts w:cs="Times New Roman"/>
          <w:sz w:val="24"/>
          <w:szCs w:val="28"/>
        </w:rPr>
        <w:t>)</w:t>
      </w:r>
      <w:r>
        <w:rPr>
          <w:rFonts w:hint="eastAsia" w:hAnsi="宋体" w:cs="Times New Roman"/>
          <w:bCs w:val="0"/>
          <w:sz w:val="24"/>
          <w:szCs w:val="28"/>
        </w:rPr>
        <w:t>：征地影响实际长度约</w:t>
      </w:r>
      <w:r>
        <w:rPr>
          <w:rFonts w:hAnsi="宋体" w:cs="Times New Roman"/>
          <w:bCs w:val="0"/>
          <w:sz w:val="24"/>
          <w:szCs w:val="28"/>
        </w:rPr>
        <w:t>1.53km</w:t>
      </w:r>
      <w:r>
        <w:rPr>
          <w:rFonts w:hint="eastAsia" w:hAnsi="宋体" w:cs="Times New Roman"/>
          <w:bCs w:val="0"/>
          <w:sz w:val="24"/>
          <w:szCs w:val="28"/>
        </w:rPr>
        <w:t>，路基宽度</w:t>
      </w:r>
      <w:r>
        <w:rPr>
          <w:rFonts w:hAnsi="宋体" w:cs="Times New Roman"/>
          <w:bCs w:val="0"/>
          <w:sz w:val="24"/>
          <w:szCs w:val="28"/>
        </w:rPr>
        <w:t>4.5m</w:t>
      </w:r>
      <w:r>
        <w:rPr>
          <w:rFonts w:hint="eastAsia" w:hAnsi="宋体" w:cs="Times New Roman"/>
          <w:bCs w:val="0"/>
          <w:sz w:val="24"/>
          <w:szCs w:val="28"/>
        </w:rPr>
        <w:t>，路面结构为水泥混凝土；电站建设征地范围内的局部路段纵坡达到了</w:t>
      </w:r>
      <w:r>
        <w:rPr>
          <w:rFonts w:hAnsi="宋体" w:cs="Times New Roman"/>
          <w:bCs w:val="0"/>
          <w:sz w:val="24"/>
          <w:szCs w:val="28"/>
        </w:rPr>
        <w:t>12%</w:t>
      </w:r>
      <w:r>
        <w:rPr>
          <w:rFonts w:hint="eastAsia" w:hAnsi="宋体" w:cs="Times New Roman"/>
          <w:bCs w:val="0"/>
          <w:sz w:val="24"/>
          <w:szCs w:val="28"/>
        </w:rPr>
        <w:t>以上，该公路标椎取四级公路</w:t>
      </w:r>
      <w:r>
        <w:rPr>
          <w:rFonts w:hint="eastAsia" w:cs="Times New Roman"/>
          <w:sz w:val="24"/>
          <w:szCs w:val="28"/>
        </w:rPr>
        <w:t>(</w:t>
      </w:r>
      <w:r>
        <w:rPr>
          <w:rFonts w:hint="eastAsia" w:hAnsi="宋体" w:cs="Times New Roman"/>
          <w:bCs w:val="0"/>
          <w:sz w:val="24"/>
          <w:szCs w:val="28"/>
        </w:rPr>
        <w:t>Ⅱ类</w:t>
      </w:r>
      <w:r>
        <w:rPr>
          <w:rFonts w:hint="eastAsia" w:cs="Times New Roman"/>
          <w:sz w:val="24"/>
          <w:szCs w:val="28"/>
        </w:rPr>
        <w:t>)</w:t>
      </w:r>
      <w:r>
        <w:rPr>
          <w:rFonts w:hint="eastAsia" w:hAnsi="宋体" w:cs="Times New Roman"/>
          <w:bCs w:val="0"/>
          <w:sz w:val="24"/>
          <w:szCs w:val="28"/>
        </w:rPr>
        <w:t>。</w:t>
      </w:r>
    </w:p>
    <w:p>
      <w:pPr>
        <w:spacing w:line="480" w:lineRule="exact"/>
        <w:ind w:firstLine="480" w:firstLineChars="200"/>
        <w:rPr>
          <w:rFonts w:hAnsi="宋体" w:cs="Times New Roman"/>
          <w:bCs/>
          <w:szCs w:val="28"/>
        </w:rPr>
      </w:pPr>
      <w:r>
        <w:rPr>
          <w:rFonts w:cs="Times New Roman"/>
          <w:sz w:val="24"/>
          <w:szCs w:val="28"/>
        </w:rPr>
        <w:t>(</w:t>
      </w:r>
      <w:r>
        <w:rPr>
          <w:rFonts w:hAnsi="宋体" w:cs="Times New Roman"/>
          <w:bCs w:val="0"/>
          <w:sz w:val="24"/>
          <w:szCs w:val="28"/>
        </w:rPr>
        <w:t>2</w:t>
      </w:r>
      <w:r>
        <w:rPr>
          <w:rFonts w:cs="Times New Roman"/>
          <w:sz w:val="24"/>
          <w:szCs w:val="28"/>
        </w:rPr>
        <w:t xml:space="preserve">) </w:t>
      </w:r>
      <w:r>
        <w:rPr>
          <w:rFonts w:hint="eastAsia" w:hAnsi="宋体" w:cs="Times New Roman"/>
          <w:bCs w:val="0"/>
          <w:sz w:val="24"/>
          <w:szCs w:val="28"/>
        </w:rPr>
        <w:t>老前池路：四级公路单车道，征地影响实际长度约</w:t>
      </w:r>
      <w:r>
        <w:rPr>
          <w:rFonts w:hAnsi="宋体" w:cs="Times New Roman"/>
          <w:bCs w:val="0"/>
          <w:sz w:val="24"/>
          <w:szCs w:val="28"/>
        </w:rPr>
        <w:t>0.23km</w:t>
      </w:r>
      <w:r>
        <w:rPr>
          <w:rFonts w:hint="eastAsia" w:hAnsi="宋体" w:cs="Times New Roman"/>
          <w:bCs w:val="0"/>
          <w:sz w:val="24"/>
          <w:szCs w:val="28"/>
        </w:rPr>
        <w:t>，路基宽度</w:t>
      </w:r>
      <w:r>
        <w:rPr>
          <w:rFonts w:hAnsi="宋体" w:cs="Times New Roman"/>
          <w:bCs w:val="0"/>
          <w:sz w:val="24"/>
          <w:szCs w:val="28"/>
        </w:rPr>
        <w:t>4.5m</w:t>
      </w:r>
      <w:r>
        <w:rPr>
          <w:rFonts w:hint="eastAsia" w:hAnsi="宋体" w:cs="Times New Roman"/>
          <w:bCs w:val="0"/>
          <w:sz w:val="24"/>
          <w:szCs w:val="28"/>
        </w:rPr>
        <w:t>，路面结构为水泥混凝土。</w:t>
      </w:r>
    </w:p>
    <w:p>
      <w:pPr>
        <w:spacing w:line="480" w:lineRule="exact"/>
        <w:ind w:firstLine="480" w:firstLineChars="200"/>
        <w:rPr>
          <w:rFonts w:hAnsi="宋体" w:cs="Times New Roman"/>
          <w:bCs/>
          <w:szCs w:val="28"/>
        </w:rPr>
      </w:pPr>
      <w:r>
        <w:rPr>
          <w:rFonts w:cs="Times New Roman"/>
          <w:sz w:val="24"/>
          <w:szCs w:val="28"/>
        </w:rPr>
        <w:t>(</w:t>
      </w:r>
      <w:r>
        <w:rPr>
          <w:rFonts w:hAnsi="宋体" w:cs="Times New Roman"/>
          <w:bCs w:val="0"/>
          <w:sz w:val="24"/>
          <w:szCs w:val="28"/>
        </w:rPr>
        <w:t>3</w:t>
      </w:r>
      <w:r>
        <w:rPr>
          <w:rFonts w:cs="Times New Roman"/>
          <w:sz w:val="24"/>
          <w:szCs w:val="28"/>
        </w:rPr>
        <w:t xml:space="preserve">) </w:t>
      </w:r>
      <w:r>
        <w:rPr>
          <w:rFonts w:hint="eastAsia" w:hAnsi="宋体" w:cs="Times New Roman"/>
          <w:bCs w:val="0"/>
          <w:sz w:val="24"/>
          <w:szCs w:val="28"/>
        </w:rPr>
        <w:t>机耕道</w:t>
      </w:r>
    </w:p>
    <w:p>
      <w:pPr>
        <w:spacing w:line="480" w:lineRule="exact"/>
        <w:ind w:firstLine="480" w:firstLineChars="200"/>
        <w:rPr>
          <w:rFonts w:hAnsi="宋体" w:cs="Times New Roman"/>
          <w:bCs/>
          <w:szCs w:val="28"/>
        </w:rPr>
      </w:pPr>
      <w:r>
        <w:rPr>
          <w:rFonts w:hAnsi="宋体" w:cs="Times New Roman"/>
          <w:bCs w:val="0"/>
          <w:sz w:val="24"/>
          <w:szCs w:val="28"/>
        </w:rPr>
        <w:t>a</w:t>
      </w:r>
      <w:r>
        <w:rPr>
          <w:rFonts w:hint="eastAsia" w:cs="Times New Roman"/>
          <w:sz w:val="24"/>
          <w:szCs w:val="28"/>
        </w:rPr>
        <w:t>)</w:t>
      </w:r>
      <w:r>
        <w:rPr>
          <w:rFonts w:cs="Times New Roman"/>
          <w:sz w:val="24"/>
          <w:szCs w:val="28"/>
        </w:rPr>
        <w:t xml:space="preserve"> </w:t>
      </w:r>
      <w:r>
        <w:rPr>
          <w:rFonts w:hint="eastAsia" w:hAnsi="宋体" w:cs="Times New Roman"/>
          <w:bCs w:val="0"/>
          <w:sz w:val="24"/>
          <w:szCs w:val="28"/>
        </w:rPr>
        <w:t>征地范围内与</w:t>
      </w:r>
      <w:r>
        <w:rPr>
          <w:rFonts w:hAnsi="宋体" w:cs="Times New Roman"/>
          <w:bCs w:val="0"/>
          <w:sz w:val="24"/>
          <w:szCs w:val="28"/>
        </w:rPr>
        <w:t>Y850</w:t>
      </w:r>
      <w:r>
        <w:rPr>
          <w:rFonts w:cs="Times New Roman"/>
          <w:sz w:val="24"/>
          <w:szCs w:val="28"/>
        </w:rPr>
        <w:t>(</w:t>
      </w:r>
      <w:r>
        <w:rPr>
          <w:rFonts w:hint="eastAsia" w:hAnsi="宋体" w:cs="Times New Roman"/>
          <w:bCs w:val="0"/>
          <w:sz w:val="24"/>
          <w:szCs w:val="28"/>
        </w:rPr>
        <w:t>揭紫公路</w:t>
      </w:r>
      <w:r>
        <w:rPr>
          <w:rFonts w:cs="Times New Roman"/>
          <w:sz w:val="24"/>
          <w:szCs w:val="28"/>
        </w:rPr>
        <w:t>)</w:t>
      </w:r>
      <w:r>
        <w:rPr>
          <w:rFonts w:hint="eastAsia" w:hAnsi="宋体" w:cs="Times New Roman"/>
          <w:bCs w:val="0"/>
          <w:sz w:val="24"/>
          <w:szCs w:val="28"/>
        </w:rPr>
        <w:t>衔接的</w:t>
      </w:r>
      <w:r>
        <w:rPr>
          <w:rFonts w:hAnsi="宋体" w:cs="Times New Roman"/>
          <w:bCs w:val="0"/>
          <w:sz w:val="24"/>
          <w:szCs w:val="28"/>
        </w:rPr>
        <w:t>5</w:t>
      </w:r>
      <w:r>
        <w:rPr>
          <w:rFonts w:hint="eastAsia" w:hAnsi="宋体" w:cs="Times New Roman"/>
          <w:bCs w:val="0"/>
          <w:sz w:val="24"/>
          <w:szCs w:val="28"/>
        </w:rPr>
        <w:t>条支路；支路合计长度约</w:t>
      </w:r>
      <w:r>
        <w:rPr>
          <w:rFonts w:hAnsi="宋体" w:cs="Times New Roman"/>
          <w:bCs w:val="0"/>
          <w:sz w:val="24"/>
          <w:szCs w:val="28"/>
        </w:rPr>
        <w:t>1.20km</w:t>
      </w:r>
      <w:r>
        <w:rPr>
          <w:rFonts w:hint="eastAsia" w:hAnsi="宋体" w:cs="Times New Roman"/>
          <w:bCs w:val="0"/>
          <w:sz w:val="24"/>
          <w:szCs w:val="28"/>
        </w:rPr>
        <w:t>；</w:t>
      </w:r>
    </w:p>
    <w:p>
      <w:pPr>
        <w:spacing w:line="480" w:lineRule="exact"/>
        <w:ind w:firstLine="480" w:firstLineChars="200"/>
        <w:rPr>
          <w:rFonts w:hAnsi="宋体" w:cs="Times New Roman"/>
          <w:bCs/>
          <w:szCs w:val="28"/>
        </w:rPr>
      </w:pPr>
      <w:r>
        <w:rPr>
          <w:rFonts w:hAnsi="宋体" w:cs="Times New Roman"/>
          <w:bCs w:val="0"/>
          <w:sz w:val="24"/>
          <w:szCs w:val="28"/>
        </w:rPr>
        <w:t>b</w:t>
      </w:r>
      <w:r>
        <w:rPr>
          <w:rFonts w:hint="eastAsia" w:cs="Times New Roman"/>
          <w:sz w:val="24"/>
          <w:szCs w:val="28"/>
        </w:rPr>
        <w:t>)</w:t>
      </w:r>
      <w:r>
        <w:rPr>
          <w:rFonts w:cs="Times New Roman"/>
          <w:sz w:val="24"/>
          <w:szCs w:val="28"/>
        </w:rPr>
        <w:t xml:space="preserve"> </w:t>
      </w:r>
      <w:r>
        <w:rPr>
          <w:rFonts w:hint="eastAsia" w:hAnsi="宋体" w:cs="Times New Roman"/>
          <w:bCs w:val="0"/>
          <w:sz w:val="24"/>
          <w:szCs w:val="28"/>
        </w:rPr>
        <w:t>激上线路口</w:t>
      </w:r>
      <w:r>
        <w:rPr>
          <w:rFonts w:hint="eastAsia" w:cs="Times New Roman"/>
          <w:sz w:val="24"/>
          <w:szCs w:val="28"/>
        </w:rPr>
        <w:t>~</w:t>
      </w:r>
      <w:r>
        <w:rPr>
          <w:rFonts w:hint="eastAsia" w:hAnsi="宋体" w:cs="Times New Roman"/>
          <w:bCs w:val="0"/>
          <w:sz w:val="24"/>
          <w:szCs w:val="28"/>
        </w:rPr>
        <w:t>上、下坪田水库路段</w:t>
      </w:r>
      <w:r>
        <w:rPr>
          <w:rFonts w:hAnsi="宋体" w:cs="Times New Roman"/>
          <w:bCs w:val="0"/>
          <w:sz w:val="24"/>
          <w:szCs w:val="28"/>
        </w:rPr>
        <w:t>0.69km</w:t>
      </w:r>
      <w:r>
        <w:rPr>
          <w:rFonts w:hint="eastAsia" w:hAnsi="宋体" w:cs="Times New Roman"/>
          <w:bCs w:val="0"/>
          <w:sz w:val="24"/>
          <w:szCs w:val="28"/>
        </w:rPr>
        <w:t>，其路基宽度为</w:t>
      </w:r>
      <w:r>
        <w:rPr>
          <w:rFonts w:hAnsi="宋体" w:cs="Times New Roman"/>
          <w:bCs w:val="0"/>
          <w:sz w:val="24"/>
          <w:szCs w:val="28"/>
        </w:rPr>
        <w:t>3.5m</w:t>
      </w:r>
      <w:r>
        <w:rPr>
          <w:rFonts w:hint="eastAsia" w:hAnsi="宋体" w:cs="Times New Roman"/>
          <w:bCs w:val="0"/>
          <w:sz w:val="24"/>
          <w:szCs w:val="28"/>
        </w:rPr>
        <w:t>，路面结构为水泥混凝土；以及与之衔接的支路，支路合计长度</w:t>
      </w:r>
      <w:r>
        <w:rPr>
          <w:rFonts w:hAnsi="宋体" w:cs="Times New Roman"/>
          <w:bCs w:val="0"/>
          <w:sz w:val="24"/>
          <w:szCs w:val="28"/>
        </w:rPr>
        <w:t>2.36km</w:t>
      </w:r>
      <w:r>
        <w:rPr>
          <w:rFonts w:hint="eastAsia" w:hAnsi="宋体" w:cs="Times New Roman"/>
          <w:bCs w:val="0"/>
          <w:sz w:val="24"/>
          <w:szCs w:val="28"/>
        </w:rPr>
        <w:t>；</w:t>
      </w:r>
    </w:p>
    <w:p>
      <w:pPr>
        <w:spacing w:line="480" w:lineRule="exact"/>
        <w:ind w:firstLine="480" w:firstLineChars="200"/>
        <w:rPr>
          <w:rFonts w:hAnsi="宋体" w:cs="Times New Roman"/>
          <w:bCs/>
          <w:szCs w:val="28"/>
        </w:rPr>
      </w:pPr>
      <w:r>
        <w:rPr>
          <w:rFonts w:hAnsi="宋体" w:cs="Times New Roman"/>
          <w:bCs w:val="0"/>
          <w:sz w:val="24"/>
          <w:szCs w:val="28"/>
        </w:rPr>
        <w:t>c</w:t>
      </w:r>
      <w:r>
        <w:rPr>
          <w:rFonts w:hint="eastAsia" w:cs="Times New Roman"/>
          <w:sz w:val="24"/>
          <w:szCs w:val="28"/>
        </w:rPr>
        <w:t>)</w:t>
      </w:r>
      <w:r>
        <w:rPr>
          <w:rFonts w:cs="Times New Roman"/>
          <w:sz w:val="24"/>
          <w:szCs w:val="28"/>
        </w:rPr>
        <w:t xml:space="preserve"> </w:t>
      </w:r>
      <w:r>
        <w:rPr>
          <w:rFonts w:hint="eastAsia" w:hAnsi="宋体" w:cs="Times New Roman"/>
          <w:bCs w:val="0"/>
          <w:sz w:val="24"/>
          <w:szCs w:val="28"/>
        </w:rPr>
        <w:t>激上线路口</w:t>
      </w:r>
      <w:r>
        <w:rPr>
          <w:rFonts w:cs="Times New Roman"/>
          <w:sz w:val="24"/>
          <w:szCs w:val="28"/>
        </w:rPr>
        <w:t>(</w:t>
      </w:r>
      <w:r>
        <w:rPr>
          <w:rFonts w:hAnsi="宋体" w:cs="Times New Roman"/>
          <w:bCs w:val="0"/>
          <w:sz w:val="24"/>
          <w:szCs w:val="28"/>
        </w:rPr>
        <w:t>K1+460</w:t>
      </w:r>
      <w:r>
        <w:rPr>
          <w:rFonts w:cs="Times New Roman"/>
          <w:sz w:val="24"/>
          <w:szCs w:val="28"/>
        </w:rPr>
        <w:t>)</w:t>
      </w:r>
      <w:r>
        <w:rPr>
          <w:rFonts w:hint="eastAsia" w:cs="Times New Roman"/>
          <w:sz w:val="24"/>
          <w:szCs w:val="28"/>
        </w:rPr>
        <w:t>~</w:t>
      </w:r>
      <w:r>
        <w:rPr>
          <w:rFonts w:hint="eastAsia" w:hAnsi="宋体" w:cs="Times New Roman"/>
          <w:bCs w:val="0"/>
          <w:sz w:val="24"/>
          <w:szCs w:val="28"/>
        </w:rPr>
        <w:t>上、下坪田水库路段</w:t>
      </w:r>
      <w:r>
        <w:rPr>
          <w:rFonts w:hAnsi="宋体" w:cs="Times New Roman"/>
          <w:bCs w:val="0"/>
          <w:sz w:val="24"/>
          <w:szCs w:val="28"/>
        </w:rPr>
        <w:t>2.77km</w:t>
      </w:r>
      <w:r>
        <w:rPr>
          <w:rFonts w:hint="eastAsia" w:hAnsi="宋体" w:cs="Times New Roman"/>
          <w:bCs w:val="0"/>
          <w:sz w:val="24"/>
          <w:szCs w:val="28"/>
        </w:rPr>
        <w:t>，其路基宽度为</w:t>
      </w:r>
      <w:r>
        <w:rPr>
          <w:rFonts w:hAnsi="宋体" w:cs="Times New Roman"/>
          <w:bCs w:val="0"/>
          <w:sz w:val="24"/>
          <w:szCs w:val="28"/>
        </w:rPr>
        <w:t>4m</w:t>
      </w:r>
      <w:r>
        <w:rPr>
          <w:rFonts w:hint="eastAsia" w:hAnsi="宋体" w:cs="Times New Roman"/>
          <w:bCs w:val="0"/>
          <w:sz w:val="24"/>
          <w:szCs w:val="28"/>
        </w:rPr>
        <w:t>，根据路面结构划分：碎石路</w:t>
      </w:r>
      <w:r>
        <w:rPr>
          <w:rFonts w:hAnsi="宋体" w:cs="Times New Roman"/>
          <w:bCs w:val="0"/>
          <w:sz w:val="24"/>
          <w:szCs w:val="28"/>
        </w:rPr>
        <w:t>1.00km</w:t>
      </w:r>
      <w:r>
        <w:rPr>
          <w:rFonts w:hint="eastAsia" w:hAnsi="宋体" w:cs="Times New Roman"/>
          <w:bCs w:val="0"/>
          <w:sz w:val="24"/>
          <w:szCs w:val="28"/>
        </w:rPr>
        <w:t>、水泥路</w:t>
      </w:r>
      <w:r>
        <w:rPr>
          <w:rFonts w:hAnsi="宋体" w:cs="Times New Roman"/>
          <w:bCs w:val="0"/>
          <w:sz w:val="24"/>
          <w:szCs w:val="28"/>
        </w:rPr>
        <w:t>0.33km</w:t>
      </w:r>
      <w:r>
        <w:rPr>
          <w:rFonts w:hint="eastAsia" w:hAnsi="宋体" w:cs="Times New Roman"/>
          <w:bCs w:val="0"/>
          <w:sz w:val="24"/>
          <w:szCs w:val="28"/>
        </w:rPr>
        <w:t>、土路</w:t>
      </w:r>
      <w:r>
        <w:rPr>
          <w:rFonts w:hAnsi="宋体" w:cs="Times New Roman"/>
          <w:bCs w:val="0"/>
          <w:sz w:val="24"/>
          <w:szCs w:val="28"/>
        </w:rPr>
        <w:t>1.44km</w:t>
      </w:r>
      <w:r>
        <w:rPr>
          <w:rFonts w:hint="eastAsia" w:hAnsi="宋体" w:cs="Times New Roman"/>
          <w:bCs w:val="0"/>
          <w:sz w:val="24"/>
          <w:szCs w:val="28"/>
        </w:rPr>
        <w:t>；以及与之衔接的</w:t>
      </w:r>
      <w:r>
        <w:rPr>
          <w:rFonts w:hAnsi="宋体" w:cs="Times New Roman"/>
          <w:bCs w:val="0"/>
          <w:sz w:val="24"/>
          <w:szCs w:val="28"/>
        </w:rPr>
        <w:t>3</w:t>
      </w:r>
      <w:r>
        <w:rPr>
          <w:rFonts w:hint="eastAsia" w:hAnsi="宋体" w:cs="Times New Roman"/>
          <w:bCs w:val="0"/>
          <w:sz w:val="24"/>
          <w:szCs w:val="28"/>
        </w:rPr>
        <w:t>条支路，支路合计长度</w:t>
      </w:r>
      <w:r>
        <w:rPr>
          <w:rFonts w:hAnsi="宋体" w:cs="Times New Roman"/>
          <w:bCs w:val="0"/>
          <w:sz w:val="24"/>
          <w:szCs w:val="28"/>
        </w:rPr>
        <w:t>1.56km</w:t>
      </w:r>
      <w:r>
        <w:rPr>
          <w:rFonts w:hint="eastAsia" w:hAnsi="宋体" w:cs="Times New Roman"/>
          <w:bCs w:val="0"/>
          <w:sz w:val="24"/>
          <w:szCs w:val="28"/>
        </w:rPr>
        <w:t>；</w:t>
      </w:r>
    </w:p>
    <w:p>
      <w:pPr>
        <w:spacing w:line="480" w:lineRule="exact"/>
        <w:ind w:firstLine="480" w:firstLineChars="200"/>
        <w:rPr>
          <w:rFonts w:hAnsi="宋体" w:cs="Times New Roman"/>
          <w:bCs/>
          <w:szCs w:val="28"/>
        </w:rPr>
      </w:pPr>
      <w:r>
        <w:rPr>
          <w:rFonts w:hAnsi="宋体" w:cs="Times New Roman"/>
          <w:bCs w:val="0"/>
          <w:sz w:val="24"/>
          <w:szCs w:val="28"/>
        </w:rPr>
        <w:t>d</w:t>
      </w:r>
      <w:r>
        <w:rPr>
          <w:rFonts w:hint="eastAsia" w:cs="Times New Roman"/>
          <w:sz w:val="24"/>
          <w:szCs w:val="28"/>
        </w:rPr>
        <w:t>)</w:t>
      </w:r>
      <w:r>
        <w:rPr>
          <w:rFonts w:cs="Times New Roman"/>
          <w:sz w:val="24"/>
          <w:szCs w:val="28"/>
        </w:rPr>
        <w:t xml:space="preserve"> </w:t>
      </w:r>
      <w:r>
        <w:rPr>
          <w:rFonts w:hAnsi="宋体" w:cs="Times New Roman"/>
          <w:bCs w:val="0"/>
          <w:sz w:val="24"/>
          <w:szCs w:val="28"/>
        </w:rPr>
        <w:t>3</w:t>
      </w:r>
      <w:r>
        <w:rPr>
          <w:rFonts w:hint="eastAsia" w:hAnsi="宋体" w:cs="Times New Roman"/>
          <w:bCs w:val="0"/>
          <w:sz w:val="24"/>
          <w:szCs w:val="28"/>
        </w:rPr>
        <w:t>条零散道路约</w:t>
      </w:r>
      <w:r>
        <w:rPr>
          <w:rFonts w:hAnsi="宋体" w:cs="Times New Roman"/>
          <w:bCs w:val="0"/>
          <w:sz w:val="24"/>
          <w:szCs w:val="28"/>
        </w:rPr>
        <w:t>2.95km</w:t>
      </w:r>
      <w:r>
        <w:rPr>
          <w:rFonts w:hint="eastAsia" w:hAnsi="宋体" w:cs="Times New Roman"/>
          <w:bCs w:val="0"/>
          <w:sz w:val="24"/>
          <w:szCs w:val="28"/>
        </w:rPr>
        <w:t>，根据路面结构划分：土路</w:t>
      </w:r>
      <w:r>
        <w:rPr>
          <w:rFonts w:hAnsi="宋体" w:cs="Times New Roman"/>
          <w:bCs w:val="0"/>
          <w:sz w:val="24"/>
          <w:szCs w:val="28"/>
        </w:rPr>
        <w:t>2.88km</w:t>
      </w:r>
      <w:r>
        <w:rPr>
          <w:rFonts w:hint="eastAsia" w:hAnsi="宋体" w:cs="Times New Roman"/>
          <w:bCs w:val="0"/>
          <w:sz w:val="24"/>
          <w:szCs w:val="28"/>
        </w:rPr>
        <w:t>，水泥路</w:t>
      </w:r>
      <w:r>
        <w:rPr>
          <w:rFonts w:hAnsi="宋体" w:cs="Times New Roman"/>
          <w:bCs w:val="0"/>
          <w:sz w:val="24"/>
          <w:szCs w:val="28"/>
        </w:rPr>
        <w:t>0.07km</w:t>
      </w:r>
      <w:r>
        <w:rPr>
          <w:rFonts w:hint="eastAsia" w:hAnsi="宋体" w:cs="Times New Roman"/>
          <w:bCs w:val="0"/>
          <w:sz w:val="24"/>
          <w:szCs w:val="28"/>
        </w:rPr>
        <w:t>。</w:t>
      </w:r>
    </w:p>
    <w:p>
      <w:pPr>
        <w:spacing w:line="480" w:lineRule="exact"/>
        <w:ind w:firstLine="480" w:firstLineChars="200"/>
        <w:rPr>
          <w:rFonts w:hAnsi="宋体" w:cs="Times New Roman"/>
          <w:bCs/>
          <w:szCs w:val="28"/>
        </w:rPr>
      </w:pPr>
      <w:r>
        <w:rPr>
          <w:rFonts w:hint="eastAsia" w:hAnsi="宋体" w:cs="Times New Roman"/>
          <w:bCs w:val="0"/>
          <w:sz w:val="24"/>
          <w:szCs w:val="28"/>
        </w:rPr>
        <w:t>复建任务主要包括：</w:t>
      </w:r>
    </w:p>
    <w:p>
      <w:pPr>
        <w:spacing w:line="480" w:lineRule="exact"/>
        <w:ind w:firstLine="480" w:firstLineChars="200"/>
        <w:rPr>
          <w:rFonts w:hAnsi="宋体" w:cs="Times New Roman"/>
          <w:bCs/>
          <w:szCs w:val="28"/>
        </w:rPr>
      </w:pPr>
      <w:r>
        <w:rPr>
          <w:rFonts w:hint="eastAsia" w:hAnsi="宋体" w:cs="Times New Roman"/>
          <w:bCs w:val="0"/>
          <w:sz w:val="24"/>
          <w:szCs w:val="28"/>
        </w:rPr>
        <w:t>由于陆河抽水蓄能电站建设征地影响，</w:t>
      </w:r>
      <w:r>
        <w:rPr>
          <w:rFonts w:hAnsi="宋体" w:cs="Times New Roman"/>
          <w:bCs w:val="0"/>
          <w:sz w:val="24"/>
          <w:szCs w:val="28"/>
        </w:rPr>
        <w:t>Y850</w:t>
      </w:r>
      <w:r>
        <w:rPr>
          <w:rFonts w:hint="eastAsia" w:hAnsi="宋体" w:cs="Times New Roman"/>
          <w:bCs w:val="0"/>
          <w:sz w:val="24"/>
          <w:szCs w:val="28"/>
        </w:rPr>
        <w:t>部分路段将处于电站永久征地范围内，这部分路段的</w:t>
      </w:r>
      <w:r>
        <w:rPr>
          <w:rFonts w:hAnsi="宋体" w:cs="Times New Roman"/>
          <w:bCs w:val="0"/>
          <w:sz w:val="24"/>
          <w:szCs w:val="28"/>
        </w:rPr>
        <w:t>Y850</w:t>
      </w:r>
      <w:r>
        <w:rPr>
          <w:rFonts w:hint="eastAsia" w:hAnsi="宋体" w:cs="Times New Roman"/>
          <w:bCs w:val="0"/>
          <w:sz w:val="24"/>
          <w:szCs w:val="28"/>
        </w:rPr>
        <w:t>将失去原有通车行人的功能，因此拟对</w:t>
      </w:r>
      <w:r>
        <w:rPr>
          <w:rFonts w:hAnsi="宋体" w:cs="Times New Roman"/>
          <w:bCs w:val="0"/>
          <w:sz w:val="24"/>
          <w:szCs w:val="28"/>
        </w:rPr>
        <w:t>Y850</w:t>
      </w:r>
      <w:r>
        <w:rPr>
          <w:rFonts w:hint="eastAsia" w:hAnsi="宋体" w:cs="Times New Roman"/>
          <w:bCs w:val="0"/>
          <w:sz w:val="24"/>
          <w:szCs w:val="28"/>
        </w:rPr>
        <w:t>受影响的路段进行复建。</w:t>
      </w:r>
    </w:p>
    <w:p>
      <w:pPr>
        <w:spacing w:line="480" w:lineRule="exact"/>
        <w:ind w:firstLine="480" w:firstLineChars="200"/>
        <w:rPr>
          <w:rFonts w:hAnsi="宋体" w:cs="Times New Roman"/>
          <w:bCs/>
          <w:szCs w:val="28"/>
        </w:rPr>
      </w:pPr>
      <w:r>
        <w:rPr>
          <w:rFonts w:hint="eastAsia" w:hAnsi="宋体" w:cs="Times New Roman"/>
          <w:bCs w:val="0"/>
          <w:sz w:val="24"/>
          <w:szCs w:val="28"/>
        </w:rPr>
        <w:t>其他任务主要包括：</w:t>
      </w:r>
    </w:p>
    <w:p>
      <w:pPr>
        <w:spacing w:line="480" w:lineRule="exact"/>
        <w:ind w:firstLine="480" w:firstLineChars="200"/>
        <w:rPr>
          <w:rFonts w:hAnsi="宋体" w:cs="Times New Roman"/>
          <w:bCs/>
          <w:szCs w:val="28"/>
        </w:rPr>
      </w:pPr>
      <w:r>
        <w:rPr>
          <w:rFonts w:cs="Times New Roman"/>
          <w:sz w:val="24"/>
          <w:szCs w:val="28"/>
        </w:rPr>
        <w:t xml:space="preserve">(1) </w:t>
      </w:r>
      <w:r>
        <w:rPr>
          <w:rFonts w:hAnsi="宋体" w:cs="Times New Roman"/>
          <w:bCs w:val="0"/>
          <w:sz w:val="24"/>
          <w:szCs w:val="28"/>
        </w:rPr>
        <w:t>Y850</w:t>
      </w:r>
      <w:r>
        <w:rPr>
          <w:rFonts w:cs="Times New Roman"/>
          <w:sz w:val="24"/>
          <w:szCs w:val="28"/>
        </w:rPr>
        <w:t>(</w:t>
      </w:r>
      <w:r>
        <w:rPr>
          <w:rFonts w:hint="eastAsia" w:hAnsi="宋体" w:cs="Times New Roman"/>
          <w:bCs w:val="0"/>
          <w:sz w:val="24"/>
          <w:szCs w:val="28"/>
        </w:rPr>
        <w:t>揭紫公路</w:t>
      </w:r>
      <w:r>
        <w:rPr>
          <w:rFonts w:cs="Times New Roman"/>
          <w:sz w:val="24"/>
          <w:szCs w:val="28"/>
        </w:rPr>
        <w:t>)</w:t>
      </w:r>
      <w:r>
        <w:rPr>
          <w:rFonts w:hint="eastAsia" w:hAnsi="宋体" w:cs="Times New Roman"/>
          <w:bCs w:val="0"/>
          <w:sz w:val="24"/>
          <w:szCs w:val="28"/>
        </w:rPr>
        <w:t>征地范围内的</w:t>
      </w:r>
      <w:r>
        <w:rPr>
          <w:rFonts w:hAnsi="宋体" w:cs="Times New Roman"/>
          <w:bCs w:val="0"/>
          <w:sz w:val="24"/>
          <w:szCs w:val="28"/>
        </w:rPr>
        <w:t>5</w:t>
      </w:r>
      <w:r>
        <w:rPr>
          <w:rFonts w:hint="eastAsia" w:hAnsi="宋体" w:cs="Times New Roman"/>
          <w:bCs w:val="0"/>
          <w:sz w:val="24"/>
          <w:szCs w:val="28"/>
        </w:rPr>
        <w:t>条相关支路，总长度约</w:t>
      </w:r>
      <w:r>
        <w:rPr>
          <w:rFonts w:hAnsi="宋体" w:cs="Times New Roman"/>
          <w:bCs w:val="0"/>
          <w:sz w:val="24"/>
          <w:szCs w:val="28"/>
        </w:rPr>
        <w:t>1.00km</w:t>
      </w:r>
      <w:r>
        <w:rPr>
          <w:rFonts w:hint="eastAsia" w:hAnsi="宋体" w:cs="Times New Roman"/>
          <w:bCs w:val="0"/>
          <w:sz w:val="24"/>
          <w:szCs w:val="28"/>
        </w:rPr>
        <w:t>，因该区域范围内三江口水电站、生产厂房、养殖场等建筑在电站建设过程中被淹没并将做货币补偿，这些区域内受影响的道路再无复建补偿的必要。</w:t>
      </w:r>
    </w:p>
    <w:p>
      <w:pPr>
        <w:spacing w:line="480" w:lineRule="exact"/>
        <w:ind w:firstLine="480" w:firstLineChars="200"/>
        <w:rPr>
          <w:rFonts w:hAnsi="宋体" w:cs="Times New Roman"/>
          <w:bCs/>
          <w:szCs w:val="28"/>
        </w:rPr>
      </w:pPr>
      <w:r>
        <w:rPr>
          <w:rFonts w:cs="Times New Roman"/>
          <w:sz w:val="24"/>
          <w:szCs w:val="28"/>
        </w:rPr>
        <w:t xml:space="preserve">(2) </w:t>
      </w:r>
      <w:r>
        <w:rPr>
          <w:rFonts w:hint="eastAsia" w:hAnsi="宋体" w:cs="Times New Roman"/>
          <w:bCs w:val="0"/>
          <w:sz w:val="24"/>
          <w:szCs w:val="28"/>
        </w:rPr>
        <w:t>老前池路征地影响路段长度约</w:t>
      </w:r>
      <w:r>
        <w:rPr>
          <w:rFonts w:hAnsi="宋体" w:cs="Times New Roman"/>
          <w:bCs w:val="0"/>
          <w:sz w:val="24"/>
          <w:szCs w:val="28"/>
        </w:rPr>
        <w:t>0.23km</w:t>
      </w:r>
      <w:r>
        <w:rPr>
          <w:rFonts w:hint="eastAsia" w:hAnsi="宋体" w:cs="Times New Roman"/>
          <w:bCs w:val="0"/>
          <w:sz w:val="24"/>
          <w:szCs w:val="28"/>
        </w:rPr>
        <w:t>，因该路段为水电站专用路，其所服务的坪田水电站因征地影响已失去功能并将做货币补偿，该路段再无复建与补偿的必要。</w:t>
      </w:r>
    </w:p>
    <w:p>
      <w:pPr>
        <w:spacing w:line="480" w:lineRule="exact"/>
        <w:ind w:firstLine="480" w:firstLineChars="200"/>
        <w:rPr>
          <w:rFonts w:hAnsi="宋体" w:cs="Times New Roman"/>
          <w:bCs/>
          <w:szCs w:val="28"/>
        </w:rPr>
      </w:pPr>
      <w:r>
        <w:rPr>
          <w:rFonts w:cs="Times New Roman"/>
          <w:sz w:val="24"/>
          <w:szCs w:val="28"/>
        </w:rPr>
        <w:t xml:space="preserve">(3) </w:t>
      </w:r>
      <w:r>
        <w:rPr>
          <w:rFonts w:hint="eastAsia" w:hAnsi="宋体" w:cs="Times New Roman"/>
          <w:bCs w:val="0"/>
          <w:sz w:val="24"/>
          <w:szCs w:val="28"/>
        </w:rPr>
        <w:t>激上线路口</w:t>
      </w:r>
      <w:r>
        <w:rPr>
          <w:rFonts w:hint="eastAsia" w:cs="Times New Roman"/>
          <w:sz w:val="24"/>
          <w:szCs w:val="28"/>
        </w:rPr>
        <w:t>~</w:t>
      </w:r>
      <w:r>
        <w:rPr>
          <w:rFonts w:hint="eastAsia" w:hAnsi="宋体" w:cs="Times New Roman"/>
          <w:bCs w:val="0"/>
          <w:sz w:val="24"/>
          <w:szCs w:val="28"/>
        </w:rPr>
        <w:t>上、下坪田水库路段及该路段相关支路，总长度约</w:t>
      </w:r>
      <w:r>
        <w:rPr>
          <w:rFonts w:hAnsi="宋体" w:cs="Times New Roman"/>
          <w:bCs w:val="0"/>
          <w:sz w:val="24"/>
          <w:szCs w:val="28"/>
        </w:rPr>
        <w:t>3.05km</w:t>
      </w:r>
      <w:r>
        <w:rPr>
          <w:rFonts w:hint="eastAsia" w:hAnsi="宋体" w:cs="Times New Roman"/>
          <w:bCs w:val="0"/>
          <w:sz w:val="24"/>
          <w:szCs w:val="28"/>
        </w:rPr>
        <w:t>，受建设征地影响，该路段以及该路段衔接的</w:t>
      </w:r>
      <w:r>
        <w:rPr>
          <w:rFonts w:hAnsi="宋体" w:cs="Times New Roman"/>
          <w:bCs w:val="0"/>
          <w:sz w:val="24"/>
          <w:szCs w:val="28"/>
        </w:rPr>
        <w:t>2</w:t>
      </w:r>
      <w:r>
        <w:rPr>
          <w:rFonts w:hint="eastAsia" w:hAnsi="宋体" w:cs="Times New Roman"/>
          <w:bCs w:val="0"/>
          <w:sz w:val="24"/>
          <w:szCs w:val="28"/>
        </w:rPr>
        <w:t>条支路失去通车行人功能，同时区域内受影响的道路已计入电站总体补偿费用，再无复建与补偿必要。</w:t>
      </w:r>
    </w:p>
    <w:p>
      <w:pPr>
        <w:numPr>
          <w:ilvl w:val="0"/>
          <w:numId w:val="0"/>
        </w:numPr>
        <w:overflowPunct/>
        <w:autoSpaceDE/>
        <w:autoSpaceDN/>
        <w:adjustRightInd/>
        <w:spacing w:line="480" w:lineRule="exact"/>
        <w:ind w:firstLine="480" w:firstLineChars="200"/>
        <w:rPr>
          <w:rFonts w:hAnsi="Times New Roman" w:cs="Times New Roman"/>
          <w:sz w:val="24"/>
        </w:rPr>
      </w:pPr>
      <w:r>
        <w:rPr>
          <w:rFonts w:cs="Times New Roman"/>
          <w:sz w:val="24"/>
          <w:szCs w:val="28"/>
        </w:rPr>
        <w:t xml:space="preserve">(4) </w:t>
      </w:r>
      <w:r>
        <w:rPr>
          <w:rFonts w:hint="eastAsia" w:hAnsi="Times New Roman" w:cs="Times New Roman"/>
          <w:sz w:val="24"/>
          <w:szCs w:val="28"/>
        </w:rPr>
        <w:t>激上线路口</w:t>
      </w:r>
      <w:r>
        <w:rPr>
          <w:rFonts w:cs="Times New Roman"/>
          <w:sz w:val="24"/>
          <w:szCs w:val="28"/>
        </w:rPr>
        <w:t>(</w:t>
      </w:r>
      <w:r>
        <w:rPr>
          <w:rFonts w:hAnsi="Times New Roman" w:cs="Times New Roman"/>
          <w:sz w:val="24"/>
          <w:szCs w:val="28"/>
        </w:rPr>
        <w:t>K1+460</w:t>
      </w:r>
      <w:r>
        <w:rPr>
          <w:rFonts w:cs="Times New Roman"/>
          <w:sz w:val="24"/>
          <w:szCs w:val="28"/>
        </w:rPr>
        <w:t>)</w:t>
      </w:r>
      <w:r>
        <w:rPr>
          <w:rFonts w:hint="eastAsia" w:cs="Times New Roman"/>
          <w:sz w:val="24"/>
          <w:szCs w:val="28"/>
        </w:rPr>
        <w:t>~</w:t>
      </w:r>
      <w:r>
        <w:rPr>
          <w:rFonts w:hint="eastAsia" w:hAnsi="Times New Roman" w:cs="Times New Roman"/>
          <w:sz w:val="24"/>
          <w:szCs w:val="28"/>
        </w:rPr>
        <w:t>上、下坪田水库路段及该路段</w:t>
      </w:r>
      <w:r>
        <w:rPr>
          <w:rFonts w:hAnsi="Times New Roman" w:cs="Times New Roman"/>
          <w:sz w:val="24"/>
          <w:szCs w:val="28"/>
        </w:rPr>
        <w:t>3</w:t>
      </w:r>
      <w:r>
        <w:rPr>
          <w:rFonts w:hint="eastAsia" w:hAnsi="Times New Roman" w:cs="Times New Roman"/>
          <w:sz w:val="24"/>
          <w:szCs w:val="28"/>
        </w:rPr>
        <w:t>条相关支路，总长度约</w:t>
      </w:r>
      <w:r>
        <w:rPr>
          <w:rFonts w:hAnsi="Times New Roman" w:cs="Times New Roman"/>
          <w:sz w:val="24"/>
          <w:szCs w:val="28"/>
        </w:rPr>
        <w:t>4.33km</w:t>
      </w:r>
      <w:r>
        <w:rPr>
          <w:rFonts w:hint="eastAsia" w:hAnsi="Times New Roman" w:cs="Times New Roman"/>
          <w:sz w:val="24"/>
          <w:szCs w:val="28"/>
        </w:rPr>
        <w:t>，受建设征地影响，该路段以及该路段衔接的</w:t>
      </w:r>
      <w:r>
        <w:rPr>
          <w:rFonts w:hAnsi="Times New Roman" w:cs="Times New Roman"/>
          <w:sz w:val="24"/>
          <w:szCs w:val="28"/>
        </w:rPr>
        <w:t>3</w:t>
      </w:r>
      <w:r>
        <w:rPr>
          <w:rFonts w:hint="eastAsia" w:hAnsi="Times New Roman" w:cs="Times New Roman"/>
          <w:sz w:val="24"/>
          <w:szCs w:val="28"/>
        </w:rPr>
        <w:t>条支路失去通车行人功能，同时区域内受影响的道路已计入电站总体补偿费用，再无复建与补偿必要。</w:t>
      </w:r>
    </w:p>
    <w:p>
      <w:pPr>
        <w:pStyle w:val="5"/>
      </w:pPr>
      <w:r>
        <w:t>5.1.</w:t>
      </w:r>
      <w:r>
        <w:rPr>
          <w:rFonts w:hint="eastAsia"/>
        </w:rPr>
        <w:t>5</w:t>
      </w:r>
      <w:r>
        <w:t>.</w:t>
      </w:r>
      <w:r>
        <w:rPr>
          <w:rFonts w:hint="eastAsia"/>
        </w:rPr>
        <w:t>2</w:t>
      </w:r>
      <w:r>
        <w:t xml:space="preserve">  电力工程</w:t>
      </w:r>
    </w:p>
    <w:p>
      <w:pPr>
        <w:spacing w:line="480" w:lineRule="exact"/>
        <w:ind w:firstLine="480" w:firstLineChars="200"/>
        <w:rPr>
          <w:sz w:val="24"/>
          <w:szCs w:val="28"/>
        </w:rPr>
      </w:pPr>
      <w:r>
        <w:rPr>
          <w:rFonts w:hint="eastAsia"/>
          <w:sz w:val="24"/>
          <w:szCs w:val="28"/>
        </w:rPr>
        <w:t>陆河抽水蓄能电站建设征地影响的电力设施情况包括：</w:t>
      </w:r>
      <w:r>
        <w:rPr>
          <w:sz w:val="24"/>
          <w:szCs w:val="28"/>
        </w:rPr>
        <w:t>35kV</w:t>
      </w:r>
      <w:r>
        <w:rPr>
          <w:rFonts w:hint="eastAsia"/>
          <w:sz w:val="24"/>
          <w:szCs w:val="28"/>
        </w:rPr>
        <w:t>架空电力线路</w:t>
      </w:r>
      <w:r>
        <w:rPr>
          <w:sz w:val="24"/>
          <w:szCs w:val="28"/>
        </w:rPr>
        <w:t>1</w:t>
      </w:r>
      <w:r>
        <w:rPr>
          <w:rFonts w:hint="eastAsia"/>
          <w:sz w:val="24"/>
          <w:szCs w:val="28"/>
        </w:rPr>
        <w:t>回，影响长度</w:t>
      </w:r>
      <w:r>
        <w:rPr>
          <w:sz w:val="24"/>
          <w:szCs w:val="28"/>
        </w:rPr>
        <w:t>0.8km</w:t>
      </w:r>
      <w:r>
        <w:rPr>
          <w:rFonts w:hint="eastAsia"/>
          <w:sz w:val="24"/>
          <w:szCs w:val="28"/>
        </w:rPr>
        <w:t>，</w:t>
      </w:r>
      <w:r>
        <w:rPr>
          <w:sz w:val="24"/>
          <w:szCs w:val="28"/>
        </w:rPr>
        <w:t>10kV</w:t>
      </w:r>
      <w:r>
        <w:rPr>
          <w:rFonts w:hint="eastAsia"/>
          <w:sz w:val="24"/>
          <w:szCs w:val="28"/>
        </w:rPr>
        <w:t>架空电力线路</w:t>
      </w:r>
      <w:r>
        <w:rPr>
          <w:sz w:val="24"/>
          <w:szCs w:val="28"/>
        </w:rPr>
        <w:t>7</w:t>
      </w:r>
      <w:r>
        <w:rPr>
          <w:rFonts w:hint="eastAsia"/>
          <w:sz w:val="24"/>
          <w:szCs w:val="28"/>
        </w:rPr>
        <w:t>回，影响共长度共计1</w:t>
      </w:r>
      <w:r>
        <w:rPr>
          <w:sz w:val="24"/>
          <w:szCs w:val="28"/>
        </w:rPr>
        <w:t>0.14km</w:t>
      </w:r>
      <w:r>
        <w:rPr>
          <w:rFonts w:hint="eastAsia"/>
          <w:sz w:val="24"/>
          <w:szCs w:val="28"/>
        </w:rPr>
        <w:t>，</w:t>
      </w:r>
      <w:r>
        <w:rPr>
          <w:sz w:val="24"/>
          <w:szCs w:val="28"/>
        </w:rPr>
        <w:t>0.4kV</w:t>
      </w:r>
      <w:r>
        <w:rPr>
          <w:rFonts w:hint="eastAsia"/>
          <w:sz w:val="24"/>
          <w:szCs w:val="28"/>
        </w:rPr>
        <w:t>台区架空电力线路</w:t>
      </w:r>
      <w:r>
        <w:rPr>
          <w:sz w:val="24"/>
          <w:szCs w:val="28"/>
        </w:rPr>
        <w:t>1</w:t>
      </w:r>
      <w:r>
        <w:rPr>
          <w:rFonts w:hint="eastAsia"/>
          <w:sz w:val="24"/>
          <w:szCs w:val="28"/>
        </w:rPr>
        <w:t>处，共</w:t>
      </w:r>
      <w:r>
        <w:rPr>
          <w:sz w:val="24"/>
          <w:szCs w:val="28"/>
        </w:rPr>
        <w:t>0.40km</w:t>
      </w:r>
      <w:r>
        <w:rPr>
          <w:rFonts w:hint="eastAsia"/>
          <w:sz w:val="24"/>
          <w:szCs w:val="28"/>
        </w:rPr>
        <w:t>，</w:t>
      </w:r>
      <w:r>
        <w:rPr>
          <w:sz w:val="24"/>
          <w:szCs w:val="28"/>
        </w:rPr>
        <w:t>10/0.4kV</w:t>
      </w:r>
      <w:r>
        <w:rPr>
          <w:rFonts w:hint="eastAsia"/>
          <w:sz w:val="24"/>
          <w:szCs w:val="28"/>
        </w:rPr>
        <w:t>配电双杠变台</w:t>
      </w:r>
      <w:r>
        <w:rPr>
          <w:sz w:val="24"/>
          <w:szCs w:val="28"/>
        </w:rPr>
        <w:t>1</w:t>
      </w:r>
      <w:r>
        <w:rPr>
          <w:rFonts w:hint="eastAsia"/>
          <w:sz w:val="24"/>
          <w:szCs w:val="28"/>
        </w:rPr>
        <w:t>套，总容量为</w:t>
      </w:r>
      <w:r>
        <w:rPr>
          <w:sz w:val="24"/>
          <w:szCs w:val="28"/>
        </w:rPr>
        <w:t>20kVA</w:t>
      </w:r>
      <w:r>
        <w:rPr>
          <w:rFonts w:hint="eastAsia"/>
          <w:sz w:val="24"/>
          <w:szCs w:val="28"/>
        </w:rPr>
        <w:t>。</w:t>
      </w:r>
    </w:p>
    <w:p>
      <w:pPr>
        <w:overflowPunct w:val="0"/>
        <w:autoSpaceDE w:val="0"/>
        <w:autoSpaceDN w:val="0"/>
        <w:adjustRightInd w:val="0"/>
        <w:spacing w:line="480" w:lineRule="exact"/>
        <w:ind w:firstLine="480" w:firstLineChars="200"/>
        <w:rPr>
          <w:sz w:val="24"/>
        </w:rPr>
      </w:pPr>
      <w:r>
        <w:rPr>
          <w:rFonts w:hAnsi="宋体"/>
          <w:sz w:val="24"/>
        </w:rPr>
        <w:t>本工程主要对受抽水蓄能电站建设征地影响的</w:t>
      </w:r>
      <w:r>
        <w:rPr>
          <w:rFonts w:hint="eastAsia" w:hAnsi="宋体"/>
          <w:sz w:val="24"/>
        </w:rPr>
        <w:t>电力</w:t>
      </w:r>
      <w:r>
        <w:rPr>
          <w:rFonts w:hAnsi="宋体"/>
          <w:sz w:val="24"/>
        </w:rPr>
        <w:t>设施按照原规模、原标准、恢复原功能的三原原则进行规划</w:t>
      </w:r>
      <w:r>
        <w:rPr>
          <w:rFonts w:hint="eastAsia" w:hAnsi="宋体"/>
          <w:sz w:val="24"/>
        </w:rPr>
        <w:t>复建</w:t>
      </w:r>
      <w:r>
        <w:rPr>
          <w:rFonts w:hAnsi="宋体"/>
          <w:sz w:val="24"/>
        </w:rPr>
        <w:t>。</w:t>
      </w:r>
    </w:p>
    <w:p>
      <w:pPr>
        <w:pStyle w:val="5"/>
      </w:pPr>
      <w:r>
        <w:t>5.1.</w:t>
      </w:r>
      <w:r>
        <w:rPr>
          <w:rFonts w:hint="eastAsia"/>
        </w:rPr>
        <w:t>5</w:t>
      </w:r>
      <w:r>
        <w:t>.</w:t>
      </w:r>
      <w:r>
        <w:rPr>
          <w:rFonts w:hint="eastAsia"/>
        </w:rPr>
        <w:t>3</w:t>
      </w:r>
      <w:r>
        <w:t xml:space="preserve">  通信工程</w:t>
      </w:r>
    </w:p>
    <w:p>
      <w:pPr>
        <w:overflowPunct w:val="0"/>
        <w:autoSpaceDE w:val="0"/>
        <w:autoSpaceDN w:val="0"/>
        <w:adjustRightInd w:val="0"/>
        <w:spacing w:line="480" w:lineRule="exact"/>
        <w:ind w:firstLine="480" w:firstLineChars="200"/>
        <w:rPr>
          <w:rFonts w:hAnsi="宋体"/>
          <w:sz w:val="24"/>
        </w:rPr>
      </w:pPr>
      <w:r>
        <w:rPr>
          <w:rFonts w:hint="eastAsia" w:hAnsi="宋体"/>
          <w:sz w:val="24"/>
        </w:rPr>
        <w:t>陆河抽水蓄能电站建设征地影响的通信设施包括：影响电信公司通信杆路</w:t>
      </w:r>
      <w:r>
        <w:rPr>
          <w:rFonts w:hAnsi="宋体"/>
          <w:sz w:val="24"/>
        </w:rPr>
        <w:t>2</w:t>
      </w:r>
      <w:r>
        <w:rPr>
          <w:rFonts w:hint="eastAsia" w:hAnsi="宋体"/>
          <w:sz w:val="24"/>
        </w:rPr>
        <w:t>段，长度为</w:t>
      </w:r>
      <w:r>
        <w:rPr>
          <w:rFonts w:hAnsi="宋体"/>
          <w:sz w:val="24"/>
        </w:rPr>
        <w:t>1.20km</w:t>
      </w:r>
      <w:r>
        <w:rPr>
          <w:rFonts w:hint="eastAsia" w:hAnsi="宋体"/>
          <w:sz w:val="24"/>
        </w:rPr>
        <w:t>，</w:t>
      </w:r>
      <w:r>
        <w:rPr>
          <w:rFonts w:hAnsi="宋体"/>
          <w:sz w:val="24"/>
        </w:rPr>
        <w:t>24</w:t>
      </w:r>
      <w:r>
        <w:rPr>
          <w:rFonts w:hint="eastAsia" w:hAnsi="宋体"/>
          <w:sz w:val="24"/>
        </w:rPr>
        <w:t>芯光缆线路</w:t>
      </w:r>
      <w:r>
        <w:rPr>
          <w:rFonts w:hAnsi="宋体"/>
          <w:sz w:val="24"/>
        </w:rPr>
        <w:t>4</w:t>
      </w:r>
      <w:r>
        <w:rPr>
          <w:rFonts w:hint="eastAsia" w:hAnsi="宋体"/>
          <w:sz w:val="24"/>
        </w:rPr>
        <w:t>条，总长度为</w:t>
      </w:r>
      <w:r>
        <w:rPr>
          <w:rFonts w:hAnsi="宋体"/>
          <w:sz w:val="24"/>
        </w:rPr>
        <w:t>2.40km</w:t>
      </w:r>
      <w:r>
        <w:rPr>
          <w:rFonts w:hint="eastAsia" w:hAnsi="宋体"/>
          <w:sz w:val="24"/>
        </w:rPr>
        <w:t>，</w:t>
      </w:r>
      <w:r>
        <w:rPr>
          <w:rFonts w:hAnsi="宋体"/>
          <w:sz w:val="24"/>
        </w:rPr>
        <w:t>12</w:t>
      </w:r>
      <w:r>
        <w:rPr>
          <w:rFonts w:hint="eastAsia" w:hAnsi="宋体"/>
          <w:sz w:val="24"/>
        </w:rPr>
        <w:t>芯光缆线路</w:t>
      </w:r>
      <w:r>
        <w:rPr>
          <w:rFonts w:hAnsi="宋体"/>
          <w:sz w:val="24"/>
        </w:rPr>
        <w:t>2</w:t>
      </w:r>
      <w:r>
        <w:rPr>
          <w:rFonts w:hint="eastAsia" w:hAnsi="宋体"/>
          <w:sz w:val="24"/>
        </w:rPr>
        <w:t>条，总长度为</w:t>
      </w:r>
      <w:r>
        <w:rPr>
          <w:rFonts w:hAnsi="宋体"/>
          <w:sz w:val="24"/>
        </w:rPr>
        <w:t>2.00km</w:t>
      </w:r>
      <w:r>
        <w:rPr>
          <w:rFonts w:hint="eastAsia" w:hAnsi="宋体"/>
          <w:sz w:val="24"/>
        </w:rPr>
        <w:t>；影响移动公司通信杆路</w:t>
      </w:r>
      <w:r>
        <w:rPr>
          <w:rFonts w:hAnsi="宋体"/>
          <w:sz w:val="24"/>
        </w:rPr>
        <w:t>1</w:t>
      </w:r>
      <w:r>
        <w:rPr>
          <w:rFonts w:hint="eastAsia" w:hAnsi="宋体"/>
          <w:sz w:val="24"/>
        </w:rPr>
        <w:t>段，长度为</w:t>
      </w:r>
      <w:r>
        <w:rPr>
          <w:rFonts w:hAnsi="宋体"/>
          <w:sz w:val="24"/>
        </w:rPr>
        <w:t>1.00km</w:t>
      </w:r>
      <w:r>
        <w:rPr>
          <w:rFonts w:hint="eastAsia" w:hAnsi="宋体"/>
          <w:sz w:val="24"/>
        </w:rPr>
        <w:t>，</w:t>
      </w:r>
      <w:r>
        <w:rPr>
          <w:rFonts w:hAnsi="宋体"/>
          <w:sz w:val="24"/>
        </w:rPr>
        <w:t>12</w:t>
      </w:r>
      <w:r>
        <w:rPr>
          <w:rFonts w:hint="eastAsia" w:hAnsi="宋体"/>
          <w:sz w:val="24"/>
        </w:rPr>
        <w:t>芯光缆线路</w:t>
      </w:r>
      <w:r>
        <w:rPr>
          <w:rFonts w:hAnsi="宋体"/>
          <w:sz w:val="24"/>
        </w:rPr>
        <w:t>1</w:t>
      </w:r>
      <w:r>
        <w:rPr>
          <w:rFonts w:hint="eastAsia" w:hAnsi="宋体"/>
          <w:sz w:val="24"/>
        </w:rPr>
        <w:t>条，总长度为</w:t>
      </w:r>
      <w:r>
        <w:rPr>
          <w:rFonts w:hAnsi="宋体"/>
          <w:sz w:val="24"/>
        </w:rPr>
        <w:t>1.0km</w:t>
      </w:r>
      <w:r>
        <w:rPr>
          <w:rFonts w:hint="eastAsia" w:hAnsi="宋体"/>
          <w:sz w:val="24"/>
        </w:rPr>
        <w:t>，另影响移动公司在上库区的1段4</w:t>
      </w:r>
      <w:r>
        <w:rPr>
          <w:rFonts w:hAnsi="宋体"/>
          <w:sz w:val="24"/>
        </w:rPr>
        <w:t>8</w:t>
      </w:r>
      <w:r>
        <w:rPr>
          <w:rFonts w:hint="eastAsia" w:hAnsi="宋体"/>
          <w:sz w:val="24"/>
        </w:rPr>
        <w:t>芯临时通信光缆，光缆长度为2</w:t>
      </w:r>
      <w:r>
        <w:rPr>
          <w:rFonts w:hAnsi="宋体"/>
          <w:sz w:val="24"/>
        </w:rPr>
        <w:t>.00km</w:t>
      </w:r>
      <w:r>
        <w:rPr>
          <w:rFonts w:hint="eastAsia" w:hAnsi="宋体"/>
          <w:sz w:val="24"/>
        </w:rPr>
        <w:t>，该段光缆是上库区一座临时基站的进线电缆，该基站主要为陆河抽蓄现场测量和施工服务，光缆直接丢在地上。另影响电信公司的激溪林场C网基站一座，其中15m高的支撑铁塔及附属建筑物权属中国铁塔公司，基站内的通信设备权属电信公司。</w:t>
      </w:r>
    </w:p>
    <w:p>
      <w:pPr>
        <w:overflowPunct w:val="0"/>
        <w:autoSpaceDE w:val="0"/>
        <w:autoSpaceDN w:val="0"/>
        <w:adjustRightInd w:val="0"/>
        <w:spacing w:line="480" w:lineRule="exact"/>
        <w:ind w:firstLine="480" w:firstLineChars="200"/>
        <w:rPr>
          <w:sz w:val="24"/>
        </w:rPr>
      </w:pPr>
      <w:r>
        <w:rPr>
          <w:rFonts w:hAnsi="宋体"/>
          <w:sz w:val="24"/>
        </w:rPr>
        <w:t>本工程主要对受抽水蓄能电站建设征地影响的通信设施按照原规模、原标准、恢复原功能的三原原则进行规划复建</w:t>
      </w:r>
      <w:r>
        <w:rPr>
          <w:rFonts w:hint="eastAsia" w:hAnsi="宋体"/>
          <w:sz w:val="24"/>
        </w:rPr>
        <w:t>。</w:t>
      </w:r>
    </w:p>
    <w:p>
      <w:pPr>
        <w:pStyle w:val="5"/>
      </w:pPr>
      <w:r>
        <w:t>5.1.</w:t>
      </w:r>
      <w:r>
        <w:rPr>
          <w:rFonts w:hint="eastAsia"/>
        </w:rPr>
        <w:t>5</w:t>
      </w:r>
      <w:r>
        <w:t>.</w:t>
      </w:r>
      <w:r>
        <w:rPr>
          <w:rFonts w:hint="eastAsia"/>
        </w:rPr>
        <w:t>4</w:t>
      </w:r>
      <w:r>
        <w:t xml:space="preserve">  水利</w:t>
      </w:r>
      <w:r>
        <w:rPr>
          <w:rFonts w:hint="eastAsia"/>
        </w:rPr>
        <w:t>水电</w:t>
      </w:r>
      <w:r>
        <w:t>工程</w:t>
      </w:r>
    </w:p>
    <w:p>
      <w:pPr>
        <w:spacing w:line="460" w:lineRule="exact"/>
        <w:ind w:firstLine="480" w:firstLineChars="200"/>
        <w:rPr>
          <w:sz w:val="24"/>
          <w:szCs w:val="22"/>
        </w:rPr>
      </w:pPr>
      <w:r>
        <w:rPr>
          <w:rFonts w:hint="eastAsia"/>
          <w:sz w:val="24"/>
          <w:szCs w:val="22"/>
        </w:rPr>
        <w:t>受陆河抽水蓄能电站建设征地影响的水利水电设施主要有大沥唇水电站、三江口水电站、三坑水电站、坪田水电站、激石溪老区水电站，详见下表5</w:t>
      </w:r>
      <w:r>
        <w:rPr>
          <w:sz w:val="24"/>
          <w:szCs w:val="22"/>
        </w:rPr>
        <w:t>.1.</w:t>
      </w:r>
      <w:r>
        <w:rPr>
          <w:rFonts w:hint="eastAsia"/>
          <w:sz w:val="24"/>
          <w:szCs w:val="22"/>
        </w:rPr>
        <w:t>5</w:t>
      </w:r>
      <w:r>
        <w:rPr>
          <w:sz w:val="24"/>
          <w:szCs w:val="22"/>
        </w:rPr>
        <w:t>-1</w:t>
      </w:r>
      <w:r>
        <w:rPr>
          <w:rFonts w:hint="eastAsia"/>
          <w:sz w:val="24"/>
          <w:szCs w:val="22"/>
        </w:rPr>
        <w:t>。</w:t>
      </w:r>
    </w:p>
    <w:p>
      <w:pPr>
        <w:adjustRightInd w:val="0"/>
        <w:snapToGrid w:val="0"/>
        <w:spacing w:before="120" w:beforeLines="50" w:line="460" w:lineRule="exact"/>
        <w:ind w:firstLine="480"/>
        <w:jc w:val="center"/>
        <w:rPr>
          <w:rFonts w:eastAsia="黑体"/>
          <w:sz w:val="24"/>
        </w:rPr>
      </w:pPr>
      <w:r>
        <w:rPr>
          <w:rFonts w:eastAsia="黑体"/>
          <w:sz w:val="24"/>
        </w:rPr>
        <w:t>表5.1.</w:t>
      </w:r>
      <w:r>
        <w:rPr>
          <w:rFonts w:hint="eastAsia" w:eastAsia="黑体"/>
          <w:sz w:val="24"/>
        </w:rPr>
        <w:t>5</w:t>
      </w:r>
      <w:r>
        <w:rPr>
          <w:rFonts w:eastAsia="黑体"/>
          <w:sz w:val="24"/>
        </w:rPr>
        <w:t xml:space="preserve">-1  </w:t>
      </w:r>
      <w:r>
        <w:rPr>
          <w:rFonts w:hint="eastAsia" w:eastAsia="黑体"/>
          <w:sz w:val="24"/>
        </w:rPr>
        <w:t>陆河</w:t>
      </w:r>
      <w:r>
        <w:rPr>
          <w:rFonts w:eastAsia="黑体"/>
          <w:sz w:val="24"/>
        </w:rPr>
        <w:t>抽水蓄能电站建设征地影响的水利水电设施表</w:t>
      </w:r>
    </w:p>
    <w:tbl>
      <w:tblPr>
        <w:tblStyle w:val="79"/>
        <w:tblW w:w="86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2"/>
        <w:gridCol w:w="2636"/>
        <w:gridCol w:w="1567"/>
        <w:gridCol w:w="711"/>
        <w:gridCol w:w="856"/>
        <w:gridCol w:w="20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772" w:type="dxa"/>
            <w:vAlign w:val="center"/>
          </w:tcPr>
          <w:p>
            <w:pPr>
              <w:adjustRightInd w:val="0"/>
              <w:snapToGrid w:val="0"/>
              <w:jc w:val="center"/>
              <w:rPr>
                <w:rFonts w:cs="Times New Roman"/>
                <w:kern w:val="0"/>
              </w:rPr>
            </w:pPr>
            <w:r>
              <w:rPr>
                <w:rFonts w:hAnsi="宋体" w:cs="Times New Roman"/>
                <w:kern w:val="0"/>
              </w:rPr>
              <w:t>序号</w:t>
            </w:r>
          </w:p>
        </w:tc>
        <w:tc>
          <w:tcPr>
            <w:tcW w:w="2636" w:type="dxa"/>
            <w:vAlign w:val="center"/>
          </w:tcPr>
          <w:p>
            <w:pPr>
              <w:adjustRightInd w:val="0"/>
              <w:snapToGrid w:val="0"/>
              <w:jc w:val="center"/>
              <w:rPr>
                <w:rFonts w:cs="Times New Roman"/>
                <w:kern w:val="0"/>
              </w:rPr>
            </w:pPr>
            <w:r>
              <w:rPr>
                <w:rFonts w:hAnsi="宋体" w:cs="Times New Roman"/>
                <w:kern w:val="0"/>
              </w:rPr>
              <w:t>权属单位</w:t>
            </w:r>
          </w:p>
        </w:tc>
        <w:tc>
          <w:tcPr>
            <w:tcW w:w="1567" w:type="dxa"/>
            <w:vAlign w:val="center"/>
          </w:tcPr>
          <w:p>
            <w:pPr>
              <w:adjustRightInd w:val="0"/>
              <w:snapToGrid w:val="0"/>
              <w:jc w:val="center"/>
              <w:rPr>
                <w:rFonts w:cs="Times New Roman"/>
                <w:kern w:val="0"/>
              </w:rPr>
            </w:pPr>
            <w:r>
              <w:rPr>
                <w:rFonts w:hAnsi="宋体" w:cs="Times New Roman"/>
                <w:kern w:val="0"/>
              </w:rPr>
              <w:t>项</w:t>
            </w:r>
            <w:r>
              <w:rPr>
                <w:rFonts w:cs="Times New Roman"/>
                <w:kern w:val="0"/>
              </w:rPr>
              <w:t xml:space="preserve">  </w:t>
            </w:r>
            <w:r>
              <w:rPr>
                <w:rFonts w:hAnsi="宋体" w:cs="Times New Roman"/>
                <w:kern w:val="0"/>
              </w:rPr>
              <w:t>目</w:t>
            </w:r>
          </w:p>
        </w:tc>
        <w:tc>
          <w:tcPr>
            <w:tcW w:w="711" w:type="dxa"/>
            <w:vAlign w:val="center"/>
          </w:tcPr>
          <w:p>
            <w:pPr>
              <w:adjustRightInd w:val="0"/>
              <w:snapToGrid w:val="0"/>
              <w:jc w:val="center"/>
              <w:rPr>
                <w:rFonts w:cs="Times New Roman"/>
                <w:kern w:val="0"/>
              </w:rPr>
            </w:pPr>
            <w:r>
              <w:rPr>
                <w:rFonts w:hAnsi="宋体" w:cs="Times New Roman"/>
                <w:kern w:val="0"/>
              </w:rPr>
              <w:t>单位</w:t>
            </w:r>
          </w:p>
        </w:tc>
        <w:tc>
          <w:tcPr>
            <w:tcW w:w="856" w:type="dxa"/>
            <w:vAlign w:val="center"/>
          </w:tcPr>
          <w:p>
            <w:pPr>
              <w:adjustRightInd w:val="0"/>
              <w:snapToGrid w:val="0"/>
              <w:jc w:val="center"/>
              <w:rPr>
                <w:rFonts w:cs="Times New Roman"/>
                <w:kern w:val="0"/>
              </w:rPr>
            </w:pPr>
            <w:r>
              <w:rPr>
                <w:rFonts w:hAnsi="宋体" w:cs="Times New Roman"/>
                <w:kern w:val="0"/>
              </w:rPr>
              <w:t>合计</w:t>
            </w:r>
          </w:p>
        </w:tc>
        <w:tc>
          <w:tcPr>
            <w:tcW w:w="2089" w:type="dxa"/>
            <w:vAlign w:val="center"/>
          </w:tcPr>
          <w:p>
            <w:pPr>
              <w:adjustRightInd w:val="0"/>
              <w:snapToGrid w:val="0"/>
              <w:jc w:val="center"/>
              <w:rPr>
                <w:rFonts w:cs="Times New Roman"/>
                <w:kern w:val="0"/>
              </w:rPr>
            </w:pPr>
            <w:r>
              <w:rPr>
                <w:rFonts w:hAnsi="宋体" w:cs="Times New Roman"/>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r>
              <w:rPr>
                <w:rFonts w:cs="Times New Roman"/>
                <w:kern w:val="0"/>
              </w:rPr>
              <w:t>1</w:t>
            </w:r>
          </w:p>
        </w:tc>
        <w:tc>
          <w:tcPr>
            <w:tcW w:w="2636" w:type="dxa"/>
            <w:vAlign w:val="center"/>
          </w:tcPr>
          <w:p>
            <w:pPr>
              <w:adjustRightInd w:val="0"/>
              <w:snapToGrid w:val="0"/>
              <w:jc w:val="center"/>
              <w:rPr>
                <w:rFonts w:cs="Times New Roman"/>
                <w:kern w:val="0"/>
              </w:rPr>
            </w:pPr>
          </w:p>
        </w:tc>
        <w:tc>
          <w:tcPr>
            <w:tcW w:w="1567" w:type="dxa"/>
            <w:vAlign w:val="center"/>
          </w:tcPr>
          <w:p>
            <w:pPr>
              <w:adjustRightInd w:val="0"/>
              <w:snapToGrid w:val="0"/>
              <w:jc w:val="center"/>
              <w:rPr>
                <w:rFonts w:cs="Times New Roman"/>
                <w:kern w:val="0"/>
              </w:rPr>
            </w:pPr>
            <w:r>
              <w:rPr>
                <w:rFonts w:hAnsi="Times New Roman" w:cs="Times New Roman"/>
                <w:kern w:val="0"/>
                <w:highlight w:val="none"/>
              </w:rPr>
              <w:t>小水电站</w:t>
            </w:r>
          </w:p>
        </w:tc>
        <w:tc>
          <w:tcPr>
            <w:tcW w:w="711" w:type="dxa"/>
            <w:vAlign w:val="center"/>
          </w:tcPr>
          <w:p>
            <w:pPr>
              <w:adjustRightInd w:val="0"/>
              <w:snapToGrid w:val="0"/>
              <w:jc w:val="center"/>
              <w:rPr>
                <w:rFonts w:cs="Times New Roman"/>
                <w:kern w:val="0"/>
              </w:rPr>
            </w:pPr>
            <w:r>
              <w:rPr>
                <w:rFonts w:cs="Times New Roman"/>
                <w:kern w:val="0"/>
                <w:highlight w:val="none"/>
              </w:rPr>
              <w:t>kW</w:t>
            </w:r>
          </w:p>
        </w:tc>
        <w:tc>
          <w:tcPr>
            <w:tcW w:w="856" w:type="dxa"/>
            <w:vAlign w:val="center"/>
          </w:tcPr>
          <w:p>
            <w:pPr>
              <w:adjustRightInd w:val="0"/>
              <w:snapToGrid w:val="0"/>
              <w:jc w:val="center"/>
              <w:rPr>
                <w:rFonts w:cs="Times New Roman"/>
                <w:kern w:val="0"/>
              </w:rPr>
            </w:pPr>
            <w:r>
              <w:rPr>
                <w:rFonts w:cs="Times New Roman"/>
                <w:kern w:val="0"/>
                <w:highlight w:val="none"/>
              </w:rPr>
              <w:t>7390</w:t>
            </w:r>
          </w:p>
        </w:tc>
        <w:tc>
          <w:tcPr>
            <w:tcW w:w="2089" w:type="dxa"/>
            <w:vAlign w:val="center"/>
          </w:tcPr>
          <w:p>
            <w:pPr>
              <w:adjustRightInd w:val="0"/>
              <w:snapToGrid w:val="0"/>
              <w:jc w:val="center"/>
              <w:rPr>
                <w:rFonts w:cs="Times New Roman"/>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rPr>
            </w:pPr>
            <w:r>
              <w:rPr>
                <w:rFonts w:hAnsi="Times New Roman" w:cs="Times New Roman"/>
                <w:kern w:val="0"/>
                <w:highlight w:val="none"/>
                <w:lang w:bidi="ar-SA"/>
              </w:rPr>
              <w:t>广东泰源伟业集团有限公司</w:t>
            </w:r>
          </w:p>
        </w:tc>
        <w:tc>
          <w:tcPr>
            <w:tcW w:w="1567" w:type="dxa"/>
            <w:vAlign w:val="center"/>
          </w:tcPr>
          <w:p>
            <w:pPr>
              <w:adjustRightInd w:val="0"/>
              <w:snapToGrid w:val="0"/>
              <w:jc w:val="center"/>
              <w:rPr>
                <w:rFonts w:cs="Times New Roman"/>
                <w:kern w:val="0"/>
              </w:rPr>
            </w:pPr>
            <w:r>
              <w:rPr>
                <w:rFonts w:hAnsi="Times New Roman" w:cs="Times New Roman"/>
                <w:kern w:val="0"/>
                <w:highlight w:val="none"/>
              </w:rPr>
              <w:t>大沥唇电站</w:t>
            </w:r>
          </w:p>
        </w:tc>
        <w:tc>
          <w:tcPr>
            <w:tcW w:w="711" w:type="dxa"/>
            <w:vAlign w:val="center"/>
          </w:tcPr>
          <w:p>
            <w:pPr>
              <w:adjustRightInd w:val="0"/>
              <w:snapToGrid w:val="0"/>
              <w:jc w:val="center"/>
              <w:rPr>
                <w:rFonts w:cs="Times New Roman"/>
                <w:kern w:val="0"/>
              </w:rPr>
            </w:pPr>
            <w:r>
              <w:rPr>
                <w:rFonts w:cs="Times New Roman"/>
                <w:kern w:val="0"/>
                <w:highlight w:val="none"/>
              </w:rPr>
              <w:t>kW</w:t>
            </w:r>
          </w:p>
        </w:tc>
        <w:tc>
          <w:tcPr>
            <w:tcW w:w="856" w:type="dxa"/>
            <w:vAlign w:val="center"/>
          </w:tcPr>
          <w:p>
            <w:pPr>
              <w:adjustRightInd w:val="0"/>
              <w:snapToGrid w:val="0"/>
              <w:jc w:val="center"/>
              <w:rPr>
                <w:rFonts w:cs="Times New Roman"/>
                <w:kern w:val="0"/>
              </w:rPr>
            </w:pPr>
            <w:r>
              <w:rPr>
                <w:rFonts w:cs="Times New Roman"/>
                <w:kern w:val="0"/>
                <w:highlight w:val="none"/>
              </w:rPr>
              <w:t>830</w:t>
            </w:r>
          </w:p>
        </w:tc>
        <w:tc>
          <w:tcPr>
            <w:tcW w:w="2089" w:type="dxa"/>
            <w:vAlign w:val="center"/>
          </w:tcPr>
          <w:p>
            <w:pPr>
              <w:adjustRightInd w:val="0"/>
              <w:snapToGrid w:val="0"/>
              <w:jc w:val="center"/>
              <w:rPr>
                <w:rFonts w:cs="Times New Roman"/>
                <w:kern w:val="0"/>
              </w:rPr>
            </w:pPr>
            <w:r>
              <w:rPr>
                <w:rFonts w:hAnsi="Times New Roman" w:cs="Times New Roman"/>
                <w:kern w:val="0"/>
                <w:highlight w:val="none"/>
              </w:rPr>
              <w:t>淹没水源，影响管线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rPr>
            </w:pPr>
            <w:r>
              <w:rPr>
                <w:rFonts w:hAnsi="Times New Roman" w:cs="Times New Roman"/>
                <w:kern w:val="0"/>
                <w:highlight w:val="none"/>
                <w:lang w:bidi="ar-SA"/>
              </w:rPr>
              <w:t>广东泰源伟业集团有限公司</w:t>
            </w:r>
          </w:p>
        </w:tc>
        <w:tc>
          <w:tcPr>
            <w:tcW w:w="1567" w:type="dxa"/>
            <w:vAlign w:val="center"/>
          </w:tcPr>
          <w:p>
            <w:pPr>
              <w:adjustRightInd w:val="0"/>
              <w:snapToGrid w:val="0"/>
              <w:jc w:val="center"/>
              <w:rPr>
                <w:rFonts w:cs="Times New Roman"/>
                <w:kern w:val="0"/>
              </w:rPr>
            </w:pPr>
            <w:r>
              <w:rPr>
                <w:rFonts w:hAnsi="Times New Roman" w:cs="Times New Roman"/>
                <w:kern w:val="0"/>
                <w:highlight w:val="none"/>
                <w:lang w:bidi="ar-SA"/>
              </w:rPr>
              <w:t>三江口电站</w:t>
            </w:r>
          </w:p>
        </w:tc>
        <w:tc>
          <w:tcPr>
            <w:tcW w:w="711" w:type="dxa"/>
            <w:vAlign w:val="center"/>
          </w:tcPr>
          <w:p>
            <w:pPr>
              <w:adjustRightInd w:val="0"/>
              <w:snapToGrid w:val="0"/>
              <w:jc w:val="center"/>
              <w:rPr>
                <w:rFonts w:cs="Times New Roman"/>
                <w:kern w:val="0"/>
              </w:rPr>
            </w:pPr>
            <w:r>
              <w:rPr>
                <w:rFonts w:cs="Times New Roman"/>
                <w:kern w:val="0"/>
                <w:highlight w:val="none"/>
              </w:rPr>
              <w:t>kW</w:t>
            </w:r>
          </w:p>
        </w:tc>
        <w:tc>
          <w:tcPr>
            <w:tcW w:w="856" w:type="dxa"/>
            <w:vAlign w:val="center"/>
          </w:tcPr>
          <w:p>
            <w:pPr>
              <w:adjustRightInd w:val="0"/>
              <w:snapToGrid w:val="0"/>
              <w:jc w:val="center"/>
              <w:rPr>
                <w:rFonts w:cs="Times New Roman"/>
                <w:kern w:val="0"/>
              </w:rPr>
            </w:pPr>
            <w:r>
              <w:rPr>
                <w:rFonts w:cs="Times New Roman"/>
                <w:kern w:val="0"/>
                <w:highlight w:val="none"/>
              </w:rPr>
              <w:t>3150</w:t>
            </w:r>
          </w:p>
        </w:tc>
        <w:tc>
          <w:tcPr>
            <w:tcW w:w="2089" w:type="dxa"/>
            <w:vAlign w:val="center"/>
          </w:tcPr>
          <w:p>
            <w:pPr>
              <w:adjustRightInd w:val="0"/>
              <w:snapToGrid w:val="0"/>
              <w:jc w:val="center"/>
              <w:rPr>
                <w:rFonts w:cs="Times New Roman"/>
                <w:kern w:val="0"/>
              </w:rPr>
            </w:pPr>
            <w:r>
              <w:rPr>
                <w:rFonts w:hAnsi="Times New Roman" w:cs="Times New Roman"/>
                <w:kern w:val="0"/>
                <w:highlight w:val="none"/>
              </w:rPr>
              <w:t>淹没厂房，影响管线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rPr>
            </w:pPr>
            <w:r>
              <w:rPr>
                <w:rFonts w:hAnsi="Times New Roman" w:cs="Times New Roman"/>
                <w:kern w:val="0"/>
                <w:highlight w:val="none"/>
                <w:lang w:bidi="ar-SA"/>
              </w:rPr>
              <w:t>广东泰源伟业集团有限公司</w:t>
            </w:r>
          </w:p>
        </w:tc>
        <w:tc>
          <w:tcPr>
            <w:tcW w:w="1567" w:type="dxa"/>
            <w:vAlign w:val="center"/>
          </w:tcPr>
          <w:p>
            <w:pPr>
              <w:adjustRightInd w:val="0"/>
              <w:snapToGrid w:val="0"/>
              <w:jc w:val="center"/>
              <w:rPr>
                <w:rFonts w:cs="Times New Roman"/>
                <w:kern w:val="0"/>
              </w:rPr>
            </w:pPr>
            <w:r>
              <w:rPr>
                <w:rFonts w:hAnsi="Times New Roman" w:cs="Times New Roman"/>
                <w:kern w:val="0"/>
                <w:highlight w:val="none"/>
              </w:rPr>
              <w:t>三坑电站</w:t>
            </w:r>
          </w:p>
        </w:tc>
        <w:tc>
          <w:tcPr>
            <w:tcW w:w="711" w:type="dxa"/>
            <w:vAlign w:val="center"/>
          </w:tcPr>
          <w:p>
            <w:pPr>
              <w:adjustRightInd w:val="0"/>
              <w:snapToGrid w:val="0"/>
              <w:jc w:val="center"/>
              <w:rPr>
                <w:rFonts w:cs="Times New Roman"/>
                <w:kern w:val="0"/>
              </w:rPr>
            </w:pPr>
            <w:r>
              <w:rPr>
                <w:rFonts w:cs="Times New Roman"/>
                <w:kern w:val="0"/>
                <w:highlight w:val="none"/>
              </w:rPr>
              <w:t>kW</w:t>
            </w:r>
          </w:p>
        </w:tc>
        <w:tc>
          <w:tcPr>
            <w:tcW w:w="856" w:type="dxa"/>
            <w:vAlign w:val="center"/>
          </w:tcPr>
          <w:p>
            <w:pPr>
              <w:adjustRightInd w:val="0"/>
              <w:snapToGrid w:val="0"/>
              <w:jc w:val="center"/>
              <w:rPr>
                <w:rFonts w:cs="Times New Roman"/>
                <w:kern w:val="0"/>
              </w:rPr>
            </w:pPr>
            <w:r>
              <w:rPr>
                <w:rFonts w:cs="Times New Roman"/>
                <w:kern w:val="0"/>
                <w:highlight w:val="none"/>
              </w:rPr>
              <w:t>1580</w:t>
            </w:r>
          </w:p>
        </w:tc>
        <w:tc>
          <w:tcPr>
            <w:tcW w:w="2089" w:type="dxa"/>
            <w:vAlign w:val="center"/>
          </w:tcPr>
          <w:p>
            <w:pPr>
              <w:adjustRightInd w:val="0"/>
              <w:snapToGrid w:val="0"/>
              <w:jc w:val="center"/>
              <w:rPr>
                <w:rFonts w:cs="Times New Roman"/>
                <w:kern w:val="0"/>
              </w:rPr>
            </w:pPr>
            <w:r>
              <w:rPr>
                <w:rFonts w:hAnsi="Times New Roman" w:cs="Times New Roman"/>
                <w:kern w:val="0"/>
                <w:highlight w:val="none"/>
              </w:rPr>
              <w:t>淹没厂房，影响管线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rPr>
            </w:pPr>
            <w:r>
              <w:rPr>
                <w:rFonts w:hAnsi="Times New Roman" w:cs="Times New Roman"/>
                <w:kern w:val="0"/>
                <w:highlight w:val="none"/>
                <w:lang w:bidi="ar-SA"/>
              </w:rPr>
              <w:t>广东泰源伟业集团有限公司</w:t>
            </w:r>
          </w:p>
        </w:tc>
        <w:tc>
          <w:tcPr>
            <w:tcW w:w="1567" w:type="dxa"/>
            <w:vAlign w:val="center"/>
          </w:tcPr>
          <w:p>
            <w:pPr>
              <w:adjustRightInd w:val="0"/>
              <w:snapToGrid w:val="0"/>
              <w:jc w:val="center"/>
              <w:rPr>
                <w:rFonts w:cs="Times New Roman"/>
                <w:kern w:val="0"/>
              </w:rPr>
            </w:pPr>
            <w:r>
              <w:rPr>
                <w:rFonts w:hAnsi="Times New Roman" w:cs="Times New Roman"/>
                <w:kern w:val="0"/>
                <w:highlight w:val="none"/>
              </w:rPr>
              <w:t>坪田电站</w:t>
            </w:r>
          </w:p>
        </w:tc>
        <w:tc>
          <w:tcPr>
            <w:tcW w:w="711" w:type="dxa"/>
            <w:vAlign w:val="center"/>
          </w:tcPr>
          <w:p>
            <w:pPr>
              <w:adjustRightInd w:val="0"/>
              <w:snapToGrid w:val="0"/>
              <w:jc w:val="center"/>
              <w:rPr>
                <w:rFonts w:cs="Times New Roman"/>
                <w:kern w:val="0"/>
              </w:rPr>
            </w:pPr>
            <w:r>
              <w:rPr>
                <w:rFonts w:cs="Times New Roman"/>
                <w:kern w:val="0"/>
                <w:highlight w:val="none"/>
              </w:rPr>
              <w:t>kW</w:t>
            </w:r>
          </w:p>
        </w:tc>
        <w:tc>
          <w:tcPr>
            <w:tcW w:w="856" w:type="dxa"/>
            <w:vAlign w:val="center"/>
          </w:tcPr>
          <w:p>
            <w:pPr>
              <w:adjustRightInd w:val="0"/>
              <w:snapToGrid w:val="0"/>
              <w:jc w:val="center"/>
              <w:rPr>
                <w:rFonts w:cs="Times New Roman"/>
                <w:kern w:val="0"/>
              </w:rPr>
            </w:pPr>
            <w:r>
              <w:rPr>
                <w:rFonts w:cs="Times New Roman"/>
                <w:kern w:val="0"/>
                <w:highlight w:val="none"/>
              </w:rPr>
              <w:t>630</w:t>
            </w:r>
          </w:p>
        </w:tc>
        <w:tc>
          <w:tcPr>
            <w:tcW w:w="2089" w:type="dxa"/>
            <w:vAlign w:val="center"/>
          </w:tcPr>
          <w:p>
            <w:pPr>
              <w:adjustRightInd w:val="0"/>
              <w:snapToGrid w:val="0"/>
              <w:jc w:val="center"/>
              <w:rPr>
                <w:rFonts w:cs="Times New Roman"/>
                <w:kern w:val="0"/>
              </w:rPr>
            </w:pPr>
            <w:r>
              <w:rPr>
                <w:rFonts w:hAnsi="Times New Roman" w:cs="Times New Roman"/>
                <w:kern w:val="0"/>
                <w:highlight w:val="none"/>
              </w:rPr>
              <w:t>淹没水源，影响管线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72" w:type="dxa"/>
            <w:vAlign w:val="center"/>
          </w:tcPr>
          <w:p>
            <w:pPr>
              <w:adjustRightInd w:val="0"/>
              <w:snapToGrid w:val="0"/>
              <w:jc w:val="center"/>
              <w:rPr>
                <w:rFonts w:cs="Times New Roman"/>
                <w:kern w:val="0"/>
              </w:rPr>
            </w:pPr>
          </w:p>
        </w:tc>
        <w:tc>
          <w:tcPr>
            <w:tcW w:w="2636" w:type="dxa"/>
            <w:vAlign w:val="center"/>
          </w:tcPr>
          <w:p>
            <w:pPr>
              <w:adjustRightInd w:val="0"/>
              <w:snapToGrid w:val="0"/>
              <w:jc w:val="center"/>
              <w:rPr>
                <w:rFonts w:cs="Times New Roman"/>
                <w:kern w:val="0"/>
              </w:rPr>
            </w:pPr>
            <w:r>
              <w:rPr>
                <w:rFonts w:hAnsi="Times New Roman" w:cs="Times New Roman"/>
                <w:kern w:val="0"/>
                <w:highlight w:val="none"/>
                <w:lang w:bidi="ar-SA"/>
              </w:rPr>
              <w:t>陆河县激石溪老区水电有限公司</w:t>
            </w:r>
          </w:p>
        </w:tc>
        <w:tc>
          <w:tcPr>
            <w:tcW w:w="1567" w:type="dxa"/>
            <w:vAlign w:val="center"/>
          </w:tcPr>
          <w:p>
            <w:pPr>
              <w:adjustRightInd w:val="0"/>
              <w:snapToGrid w:val="0"/>
              <w:jc w:val="center"/>
              <w:rPr>
                <w:rFonts w:cs="Times New Roman"/>
                <w:kern w:val="0"/>
              </w:rPr>
            </w:pPr>
            <w:r>
              <w:rPr>
                <w:rFonts w:hAnsi="Times New Roman" w:cs="Times New Roman"/>
                <w:kern w:val="0"/>
                <w:highlight w:val="none"/>
              </w:rPr>
              <w:t>激石溪老区电站</w:t>
            </w:r>
          </w:p>
        </w:tc>
        <w:tc>
          <w:tcPr>
            <w:tcW w:w="711" w:type="dxa"/>
            <w:vAlign w:val="center"/>
          </w:tcPr>
          <w:p>
            <w:pPr>
              <w:adjustRightInd w:val="0"/>
              <w:snapToGrid w:val="0"/>
              <w:jc w:val="center"/>
              <w:rPr>
                <w:rFonts w:cs="Times New Roman"/>
                <w:kern w:val="0"/>
              </w:rPr>
            </w:pPr>
            <w:r>
              <w:rPr>
                <w:rFonts w:cs="Times New Roman"/>
                <w:kern w:val="0"/>
                <w:highlight w:val="none"/>
              </w:rPr>
              <w:t>kW</w:t>
            </w:r>
          </w:p>
        </w:tc>
        <w:tc>
          <w:tcPr>
            <w:tcW w:w="856" w:type="dxa"/>
            <w:vAlign w:val="center"/>
          </w:tcPr>
          <w:p>
            <w:pPr>
              <w:adjustRightInd w:val="0"/>
              <w:snapToGrid w:val="0"/>
              <w:jc w:val="center"/>
              <w:rPr>
                <w:rFonts w:cs="Times New Roman"/>
                <w:kern w:val="0"/>
              </w:rPr>
            </w:pPr>
            <w:r>
              <w:rPr>
                <w:rFonts w:cs="Times New Roman"/>
                <w:kern w:val="0"/>
                <w:highlight w:val="none"/>
              </w:rPr>
              <w:t>1200</w:t>
            </w:r>
          </w:p>
        </w:tc>
        <w:tc>
          <w:tcPr>
            <w:tcW w:w="2089" w:type="dxa"/>
            <w:vAlign w:val="center"/>
          </w:tcPr>
          <w:p>
            <w:pPr>
              <w:adjustRightInd w:val="0"/>
              <w:snapToGrid w:val="0"/>
              <w:jc w:val="center"/>
              <w:rPr>
                <w:rFonts w:cs="Times New Roman"/>
                <w:kern w:val="0"/>
              </w:rPr>
            </w:pPr>
            <w:r>
              <w:rPr>
                <w:rFonts w:hAnsi="Times New Roman" w:cs="Times New Roman"/>
                <w:kern w:val="0"/>
                <w:highlight w:val="none"/>
              </w:rPr>
              <w:t>淹没水源，影响管线</w:t>
            </w:r>
          </w:p>
        </w:tc>
      </w:tr>
    </w:tbl>
    <w:p>
      <w:pPr>
        <w:adjustRightInd w:val="0"/>
        <w:snapToGrid w:val="0"/>
        <w:spacing w:line="480" w:lineRule="exact"/>
        <w:ind w:firstLine="480" w:firstLineChars="200"/>
        <w:rPr>
          <w:sz w:val="24"/>
          <w:szCs w:val="22"/>
        </w:rPr>
      </w:pPr>
      <w:r>
        <w:rPr>
          <w:sz w:val="24"/>
          <w:szCs w:val="22"/>
        </w:rPr>
        <w:t xml:space="preserve">a) </w:t>
      </w:r>
      <w:r>
        <w:rPr>
          <w:rFonts w:hint="eastAsia" w:hAnsi="宋体"/>
          <w:sz w:val="24"/>
          <w:szCs w:val="22"/>
        </w:rPr>
        <w:t>小水电站</w:t>
      </w:r>
    </w:p>
    <w:p>
      <w:pPr>
        <w:adjustRightInd w:val="0"/>
        <w:snapToGrid w:val="0"/>
        <w:spacing w:line="480" w:lineRule="exact"/>
        <w:ind w:firstLine="480" w:firstLineChars="200"/>
        <w:rPr>
          <w:sz w:val="24"/>
          <w:szCs w:val="22"/>
        </w:rPr>
      </w:pPr>
      <w:r>
        <w:rPr>
          <w:rFonts w:hint="eastAsia"/>
          <w:sz w:val="24"/>
          <w:szCs w:val="22"/>
        </w:rPr>
        <w:t>1) 大沥唇水电站</w:t>
      </w:r>
    </w:p>
    <w:p>
      <w:pPr>
        <w:adjustRightInd w:val="0"/>
        <w:snapToGrid w:val="0"/>
        <w:spacing w:line="480" w:lineRule="exact"/>
        <w:ind w:firstLine="480" w:firstLineChars="200"/>
        <w:rPr>
          <w:sz w:val="24"/>
          <w:szCs w:val="22"/>
        </w:rPr>
      </w:pPr>
      <w:r>
        <w:rPr>
          <w:rFonts w:hint="eastAsia"/>
          <w:sz w:val="24"/>
          <w:szCs w:val="22"/>
        </w:rPr>
        <w:t>大沥唇水电站位于广东省汕尾市陆河县西北部地区新田镇激石溪林场，电站距离县城约38公里，大沥唇水电站始建于2000年，2000年建成投产发电，电站上游有南房水库1座，大坝为浆砌石WES实用坝，坝顶高程498.1m。电站原装机容量为820kW，2015年进行了增效扩容改造，改造后装机容量为830kW，最高水头250m，设计水头245m，设计发电流量0.55m</w:t>
      </w:r>
      <w:r>
        <w:rPr>
          <w:sz w:val="24"/>
          <w:szCs w:val="22"/>
          <w:vertAlign w:val="superscript"/>
        </w:rPr>
        <w:t>3</w:t>
      </w:r>
      <w:r>
        <w:rPr>
          <w:rFonts w:hint="eastAsia"/>
          <w:sz w:val="24"/>
          <w:szCs w:val="22"/>
        </w:rPr>
        <w:t>/s，多年平均年发电量为206.62万kW·h。</w:t>
      </w:r>
    </w:p>
    <w:p>
      <w:pPr>
        <w:adjustRightInd w:val="0"/>
        <w:snapToGrid w:val="0"/>
        <w:spacing w:line="480" w:lineRule="exact"/>
        <w:ind w:firstLine="480" w:firstLineChars="200"/>
        <w:rPr>
          <w:sz w:val="24"/>
          <w:szCs w:val="22"/>
        </w:rPr>
      </w:pPr>
      <w:r>
        <w:rPr>
          <w:rFonts w:hint="eastAsia"/>
          <w:sz w:val="24"/>
          <w:szCs w:val="22"/>
        </w:rPr>
        <w:t>其中1台水轮机型号：CJ22-W-70/1×7，额定水头：380m。额定流量：0.227m</w:t>
      </w:r>
      <w:r>
        <w:rPr>
          <w:sz w:val="24"/>
          <w:szCs w:val="22"/>
          <w:vertAlign w:val="superscript"/>
        </w:rPr>
        <w:t>3</w:t>
      </w:r>
      <w:r>
        <w:rPr>
          <w:rFonts w:hint="eastAsia"/>
          <w:sz w:val="24"/>
          <w:szCs w:val="22"/>
        </w:rPr>
        <w:t>/s，额定转速：1000r/min；发电机型号：SFW630-6/990-W，额定电压：400V，额定转速：1000r/min。其中1台水轮机型号：XJA-W-55/1×14.5，额定水头：55m。额定流量：0.770m</w:t>
      </w:r>
      <w:r>
        <w:rPr>
          <w:sz w:val="24"/>
          <w:szCs w:val="22"/>
          <w:vertAlign w:val="superscript"/>
        </w:rPr>
        <w:t>3</w:t>
      </w:r>
      <w:r>
        <w:rPr>
          <w:rFonts w:hint="eastAsia"/>
          <w:sz w:val="24"/>
          <w:szCs w:val="22"/>
        </w:rPr>
        <w:t>/s，额定转速：600r/min；发电机型号：SFW200-10/740-W，额定电压：400V，额定转速：600r/min。规划年利用小时为2860h。上网电价为0.498元/kWa。</w:t>
      </w:r>
    </w:p>
    <w:p>
      <w:pPr>
        <w:adjustRightInd w:val="0"/>
        <w:snapToGrid w:val="0"/>
        <w:spacing w:line="480" w:lineRule="exact"/>
        <w:ind w:firstLine="480" w:firstLineChars="200"/>
        <w:rPr>
          <w:sz w:val="24"/>
          <w:szCs w:val="22"/>
        </w:rPr>
      </w:pPr>
      <w:r>
        <w:rPr>
          <w:rFonts w:hint="eastAsia"/>
          <w:sz w:val="24"/>
          <w:szCs w:val="22"/>
        </w:rPr>
        <w:t>大沥唇水电站位于上下库连接公路旁，有一台630kW和1台200kW发电机组，其中630kW机组从位于上库区的下坪田水库取水，通过地上钢管(直径0.4m直径)输水1.51km至场区发电，200kW机组从南房水库取水，通过地上钢管(直径0.8m直径)输水0.43km至场区发电，陆河抽水蓄能电站建成后，上库区建设将会淹没上坪田水库和下坪田水库，破坏大沥唇电站发电的主要水源，而公路区的建设将破坏输水设施，考虑对大沥唇水电站因发电水源被淹没而损失装机产生的资产损失进行补偿处理。</w:t>
      </w:r>
    </w:p>
    <w:p>
      <w:pPr>
        <w:adjustRightInd w:val="0"/>
        <w:snapToGrid w:val="0"/>
        <w:spacing w:line="480" w:lineRule="exact"/>
        <w:ind w:firstLine="480" w:firstLineChars="200"/>
        <w:rPr>
          <w:sz w:val="24"/>
          <w:szCs w:val="22"/>
        </w:rPr>
      </w:pPr>
      <w:r>
        <w:rPr>
          <w:rFonts w:hint="eastAsia"/>
          <w:sz w:val="24"/>
          <w:szCs w:val="22"/>
        </w:rPr>
        <w:t>2) 三江口水电站</w:t>
      </w:r>
    </w:p>
    <w:p>
      <w:pPr>
        <w:adjustRightInd w:val="0"/>
        <w:snapToGrid w:val="0"/>
        <w:spacing w:line="480" w:lineRule="exact"/>
        <w:ind w:firstLine="480" w:firstLineChars="200"/>
        <w:rPr>
          <w:sz w:val="24"/>
          <w:szCs w:val="22"/>
        </w:rPr>
      </w:pPr>
      <w:r>
        <w:rPr>
          <w:rFonts w:hint="eastAsia"/>
          <w:sz w:val="24"/>
          <w:szCs w:val="22"/>
        </w:rPr>
        <w:t>三江口水电站位于广东省汕尾市陆河县西北部地区新田镇激石溪林场，电站距离县城约30公里，三江口水电站始建于1998年，1998年、1999年、2000年陆续建成投产发电，电站为引水式电站，上游有小(2)型水库三把坑水库1座，大坝为常态混凝土实体重力坝，正常蓄水位575.51m，坝顶高程576.85m。电站原装机容量为960kW，2004年进行了增效扩容改造，改造后装机容量为2850kW，2008年又进行了增效扩容改造，改造后装机容量为3150kW，2016年再次进行了技改，更换了不同型号的水轮发电机，装机容量仍为3150kW，最高水头380m，设计水头370m，设计发电流量1.5m</w:t>
      </w:r>
      <w:r>
        <w:rPr>
          <w:sz w:val="24"/>
          <w:szCs w:val="22"/>
          <w:vertAlign w:val="superscript"/>
        </w:rPr>
        <w:t>3</w:t>
      </w:r>
      <w:r>
        <w:rPr>
          <w:rFonts w:hint="eastAsia"/>
          <w:sz w:val="24"/>
          <w:szCs w:val="22"/>
        </w:rPr>
        <w:t>/s，多年平均年发电量为924.32万kW·h。</w:t>
      </w:r>
    </w:p>
    <w:p>
      <w:pPr>
        <w:adjustRightInd w:val="0"/>
        <w:snapToGrid w:val="0"/>
        <w:spacing w:line="480" w:lineRule="exact"/>
        <w:ind w:firstLine="480" w:firstLineChars="200"/>
        <w:rPr>
          <w:sz w:val="24"/>
          <w:szCs w:val="22"/>
        </w:rPr>
      </w:pPr>
      <w:r>
        <w:rPr>
          <w:rFonts w:hint="eastAsia"/>
          <w:sz w:val="24"/>
          <w:szCs w:val="22"/>
        </w:rPr>
        <w:t>其中4台水轮机型号: CJA237-W-70/1×7，额定水头：370m。额定流量：0.319m</w:t>
      </w:r>
      <w:r>
        <w:rPr>
          <w:sz w:val="24"/>
          <w:szCs w:val="22"/>
          <w:vertAlign w:val="superscript"/>
        </w:rPr>
        <w:t>3</w:t>
      </w:r>
      <w:r>
        <w:rPr>
          <w:rFonts w:hint="eastAsia"/>
          <w:sz w:val="24"/>
          <w:szCs w:val="22"/>
        </w:rPr>
        <w:t>/s，额定转速：1000r/min；发电机型号：SFW630-6/990-W，额定电压：400V，额定转速：1000r/min。其中1台水轮机型号：CJ22-W-70/1×6.5，额定水头：370m。额定流量：0.319m</w:t>
      </w:r>
      <w:r>
        <w:rPr>
          <w:sz w:val="24"/>
          <w:szCs w:val="22"/>
          <w:vertAlign w:val="superscript"/>
        </w:rPr>
        <w:t>3</w:t>
      </w:r>
      <w:r>
        <w:rPr>
          <w:rFonts w:hint="eastAsia"/>
          <w:sz w:val="24"/>
          <w:szCs w:val="22"/>
        </w:rPr>
        <w:t>/s，额定转速:1000r/min；发电机型号：SFW630-6/990-W，额定电压：400V，额定转速：1000r/min。规划年利用小时为2566h。上网电价为0.498元/kWa。</w:t>
      </w:r>
    </w:p>
    <w:p>
      <w:pPr>
        <w:adjustRightInd w:val="0"/>
        <w:snapToGrid w:val="0"/>
        <w:spacing w:line="480" w:lineRule="exact"/>
        <w:ind w:firstLine="480" w:firstLineChars="200"/>
        <w:rPr>
          <w:sz w:val="24"/>
          <w:szCs w:val="22"/>
        </w:rPr>
      </w:pPr>
      <w:r>
        <w:rPr>
          <w:rFonts w:hint="eastAsia"/>
          <w:sz w:val="24"/>
          <w:szCs w:val="22"/>
        </w:rPr>
        <w:t>三江口水电站位于下库区中央，从上游三把坑水库取水，通过地下隧道(1.8m×1.2m)输水(长度1.87km)至坪田前池，再通过地上钢管(直径0.8m)输水(长度1.50km)至该水电站场区发电，陆河抽水蓄能电站建成后，下库区将会淹没三江口水电站的场区，下库区和进场路的建设将会破坏输水设施，且无条件对该电站进行复建，考虑对三江口水电站进行整体补偿。</w:t>
      </w:r>
    </w:p>
    <w:p>
      <w:pPr>
        <w:adjustRightInd w:val="0"/>
        <w:snapToGrid w:val="0"/>
        <w:spacing w:line="480" w:lineRule="exact"/>
        <w:ind w:firstLine="480" w:firstLineChars="200"/>
        <w:rPr>
          <w:sz w:val="24"/>
          <w:szCs w:val="22"/>
        </w:rPr>
      </w:pPr>
      <w:r>
        <w:rPr>
          <w:rFonts w:hint="eastAsia"/>
          <w:sz w:val="24"/>
          <w:szCs w:val="22"/>
        </w:rPr>
        <w:t>3) 三坑水电站</w:t>
      </w:r>
    </w:p>
    <w:p>
      <w:pPr>
        <w:adjustRightInd w:val="0"/>
        <w:snapToGrid w:val="0"/>
        <w:spacing w:line="480" w:lineRule="exact"/>
        <w:ind w:firstLine="480" w:firstLineChars="200"/>
        <w:rPr>
          <w:sz w:val="24"/>
          <w:szCs w:val="22"/>
        </w:rPr>
      </w:pPr>
      <w:r>
        <w:rPr>
          <w:rFonts w:hint="eastAsia"/>
          <w:sz w:val="24"/>
          <w:szCs w:val="22"/>
        </w:rPr>
        <w:t>三坑水电站位于广东省汕尾市陆河县西北部地区新田镇激石溪林场，电站距离县城约30公里，三坑水电站始建于2000年，2001年建成投产发电，电站为引水式电站，以大沥唇水电站发电尾水来引水发电，电站原装机容量为960kW，2008年再次进行了技改，将三坑水电站和龙江电站合并，装机容量变为1580kW，最高水头232m，设计水头220m，设计发电流量0.996m</w:t>
      </w:r>
      <w:r>
        <w:rPr>
          <w:sz w:val="24"/>
          <w:szCs w:val="22"/>
          <w:vertAlign w:val="superscript"/>
        </w:rPr>
        <w:t>3</w:t>
      </w:r>
      <w:r>
        <w:rPr>
          <w:rFonts w:hint="eastAsia"/>
          <w:sz w:val="24"/>
          <w:szCs w:val="22"/>
        </w:rPr>
        <w:t>/s，多年平均年发电量为372.82万kW·h。</w:t>
      </w:r>
    </w:p>
    <w:p>
      <w:pPr>
        <w:adjustRightInd w:val="0"/>
        <w:snapToGrid w:val="0"/>
        <w:spacing w:line="480" w:lineRule="exact"/>
        <w:ind w:firstLine="480" w:firstLineChars="200"/>
        <w:rPr>
          <w:sz w:val="24"/>
          <w:szCs w:val="22"/>
        </w:rPr>
      </w:pPr>
      <w:r>
        <w:rPr>
          <w:rFonts w:hint="eastAsia"/>
          <w:sz w:val="24"/>
          <w:szCs w:val="22"/>
        </w:rPr>
        <w:t>其中2台水轮机型号：CJ22-W-70/1×9，额定水头：220m。额定流量：0.382m</w:t>
      </w:r>
      <w:r>
        <w:rPr>
          <w:sz w:val="24"/>
          <w:szCs w:val="22"/>
          <w:vertAlign w:val="superscript"/>
        </w:rPr>
        <w:t>3</w:t>
      </w:r>
      <w:r>
        <w:rPr>
          <w:rFonts w:hint="eastAsia"/>
          <w:sz w:val="24"/>
          <w:szCs w:val="22"/>
        </w:rPr>
        <w:t>/s，额定转速：750r/min；发电机型号：SFW630-8/990-W，额定电压：400V，额定转速：750r/min。其中1台水轮机型号：CJ22-W-55/1×6.5，额定水头：200m。额定流量：0.232m</w:t>
      </w:r>
      <w:r>
        <w:rPr>
          <w:sz w:val="24"/>
          <w:szCs w:val="22"/>
          <w:vertAlign w:val="superscript"/>
        </w:rPr>
        <w:t>3</w:t>
      </w:r>
      <w:r>
        <w:rPr>
          <w:rFonts w:hint="eastAsia"/>
          <w:sz w:val="24"/>
          <w:szCs w:val="22"/>
        </w:rPr>
        <w:t>/s，额定转速：1000r/min；发电机型号：SFW320-6/740-W，额定电压：400V，额定转速：1000r/min。规划年利用小时为2831h。上网电价为0.498元/kWa。</w:t>
      </w:r>
    </w:p>
    <w:p>
      <w:pPr>
        <w:adjustRightInd w:val="0"/>
        <w:snapToGrid w:val="0"/>
        <w:spacing w:line="480" w:lineRule="exact"/>
        <w:ind w:firstLine="480" w:firstLineChars="200"/>
        <w:rPr>
          <w:sz w:val="24"/>
          <w:szCs w:val="22"/>
        </w:rPr>
      </w:pPr>
      <w:r>
        <w:rPr>
          <w:rFonts w:hint="eastAsia"/>
          <w:sz w:val="24"/>
          <w:szCs w:val="22"/>
        </w:rPr>
        <w:t>三坑水电站位于下库区中央，从大沥唇水电站尾水取水，通过地下隧道(1.8m×1.2m)输水(长度1.41km)至三坑电站发电前池，再通过地上钢管(直径0.8m)输水(长度0.95km)至该水电站场区发电，陆河抽水蓄能电站建成后，下库区将会淹没三坑水电站的场区，下库区和进场路的建设将会破坏输水设施，且无条件对该电站进行复建，考虑对三坑水电站进行整体补偿。</w:t>
      </w:r>
    </w:p>
    <w:p>
      <w:pPr>
        <w:adjustRightInd w:val="0"/>
        <w:snapToGrid w:val="0"/>
        <w:spacing w:line="480" w:lineRule="exact"/>
        <w:ind w:firstLine="480" w:firstLineChars="200"/>
        <w:rPr>
          <w:sz w:val="24"/>
          <w:szCs w:val="22"/>
        </w:rPr>
      </w:pPr>
      <w:r>
        <w:rPr>
          <w:rFonts w:hint="eastAsia"/>
          <w:sz w:val="24"/>
          <w:szCs w:val="22"/>
        </w:rPr>
        <w:t>4) 坪田水电站</w:t>
      </w:r>
    </w:p>
    <w:p>
      <w:pPr>
        <w:adjustRightInd w:val="0"/>
        <w:snapToGrid w:val="0"/>
        <w:spacing w:line="480" w:lineRule="exact"/>
        <w:ind w:firstLine="480" w:firstLineChars="200"/>
        <w:rPr>
          <w:sz w:val="24"/>
          <w:szCs w:val="22"/>
        </w:rPr>
      </w:pPr>
      <w:r>
        <w:rPr>
          <w:rFonts w:hint="eastAsia"/>
          <w:sz w:val="24"/>
          <w:szCs w:val="22"/>
        </w:rPr>
        <w:t>坪田水电站位于广东省汕尾市陆河县西北部地区新田镇激石溪林场，电站距离县城约36公里，三江口水电站始建于2010年，2011年建成投产发电，电站为引水式电站，上游有小(2)型水库上坪田水库1座，大坝为泥结石面板均质土坝，电站装机容量为630kW，最高水头230m，设计水头215m，设计发电流量0.397m</w:t>
      </w:r>
      <w:r>
        <w:rPr>
          <w:sz w:val="24"/>
          <w:szCs w:val="22"/>
          <w:vertAlign w:val="superscript"/>
        </w:rPr>
        <w:t>3</w:t>
      </w:r>
      <w:r>
        <w:rPr>
          <w:rFonts w:hint="eastAsia"/>
          <w:sz w:val="24"/>
          <w:szCs w:val="22"/>
        </w:rPr>
        <w:t>/s，多年平均年发电量为84.36万kW·h。</w:t>
      </w:r>
    </w:p>
    <w:p>
      <w:pPr>
        <w:adjustRightInd w:val="0"/>
        <w:snapToGrid w:val="0"/>
        <w:spacing w:line="480" w:lineRule="exact"/>
        <w:ind w:firstLine="480" w:firstLineChars="200"/>
        <w:rPr>
          <w:sz w:val="24"/>
          <w:szCs w:val="22"/>
        </w:rPr>
      </w:pPr>
      <w:r>
        <w:rPr>
          <w:rFonts w:hint="eastAsia"/>
          <w:sz w:val="24"/>
          <w:szCs w:val="22"/>
        </w:rPr>
        <w:t>其中1台水轮机型号：XJE-W-55B/1×9，额定水头：215m。额定流量：0.397m</w:t>
      </w:r>
      <w:r>
        <w:rPr>
          <w:sz w:val="24"/>
          <w:szCs w:val="22"/>
          <w:vertAlign w:val="superscript"/>
        </w:rPr>
        <w:t>3</w:t>
      </w:r>
      <w:r>
        <w:rPr>
          <w:rFonts w:hint="eastAsia"/>
          <w:sz w:val="24"/>
          <w:szCs w:val="22"/>
        </w:rPr>
        <w:t>/s，额定转速：1000r/min；发电机型号：SFW630-6/990-W，额定电压：400V，额定转速：1000r/min。规划年利用小时为2723h。上网电价为0.498元/kWa。</w:t>
      </w:r>
    </w:p>
    <w:p>
      <w:pPr>
        <w:adjustRightInd w:val="0"/>
        <w:snapToGrid w:val="0"/>
        <w:spacing w:line="480" w:lineRule="exact"/>
        <w:ind w:firstLine="480" w:firstLineChars="200"/>
        <w:rPr>
          <w:sz w:val="24"/>
          <w:szCs w:val="22"/>
        </w:rPr>
      </w:pPr>
      <w:r>
        <w:rPr>
          <w:rFonts w:hint="eastAsia"/>
          <w:sz w:val="24"/>
          <w:szCs w:val="22"/>
        </w:rPr>
        <w:t>坪田水电站位于上下库连接公路旁，共一台630kW发电机组，水电站从上库区的上下坪田水库取水，通过地上钢管(0.4m直径)输水1.10km至场区发电，陆河抽水蓄能电站建成后，上库区建设将会淹没上坪田水库和下坪田水库，破坏坪田电站发电的水源，而公路区的建设将破坏输水设施，且无条件对该电站的发电水源进行复建，考虑对坪田水电站进行整体补偿。</w:t>
      </w:r>
    </w:p>
    <w:p>
      <w:pPr>
        <w:adjustRightInd w:val="0"/>
        <w:snapToGrid w:val="0"/>
        <w:spacing w:line="480" w:lineRule="exact"/>
        <w:ind w:firstLine="480" w:firstLineChars="200"/>
        <w:rPr>
          <w:sz w:val="24"/>
          <w:szCs w:val="22"/>
        </w:rPr>
      </w:pPr>
      <w:r>
        <w:rPr>
          <w:rFonts w:hint="eastAsia"/>
          <w:sz w:val="24"/>
          <w:szCs w:val="22"/>
        </w:rPr>
        <w:t>5) 激石溪老区水电站</w:t>
      </w:r>
    </w:p>
    <w:p>
      <w:pPr>
        <w:adjustRightInd w:val="0"/>
        <w:snapToGrid w:val="0"/>
        <w:spacing w:line="480" w:lineRule="exact"/>
        <w:ind w:firstLine="480" w:firstLineChars="200"/>
        <w:rPr>
          <w:sz w:val="24"/>
          <w:szCs w:val="22"/>
        </w:rPr>
      </w:pPr>
      <w:r>
        <w:rPr>
          <w:rFonts w:hint="eastAsia"/>
          <w:sz w:val="24"/>
          <w:szCs w:val="22"/>
        </w:rPr>
        <w:t>激石溪老区水电站位于广东省汕尾市陆河县西北部地区新田镇坝仔村，激石溪老区水电站始建于2001年，2003年建成投产发电，电站为引水式电站，电站主要采用三江口水电站发电尾水来进行引水发电，电站原装机容量为800kW，2015年进行了增效扩容改造，改造后装机容量为1200kW，设计水头34m，设计发电流量3.07m</w:t>
      </w:r>
      <w:r>
        <w:rPr>
          <w:sz w:val="24"/>
          <w:szCs w:val="22"/>
          <w:vertAlign w:val="superscript"/>
        </w:rPr>
        <w:t>3</w:t>
      </w:r>
      <w:r>
        <w:rPr>
          <w:rFonts w:hint="eastAsia"/>
          <w:sz w:val="24"/>
          <w:szCs w:val="22"/>
        </w:rPr>
        <w:t>/s，多年平均年发电量为382.17万kW·h。</w:t>
      </w:r>
    </w:p>
    <w:p>
      <w:pPr>
        <w:adjustRightInd w:val="0"/>
        <w:snapToGrid w:val="0"/>
        <w:spacing w:line="480" w:lineRule="exact"/>
        <w:ind w:firstLine="480" w:firstLineChars="200"/>
        <w:rPr>
          <w:sz w:val="24"/>
          <w:szCs w:val="22"/>
        </w:rPr>
      </w:pPr>
      <w:r>
        <w:rPr>
          <w:rFonts w:hint="eastAsia"/>
          <w:sz w:val="24"/>
          <w:szCs w:val="22"/>
        </w:rPr>
        <w:t>其中2台水轮机型号：HLD74-WJ-50，额定水头：34m，额定转速：1000r/min；发电机型号：SFW500-6/850，额定电压：400V，额定转速：1000r/min。其中1台水轮机型号：HL220-WJ-35，额定水头：34m，额定转速：1000r/min；发电机型号：SFW200-6/650-W，额定电压：400V，额定转速：1000r/min。规划年利用小时为2792h。上网电价为0.498元/kWa。</w:t>
      </w:r>
    </w:p>
    <w:p>
      <w:pPr>
        <w:spacing w:line="460" w:lineRule="exact"/>
        <w:ind w:firstLine="480" w:firstLineChars="200"/>
        <w:rPr>
          <w:spacing w:val="2"/>
          <w:sz w:val="24"/>
          <w:szCs w:val="24"/>
        </w:rPr>
      </w:pPr>
      <w:r>
        <w:rPr>
          <w:rFonts w:hint="eastAsia"/>
          <w:sz w:val="24"/>
          <w:szCs w:val="22"/>
        </w:rPr>
        <w:t>激石溪老区水电站位于下库坝后管理用地南边，场区在工程占地范围外，共2台500kW和1台200kW发电机组，电站主要从三江口水电站发电尾水取水，通过地上明渠和地下隧道输水0.96km至发电压力前池，再通过60m长的压力钢管输送至场区发电，次要水源的拦沙坝位于上湾处，位于征地红线外，不受影响，通过0.55km地上明确和1.45km地下隧洞输水2km至发电压力前池，再通过60m长的压力钢管输送至场区发电，陆河抽水蓄能电站建成后，下库区建设将会淹没三江口水电站厂房，因此激石溪老区水电站的主要发电水源将被淹没，因此对激石溪老区水电站的发电水量有一定的影响，考虑对老区水电站因水量减少损失装机产生的资产损失进行补偿处理</w:t>
      </w:r>
      <w:r>
        <w:rPr>
          <w:rFonts w:hint="eastAsia"/>
          <w:spacing w:val="2"/>
          <w:sz w:val="24"/>
          <w:szCs w:val="24"/>
        </w:rPr>
        <w:t>。</w:t>
      </w:r>
    </w:p>
    <w:p>
      <w:pPr>
        <w:pStyle w:val="4"/>
      </w:pPr>
      <w:bookmarkStart w:id="162" w:name="_Toc85632458"/>
      <w:bookmarkStart w:id="163" w:name="_Toc85660226"/>
      <w:bookmarkStart w:id="164" w:name="_Toc85487699"/>
      <w:r>
        <w:t xml:space="preserve">5.1.6  </w:t>
      </w:r>
      <w:r>
        <w:rPr>
          <w:rFonts w:hint="eastAsia"/>
        </w:rPr>
        <w:t>临时用地复垦</w:t>
      </w:r>
      <w:bookmarkEnd w:id="162"/>
      <w:bookmarkEnd w:id="163"/>
      <w:bookmarkEnd w:id="164"/>
    </w:p>
    <w:p>
      <w:pPr>
        <w:spacing w:line="460" w:lineRule="exact"/>
        <w:ind w:firstLine="480" w:firstLineChars="200"/>
        <w:rPr>
          <w:rFonts w:cs="Times New Roman"/>
          <w:snapToGrid w:val="0"/>
          <w:kern w:val="0"/>
          <w:sz w:val="24"/>
          <w:szCs w:val="24"/>
        </w:rPr>
      </w:pPr>
      <w:bookmarkStart w:id="165" w:name="_Toc85660227"/>
      <w:bookmarkStart w:id="166" w:name="_Toc85487700"/>
      <w:bookmarkStart w:id="167" w:name="_Toc85632459"/>
      <w:r>
        <w:rPr>
          <w:rFonts w:hint="eastAsia" w:cs="Times New Roman"/>
          <w:snapToGrid w:val="0"/>
          <w:kern w:val="0"/>
          <w:sz w:val="24"/>
          <w:szCs w:val="24"/>
        </w:rPr>
        <w:t>陆河</w:t>
      </w:r>
      <w:r>
        <w:rPr>
          <w:rFonts w:cs="Times New Roman"/>
          <w:snapToGrid w:val="0"/>
          <w:kern w:val="0"/>
          <w:sz w:val="24"/>
          <w:szCs w:val="24"/>
        </w:rPr>
        <w:t>抽水蓄能电站枢纽工程临时用地主要包括水库</w:t>
      </w:r>
      <w:r>
        <w:rPr>
          <w:rFonts w:hint="eastAsia" w:cs="Times New Roman"/>
          <w:snapToGrid w:val="0"/>
          <w:kern w:val="0"/>
          <w:sz w:val="24"/>
          <w:szCs w:val="24"/>
        </w:rPr>
        <w:t>施工营地</w:t>
      </w:r>
      <w:r>
        <w:rPr>
          <w:rFonts w:cs="Times New Roman"/>
          <w:snapToGrid w:val="0"/>
          <w:kern w:val="0"/>
          <w:sz w:val="24"/>
          <w:szCs w:val="24"/>
        </w:rPr>
        <w:t>、上下水库渣场堆存场、施工公路、排水管线</w:t>
      </w:r>
      <w:r>
        <w:rPr>
          <w:rFonts w:hint="eastAsia" w:cs="Times New Roman"/>
          <w:snapToGrid w:val="0"/>
          <w:kern w:val="0"/>
          <w:sz w:val="24"/>
          <w:szCs w:val="24"/>
        </w:rPr>
        <w:t>、石料场</w:t>
      </w:r>
      <w:r>
        <w:rPr>
          <w:rFonts w:cs="Times New Roman"/>
          <w:snapToGrid w:val="0"/>
          <w:kern w:val="0"/>
          <w:sz w:val="24"/>
          <w:szCs w:val="24"/>
        </w:rPr>
        <w:t>等，临时占用土地面积961.83亩，其中耕地面积15.55亩，园地3.68亩，林地932.36亩，草地面积0.02亩，</w:t>
      </w:r>
      <w:r>
        <w:rPr>
          <w:rFonts w:hint="eastAsia" w:cs="Times New Roman"/>
          <w:snapToGrid w:val="0"/>
          <w:kern w:val="0"/>
          <w:sz w:val="24"/>
          <w:szCs w:val="24"/>
        </w:rPr>
        <w:t>交通运输用地1</w:t>
      </w:r>
      <w:r>
        <w:rPr>
          <w:rFonts w:cs="Times New Roman"/>
          <w:snapToGrid w:val="0"/>
          <w:kern w:val="0"/>
          <w:sz w:val="24"/>
          <w:szCs w:val="24"/>
        </w:rPr>
        <w:t>0.22</w:t>
      </w:r>
      <w:r>
        <w:rPr>
          <w:rFonts w:hint="eastAsia" w:cs="Times New Roman"/>
          <w:snapToGrid w:val="0"/>
          <w:kern w:val="0"/>
          <w:sz w:val="24"/>
          <w:szCs w:val="24"/>
        </w:rPr>
        <w:t>亩</w:t>
      </w:r>
      <w:r>
        <w:rPr>
          <w:rFonts w:cs="Times New Roman"/>
          <w:snapToGrid w:val="0"/>
          <w:kern w:val="0"/>
          <w:sz w:val="24"/>
          <w:szCs w:val="24"/>
        </w:rPr>
        <w:t>。</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工程征用耕地、园地及林地共计961.81亩。涉及</w:t>
      </w:r>
      <w:r>
        <w:rPr>
          <w:rFonts w:hint="eastAsia" w:cs="Times New Roman"/>
          <w:snapToGrid w:val="0"/>
          <w:kern w:val="0"/>
          <w:sz w:val="24"/>
          <w:szCs w:val="24"/>
        </w:rPr>
        <w:t>激石溪村以及吉溪林场。</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本报告对工程临时征用的耕地、园地及林地等农用地进行复垦规划设计，在用地期满后按照《土地复垦质量控制标准》(TD/T 1036-2013)、《土地</w:t>
      </w:r>
      <w:r>
        <w:rPr>
          <w:rFonts w:hint="eastAsia" w:cs="Times New Roman"/>
          <w:snapToGrid w:val="0"/>
          <w:kern w:val="0"/>
          <w:sz w:val="24"/>
          <w:szCs w:val="24"/>
        </w:rPr>
        <w:t>整治</w:t>
      </w:r>
      <w:r>
        <w:rPr>
          <w:rFonts w:cs="Times New Roman"/>
          <w:snapToGrid w:val="0"/>
          <w:kern w:val="0"/>
          <w:sz w:val="24"/>
          <w:szCs w:val="24"/>
        </w:rPr>
        <w:t>项目规划设计规范》(TD/T 1012-2016)和相应的行业标准的技术要求进行复垦。其它地类结合水土保持措施统一考虑。</w:t>
      </w:r>
    </w:p>
    <w:p>
      <w:pPr>
        <w:spacing w:line="460" w:lineRule="exact"/>
        <w:ind w:firstLine="480" w:firstLineChars="200"/>
        <w:rPr>
          <w:rFonts w:cs="Times New Roman"/>
          <w:snapToGrid w:val="0"/>
          <w:kern w:val="0"/>
          <w:sz w:val="24"/>
          <w:szCs w:val="24"/>
          <w:lang w:val="zh-CN"/>
        </w:rPr>
      </w:pPr>
      <w:bookmarkStart w:id="168" w:name="_Toc90934868"/>
      <w:r>
        <w:rPr>
          <w:rFonts w:cs="Times New Roman"/>
          <w:snapToGrid w:val="0"/>
          <w:kern w:val="0"/>
          <w:sz w:val="24"/>
          <w:szCs w:val="24"/>
          <w:lang w:val="zh-CN"/>
        </w:rPr>
        <w:t>本工程临时用地复垦对象为临时用地范围内所有农用地。</w:t>
      </w:r>
      <w:bookmarkEnd w:id="168"/>
    </w:p>
    <w:p>
      <w:pPr>
        <w:spacing w:line="460" w:lineRule="exact"/>
        <w:ind w:firstLine="480" w:firstLineChars="200"/>
        <w:rPr>
          <w:rFonts w:cs="Times New Roman"/>
          <w:snapToGrid w:val="0"/>
          <w:kern w:val="0"/>
          <w:sz w:val="24"/>
          <w:szCs w:val="24"/>
          <w:lang w:val="zh-CN"/>
        </w:rPr>
      </w:pPr>
      <w:bookmarkStart w:id="169" w:name="_Toc90934869"/>
      <w:r>
        <w:rPr>
          <w:rFonts w:cs="Times New Roman"/>
          <w:snapToGrid w:val="0"/>
          <w:kern w:val="0"/>
          <w:sz w:val="24"/>
          <w:szCs w:val="24"/>
          <w:lang w:val="zh-CN"/>
        </w:rPr>
        <w:t>临时用地分建设项目土地征用情况见表5.1.</w:t>
      </w:r>
      <w:r>
        <w:rPr>
          <w:rFonts w:hint="eastAsia" w:cs="Times New Roman"/>
          <w:snapToGrid w:val="0"/>
          <w:kern w:val="0"/>
          <w:sz w:val="24"/>
          <w:szCs w:val="24"/>
          <w:lang w:val="zh-CN"/>
        </w:rPr>
        <w:t>6</w:t>
      </w:r>
      <w:r>
        <w:rPr>
          <w:rFonts w:cs="Times New Roman"/>
          <w:snapToGrid w:val="0"/>
          <w:kern w:val="0"/>
          <w:sz w:val="24"/>
          <w:szCs w:val="24"/>
          <w:lang w:val="zh-CN"/>
        </w:rPr>
        <w:t>-1。</w:t>
      </w:r>
      <w:bookmarkEnd w:id="169"/>
    </w:p>
    <w:p>
      <w:pPr>
        <w:spacing w:before="120" w:beforeLines="50" w:line="460" w:lineRule="exact"/>
        <w:jc w:val="right"/>
        <w:rPr>
          <w:rFonts w:eastAsia="黑体" w:cs="Times New Roman"/>
          <w:sz w:val="24"/>
          <w:szCs w:val="24"/>
        </w:rPr>
      </w:pPr>
      <w:r>
        <w:rPr>
          <w:rFonts w:eastAsia="黑体" w:cs="Times New Roman"/>
          <w:sz w:val="24"/>
          <w:szCs w:val="24"/>
        </w:rPr>
        <w:br w:type="page"/>
      </w:r>
      <w:r>
        <w:rPr>
          <w:rFonts w:hint="eastAsia" w:eastAsia="黑体" w:cs="Times New Roman"/>
          <w:sz w:val="24"/>
          <w:szCs w:val="24"/>
        </w:rPr>
        <w:t xml:space="preserve"> </w:t>
      </w:r>
      <w:r>
        <w:rPr>
          <w:rFonts w:eastAsia="黑体" w:cs="Times New Roman"/>
          <w:sz w:val="24"/>
          <w:szCs w:val="24"/>
        </w:rPr>
        <w:t xml:space="preserve">  </w:t>
      </w:r>
      <w:r>
        <w:rPr>
          <w:rFonts w:hint="eastAsia" w:eastAsia="黑体" w:cs="Times New Roman"/>
          <w:sz w:val="24"/>
          <w:szCs w:val="24"/>
        </w:rPr>
        <w:t>表</w:t>
      </w:r>
      <w:r>
        <w:rPr>
          <w:rFonts w:eastAsia="黑体" w:cs="Times New Roman"/>
          <w:sz w:val="24"/>
          <w:szCs w:val="24"/>
        </w:rPr>
        <w:t xml:space="preserve">5.1.6-1  </w:t>
      </w:r>
      <w:r>
        <w:rPr>
          <w:rFonts w:hint="eastAsia" w:eastAsia="黑体" w:cs="Times New Roman"/>
          <w:sz w:val="24"/>
          <w:szCs w:val="24"/>
        </w:rPr>
        <w:t>陆河抽水蓄能电站临时占用土地明细表</w:t>
      </w:r>
      <w:r>
        <w:rPr>
          <w:rFonts w:eastAsia="黑体" w:cs="Times New Roman"/>
          <w:sz w:val="24"/>
          <w:szCs w:val="24"/>
        </w:rPr>
        <w:t>(</w:t>
      </w:r>
      <w:r>
        <w:rPr>
          <w:rFonts w:hint="eastAsia" w:eastAsia="黑体" w:cs="Times New Roman"/>
          <w:sz w:val="24"/>
          <w:szCs w:val="24"/>
        </w:rPr>
        <w:t>按建设征地项目</w:t>
      </w:r>
      <w:r>
        <w:rPr>
          <w:rFonts w:eastAsia="黑体" w:cs="Times New Roman"/>
          <w:sz w:val="24"/>
          <w:szCs w:val="24"/>
        </w:rPr>
        <w:t xml:space="preserve">)   </w:t>
      </w:r>
      <w:r>
        <w:rPr>
          <w:rFonts w:hAnsi="宋体" w:cs="Times New Roman"/>
        </w:rPr>
        <w:t>单位：亩</w:t>
      </w:r>
    </w:p>
    <w:tbl>
      <w:tblPr>
        <w:tblStyle w:val="79"/>
        <w:tblW w:w="88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48"/>
        <w:gridCol w:w="2678"/>
        <w:gridCol w:w="619"/>
        <w:gridCol w:w="528"/>
        <w:gridCol w:w="528"/>
        <w:gridCol w:w="482"/>
        <w:gridCol w:w="482"/>
        <w:gridCol w:w="665"/>
        <w:gridCol w:w="848"/>
        <w:gridCol w:w="12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vMerge w:val="restart"/>
            <w:noWrap/>
            <w:vAlign w:val="center"/>
          </w:tcPr>
          <w:p>
            <w:pPr>
              <w:pStyle w:val="1143"/>
              <w:adjustRightInd w:val="0"/>
              <w:snapToGrid w:val="0"/>
              <w:rPr>
                <w:rFonts w:hAnsi="宋体" w:cs="Times New Roman"/>
                <w:sz w:val="18"/>
                <w:szCs w:val="18"/>
              </w:rPr>
            </w:pPr>
            <w:r>
              <w:rPr>
                <w:rFonts w:hAnsi="宋体" w:cs="Times New Roman"/>
                <w:sz w:val="18"/>
                <w:szCs w:val="18"/>
              </w:rPr>
              <w:t>施工区域</w:t>
            </w:r>
          </w:p>
          <w:p>
            <w:pPr>
              <w:pStyle w:val="1143"/>
              <w:adjustRightInd w:val="0"/>
              <w:snapToGrid w:val="0"/>
              <w:rPr>
                <w:rFonts w:cs="Times New Roman"/>
                <w:sz w:val="18"/>
                <w:szCs w:val="18"/>
              </w:rPr>
            </w:pPr>
            <w:r>
              <w:rPr>
                <w:rFonts w:hAnsi="宋体" w:cs="Times New Roman"/>
                <w:sz w:val="18"/>
                <w:szCs w:val="18"/>
              </w:rPr>
              <w:t>编号</w:t>
            </w:r>
          </w:p>
        </w:tc>
        <w:tc>
          <w:tcPr>
            <w:tcW w:w="2678" w:type="dxa"/>
            <w:vMerge w:val="restart"/>
            <w:noWrap/>
            <w:vAlign w:val="center"/>
          </w:tcPr>
          <w:p>
            <w:pPr>
              <w:pStyle w:val="1143"/>
              <w:adjustRightInd w:val="0"/>
              <w:snapToGrid w:val="0"/>
              <w:rPr>
                <w:rFonts w:hAnsi="宋体" w:cs="Times New Roman"/>
                <w:sz w:val="18"/>
                <w:szCs w:val="18"/>
              </w:rPr>
            </w:pPr>
            <w:r>
              <w:rPr>
                <w:rFonts w:hAnsi="宋体" w:cs="Times New Roman"/>
                <w:sz w:val="18"/>
                <w:szCs w:val="18"/>
              </w:rPr>
              <w:t>施工区域</w:t>
            </w:r>
          </w:p>
          <w:p>
            <w:pPr>
              <w:pStyle w:val="1143"/>
              <w:adjustRightInd w:val="0"/>
              <w:snapToGrid w:val="0"/>
              <w:rPr>
                <w:rFonts w:cs="Times New Roman"/>
                <w:sz w:val="18"/>
                <w:szCs w:val="18"/>
              </w:rPr>
            </w:pPr>
            <w:r>
              <w:rPr>
                <w:rFonts w:hAnsi="宋体" w:cs="Times New Roman"/>
                <w:sz w:val="18"/>
                <w:szCs w:val="18"/>
              </w:rPr>
              <w:t>名称</w:t>
            </w:r>
          </w:p>
        </w:tc>
        <w:tc>
          <w:tcPr>
            <w:tcW w:w="619" w:type="dxa"/>
            <w:vMerge w:val="restart"/>
            <w:noWrap/>
            <w:vAlign w:val="center"/>
          </w:tcPr>
          <w:p>
            <w:pPr>
              <w:pStyle w:val="1143"/>
              <w:adjustRightInd w:val="0"/>
              <w:snapToGrid w:val="0"/>
              <w:rPr>
                <w:rFonts w:cs="Times New Roman"/>
                <w:sz w:val="18"/>
                <w:szCs w:val="18"/>
              </w:rPr>
            </w:pPr>
            <w:r>
              <w:rPr>
                <w:rFonts w:hAnsi="宋体" w:cs="Times New Roman"/>
                <w:sz w:val="18"/>
                <w:szCs w:val="18"/>
              </w:rPr>
              <w:t>总计</w:t>
            </w:r>
          </w:p>
        </w:tc>
        <w:tc>
          <w:tcPr>
            <w:tcW w:w="1538" w:type="dxa"/>
            <w:gridSpan w:val="3"/>
            <w:vAlign w:val="center"/>
          </w:tcPr>
          <w:p>
            <w:pPr>
              <w:pStyle w:val="1143"/>
              <w:adjustRightInd w:val="0"/>
              <w:snapToGrid w:val="0"/>
              <w:rPr>
                <w:rFonts w:cs="Times New Roman"/>
                <w:sz w:val="18"/>
                <w:szCs w:val="18"/>
              </w:rPr>
            </w:pPr>
            <w:r>
              <w:rPr>
                <w:rFonts w:hAnsi="宋体" w:cs="Times New Roman"/>
                <w:sz w:val="18"/>
                <w:szCs w:val="18"/>
              </w:rPr>
              <w:t>耕地</w:t>
            </w:r>
          </w:p>
        </w:tc>
        <w:tc>
          <w:tcPr>
            <w:tcW w:w="482" w:type="dxa"/>
            <w:noWrap/>
            <w:vAlign w:val="center"/>
          </w:tcPr>
          <w:p>
            <w:pPr>
              <w:pStyle w:val="1143"/>
              <w:adjustRightInd w:val="0"/>
              <w:snapToGrid w:val="0"/>
              <w:rPr>
                <w:rFonts w:hAnsi="宋体" w:cs="Times New Roman"/>
                <w:sz w:val="18"/>
                <w:szCs w:val="18"/>
              </w:rPr>
            </w:pPr>
            <w:r>
              <w:rPr>
                <w:rFonts w:hAnsi="宋体" w:cs="Times New Roman"/>
                <w:sz w:val="18"/>
                <w:szCs w:val="18"/>
              </w:rPr>
              <w:t>园地</w:t>
            </w:r>
          </w:p>
        </w:tc>
        <w:tc>
          <w:tcPr>
            <w:tcW w:w="665" w:type="dxa"/>
            <w:noWrap/>
            <w:vAlign w:val="center"/>
          </w:tcPr>
          <w:p>
            <w:pPr>
              <w:pStyle w:val="1143"/>
              <w:adjustRightInd w:val="0"/>
              <w:snapToGrid w:val="0"/>
              <w:rPr>
                <w:rFonts w:cs="Times New Roman"/>
                <w:sz w:val="18"/>
                <w:szCs w:val="18"/>
              </w:rPr>
            </w:pPr>
            <w:r>
              <w:rPr>
                <w:rFonts w:hAnsi="宋体" w:cs="Times New Roman"/>
                <w:sz w:val="18"/>
                <w:szCs w:val="18"/>
              </w:rPr>
              <w:t>林地</w:t>
            </w:r>
          </w:p>
        </w:tc>
        <w:tc>
          <w:tcPr>
            <w:tcW w:w="848" w:type="dxa"/>
            <w:noWrap/>
            <w:vAlign w:val="center"/>
          </w:tcPr>
          <w:p>
            <w:pPr>
              <w:pStyle w:val="1143"/>
              <w:adjustRightInd w:val="0"/>
              <w:snapToGrid w:val="0"/>
              <w:rPr>
                <w:rFonts w:cs="Times New Roman"/>
                <w:sz w:val="18"/>
                <w:szCs w:val="18"/>
              </w:rPr>
            </w:pPr>
            <w:r>
              <w:rPr>
                <w:rFonts w:hAnsi="宋体" w:cs="Times New Roman"/>
                <w:sz w:val="18"/>
                <w:szCs w:val="18"/>
              </w:rPr>
              <w:t>草地</w:t>
            </w:r>
          </w:p>
        </w:tc>
        <w:tc>
          <w:tcPr>
            <w:tcW w:w="1213" w:type="dxa"/>
            <w:noWrap/>
            <w:vAlign w:val="center"/>
          </w:tcPr>
          <w:p>
            <w:pPr>
              <w:pStyle w:val="1143"/>
              <w:adjustRightInd w:val="0"/>
              <w:snapToGrid w:val="0"/>
              <w:rPr>
                <w:rFonts w:hAnsi="宋体" w:cs="Times New Roman"/>
                <w:sz w:val="18"/>
                <w:szCs w:val="18"/>
              </w:rPr>
            </w:pPr>
            <w:r>
              <w:rPr>
                <w:rFonts w:hAnsi="宋体" w:cs="Times New Roman"/>
                <w:sz w:val="18"/>
                <w:szCs w:val="18"/>
              </w:rPr>
              <w:t>交通运输用地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vMerge w:val="continue"/>
            <w:vAlign w:val="center"/>
          </w:tcPr>
          <w:p>
            <w:pPr>
              <w:pStyle w:val="1143"/>
              <w:adjustRightInd w:val="0"/>
              <w:snapToGrid w:val="0"/>
              <w:rPr>
                <w:rFonts w:cs="Times New Roman"/>
                <w:sz w:val="18"/>
                <w:szCs w:val="18"/>
              </w:rPr>
            </w:pPr>
          </w:p>
        </w:tc>
        <w:tc>
          <w:tcPr>
            <w:tcW w:w="2678" w:type="dxa"/>
            <w:vMerge w:val="continue"/>
            <w:vAlign w:val="center"/>
          </w:tcPr>
          <w:p>
            <w:pPr>
              <w:pStyle w:val="1143"/>
              <w:adjustRightInd w:val="0"/>
              <w:snapToGrid w:val="0"/>
              <w:rPr>
                <w:rFonts w:cs="Times New Roman"/>
                <w:sz w:val="18"/>
                <w:szCs w:val="18"/>
              </w:rPr>
            </w:pPr>
          </w:p>
        </w:tc>
        <w:tc>
          <w:tcPr>
            <w:tcW w:w="619" w:type="dxa"/>
            <w:vMerge w:val="continue"/>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hint="eastAsia" w:hAnsi="宋体" w:cs="Times New Roman"/>
                <w:sz w:val="18"/>
                <w:szCs w:val="18"/>
              </w:rPr>
            </w:pPr>
            <w:r>
              <w:rPr>
                <w:rFonts w:hint="eastAsia" w:hAnsi="宋体" w:cs="Times New Roman"/>
                <w:sz w:val="18"/>
                <w:szCs w:val="18"/>
              </w:rPr>
              <w:t>小计</w:t>
            </w:r>
          </w:p>
        </w:tc>
        <w:tc>
          <w:tcPr>
            <w:tcW w:w="528" w:type="dxa"/>
            <w:vAlign w:val="center"/>
          </w:tcPr>
          <w:p>
            <w:pPr>
              <w:pStyle w:val="1143"/>
              <w:adjustRightInd w:val="0"/>
              <w:snapToGrid w:val="0"/>
              <w:rPr>
                <w:rFonts w:hAnsi="宋体" w:cs="Times New Roman"/>
                <w:sz w:val="18"/>
                <w:szCs w:val="18"/>
              </w:rPr>
            </w:pPr>
            <w:r>
              <w:rPr>
                <w:rFonts w:hint="eastAsia" w:hAnsi="宋体" w:cs="Times New Roman"/>
                <w:sz w:val="18"/>
                <w:szCs w:val="18"/>
              </w:rPr>
              <w:t>水田</w:t>
            </w:r>
          </w:p>
        </w:tc>
        <w:tc>
          <w:tcPr>
            <w:tcW w:w="482" w:type="dxa"/>
            <w:noWrap/>
            <w:vAlign w:val="center"/>
          </w:tcPr>
          <w:p>
            <w:pPr>
              <w:pStyle w:val="1143"/>
              <w:adjustRightInd w:val="0"/>
              <w:snapToGrid w:val="0"/>
              <w:rPr>
                <w:rFonts w:cs="Times New Roman"/>
                <w:sz w:val="18"/>
                <w:szCs w:val="18"/>
              </w:rPr>
            </w:pPr>
            <w:r>
              <w:rPr>
                <w:rFonts w:hAnsi="宋体" w:cs="Times New Roman"/>
                <w:sz w:val="18"/>
                <w:szCs w:val="18"/>
              </w:rPr>
              <w:t>旱地</w:t>
            </w:r>
          </w:p>
        </w:tc>
        <w:tc>
          <w:tcPr>
            <w:tcW w:w="482" w:type="dxa"/>
            <w:noWrap/>
            <w:vAlign w:val="center"/>
          </w:tcPr>
          <w:p>
            <w:pPr>
              <w:pStyle w:val="1143"/>
              <w:adjustRightInd w:val="0"/>
              <w:snapToGrid w:val="0"/>
              <w:rPr>
                <w:rFonts w:cs="Times New Roman"/>
                <w:sz w:val="18"/>
                <w:szCs w:val="18"/>
              </w:rPr>
            </w:pPr>
            <w:r>
              <w:rPr>
                <w:rFonts w:hAnsi="宋体" w:cs="Times New Roman"/>
                <w:sz w:val="18"/>
                <w:szCs w:val="18"/>
              </w:rPr>
              <w:t>果园</w:t>
            </w:r>
          </w:p>
        </w:tc>
        <w:tc>
          <w:tcPr>
            <w:tcW w:w="665" w:type="dxa"/>
            <w:noWrap/>
            <w:vAlign w:val="center"/>
          </w:tcPr>
          <w:p>
            <w:pPr>
              <w:pStyle w:val="1143"/>
              <w:adjustRightInd w:val="0"/>
              <w:snapToGrid w:val="0"/>
              <w:rPr>
                <w:rFonts w:cs="Times New Roman"/>
                <w:sz w:val="18"/>
                <w:szCs w:val="18"/>
              </w:rPr>
            </w:pPr>
            <w:r>
              <w:rPr>
                <w:rFonts w:hint="eastAsia" w:hAnsi="宋体" w:cs="Times New Roman"/>
                <w:sz w:val="18"/>
                <w:szCs w:val="18"/>
              </w:rPr>
              <w:t>有林地</w:t>
            </w:r>
          </w:p>
        </w:tc>
        <w:tc>
          <w:tcPr>
            <w:tcW w:w="848" w:type="dxa"/>
            <w:noWrap/>
            <w:vAlign w:val="center"/>
          </w:tcPr>
          <w:p>
            <w:pPr>
              <w:pStyle w:val="1143"/>
              <w:adjustRightInd w:val="0"/>
              <w:snapToGrid w:val="0"/>
              <w:rPr>
                <w:rFonts w:cs="Times New Roman"/>
                <w:sz w:val="18"/>
                <w:szCs w:val="18"/>
              </w:rPr>
            </w:pPr>
            <w:r>
              <w:rPr>
                <w:rFonts w:hint="eastAsia" w:hAnsi="宋体" w:cs="Times New Roman"/>
                <w:sz w:val="18"/>
                <w:szCs w:val="18"/>
              </w:rPr>
              <w:t>其它草地</w:t>
            </w:r>
          </w:p>
        </w:tc>
        <w:tc>
          <w:tcPr>
            <w:tcW w:w="1213" w:type="dxa"/>
            <w:noWrap/>
            <w:vAlign w:val="center"/>
          </w:tcPr>
          <w:p>
            <w:pPr>
              <w:pStyle w:val="1143"/>
              <w:adjustRightInd w:val="0"/>
              <w:snapToGrid w:val="0"/>
              <w:rPr>
                <w:rFonts w:cs="Times New Roman"/>
                <w:sz w:val="18"/>
                <w:szCs w:val="18"/>
              </w:rPr>
            </w:pPr>
            <w:r>
              <w:rPr>
                <w:rFonts w:hAnsi="宋体" w:cs="Times New Roman"/>
                <w:sz w:val="18"/>
                <w:szCs w:val="18"/>
              </w:rPr>
              <w:t>农村道路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3526" w:type="dxa"/>
            <w:gridSpan w:val="2"/>
            <w:noWrap/>
            <w:vAlign w:val="center"/>
          </w:tcPr>
          <w:p>
            <w:pPr>
              <w:pStyle w:val="1143"/>
              <w:adjustRightInd w:val="0"/>
              <w:snapToGrid w:val="0"/>
              <w:rPr>
                <w:rFonts w:cs="Times New Roman"/>
                <w:sz w:val="18"/>
                <w:szCs w:val="18"/>
              </w:rPr>
            </w:pPr>
            <w:r>
              <w:rPr>
                <w:rFonts w:hAnsi="宋体" w:cs="Times New Roman"/>
                <w:sz w:val="18"/>
                <w:szCs w:val="18"/>
              </w:rPr>
              <w:t>总计</w:t>
            </w:r>
          </w:p>
        </w:tc>
        <w:tc>
          <w:tcPr>
            <w:tcW w:w="619" w:type="dxa"/>
            <w:noWrap/>
            <w:vAlign w:val="center"/>
          </w:tcPr>
          <w:p>
            <w:pPr>
              <w:pStyle w:val="1143"/>
              <w:adjustRightInd w:val="0"/>
              <w:snapToGrid w:val="0"/>
              <w:rPr>
                <w:rFonts w:cs="Times New Roman"/>
                <w:sz w:val="18"/>
                <w:szCs w:val="18"/>
              </w:rPr>
            </w:pPr>
            <w:r>
              <w:rPr>
                <w:rFonts w:cs="Times New Roman"/>
                <w:sz w:val="18"/>
                <w:szCs w:val="18"/>
              </w:rPr>
              <w:t>961.83</w:t>
            </w:r>
          </w:p>
        </w:tc>
        <w:tc>
          <w:tcPr>
            <w:tcW w:w="528" w:type="dxa"/>
            <w:vAlign w:val="center"/>
          </w:tcPr>
          <w:p>
            <w:pPr>
              <w:pStyle w:val="1143"/>
              <w:adjustRightInd w:val="0"/>
              <w:snapToGrid w:val="0"/>
              <w:rPr>
                <w:rFonts w:cs="Times New Roman"/>
                <w:sz w:val="18"/>
                <w:szCs w:val="18"/>
              </w:rPr>
            </w:pPr>
            <w:r>
              <w:rPr>
                <w:rFonts w:hint="eastAsia" w:cs="Times New Roman"/>
                <w:sz w:val="18"/>
                <w:szCs w:val="18"/>
              </w:rPr>
              <w:t>1</w:t>
            </w:r>
            <w:r>
              <w:rPr>
                <w:rFonts w:cs="Times New Roman"/>
                <w:sz w:val="18"/>
                <w:szCs w:val="18"/>
              </w:rPr>
              <w:t>5.55</w:t>
            </w:r>
          </w:p>
        </w:tc>
        <w:tc>
          <w:tcPr>
            <w:tcW w:w="528" w:type="dxa"/>
            <w:vAlign w:val="center"/>
          </w:tcPr>
          <w:p>
            <w:pPr>
              <w:pStyle w:val="1143"/>
              <w:adjustRightInd w:val="0"/>
              <w:snapToGrid w:val="0"/>
              <w:rPr>
                <w:rFonts w:cs="Times New Roman"/>
                <w:sz w:val="18"/>
                <w:szCs w:val="18"/>
              </w:rPr>
            </w:pPr>
            <w:r>
              <w:rPr>
                <w:rFonts w:cs="Times New Roman"/>
                <w:sz w:val="18"/>
                <w:szCs w:val="18"/>
              </w:rPr>
              <w:t>15.54</w:t>
            </w:r>
          </w:p>
        </w:tc>
        <w:tc>
          <w:tcPr>
            <w:tcW w:w="482" w:type="dxa"/>
            <w:noWrap/>
            <w:vAlign w:val="center"/>
          </w:tcPr>
          <w:p>
            <w:pPr>
              <w:pStyle w:val="1143"/>
              <w:adjustRightInd w:val="0"/>
              <w:snapToGrid w:val="0"/>
              <w:rPr>
                <w:rFonts w:cs="Times New Roman"/>
                <w:sz w:val="18"/>
                <w:szCs w:val="18"/>
              </w:rPr>
            </w:pPr>
            <w:r>
              <w:rPr>
                <w:rFonts w:cs="Times New Roman"/>
                <w:sz w:val="18"/>
                <w:szCs w:val="18"/>
              </w:rPr>
              <w:t>0.01</w:t>
            </w:r>
          </w:p>
        </w:tc>
        <w:tc>
          <w:tcPr>
            <w:tcW w:w="482" w:type="dxa"/>
            <w:noWrap/>
            <w:vAlign w:val="center"/>
          </w:tcPr>
          <w:p>
            <w:pPr>
              <w:pStyle w:val="1143"/>
              <w:adjustRightInd w:val="0"/>
              <w:snapToGrid w:val="0"/>
              <w:rPr>
                <w:rFonts w:cs="Times New Roman"/>
                <w:sz w:val="18"/>
                <w:szCs w:val="18"/>
              </w:rPr>
            </w:pPr>
            <w:r>
              <w:rPr>
                <w:rFonts w:cs="Times New Roman"/>
                <w:sz w:val="18"/>
                <w:szCs w:val="18"/>
              </w:rPr>
              <w:t>3.68</w:t>
            </w:r>
          </w:p>
        </w:tc>
        <w:tc>
          <w:tcPr>
            <w:tcW w:w="665" w:type="dxa"/>
            <w:noWrap/>
            <w:vAlign w:val="center"/>
          </w:tcPr>
          <w:p>
            <w:pPr>
              <w:pStyle w:val="1143"/>
              <w:adjustRightInd w:val="0"/>
              <w:snapToGrid w:val="0"/>
              <w:rPr>
                <w:rFonts w:cs="Times New Roman"/>
                <w:sz w:val="18"/>
                <w:szCs w:val="18"/>
              </w:rPr>
            </w:pPr>
            <w:r>
              <w:rPr>
                <w:rFonts w:cs="Times New Roman"/>
                <w:sz w:val="18"/>
                <w:szCs w:val="18"/>
              </w:rPr>
              <w:t>932.36</w:t>
            </w:r>
          </w:p>
        </w:tc>
        <w:tc>
          <w:tcPr>
            <w:tcW w:w="848" w:type="dxa"/>
            <w:noWrap/>
            <w:vAlign w:val="center"/>
          </w:tcPr>
          <w:p>
            <w:pPr>
              <w:pStyle w:val="1143"/>
              <w:adjustRightInd w:val="0"/>
              <w:snapToGrid w:val="0"/>
              <w:rPr>
                <w:rFonts w:cs="Times New Roman"/>
                <w:sz w:val="18"/>
                <w:szCs w:val="18"/>
              </w:rPr>
            </w:pPr>
            <w:r>
              <w:rPr>
                <w:rFonts w:cs="Times New Roman"/>
                <w:sz w:val="18"/>
                <w:szCs w:val="18"/>
              </w:rPr>
              <w:t>0.02</w:t>
            </w:r>
          </w:p>
        </w:tc>
        <w:tc>
          <w:tcPr>
            <w:tcW w:w="1213" w:type="dxa"/>
            <w:noWrap/>
            <w:vAlign w:val="center"/>
          </w:tcPr>
          <w:p>
            <w:pPr>
              <w:pStyle w:val="1143"/>
              <w:adjustRightInd w:val="0"/>
              <w:snapToGrid w:val="0"/>
              <w:rPr>
                <w:rFonts w:cs="Times New Roman"/>
                <w:sz w:val="18"/>
                <w:szCs w:val="18"/>
              </w:rPr>
            </w:pPr>
            <w:r>
              <w:rPr>
                <w:rFonts w:cs="Times New Roman"/>
                <w:sz w:val="18"/>
                <w:szCs w:val="18"/>
              </w:rPr>
              <w:t>10.22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41</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上库表土堆存场用地</w:t>
            </w:r>
          </w:p>
        </w:tc>
        <w:tc>
          <w:tcPr>
            <w:tcW w:w="619" w:type="dxa"/>
            <w:noWrap/>
            <w:vAlign w:val="center"/>
          </w:tcPr>
          <w:p>
            <w:pPr>
              <w:pStyle w:val="1143"/>
              <w:adjustRightInd w:val="0"/>
              <w:snapToGrid w:val="0"/>
              <w:rPr>
                <w:rFonts w:cs="Times New Roman"/>
                <w:sz w:val="18"/>
                <w:szCs w:val="18"/>
              </w:rPr>
            </w:pPr>
            <w:r>
              <w:rPr>
                <w:rFonts w:cs="Times New Roman"/>
                <w:sz w:val="18"/>
                <w:szCs w:val="18"/>
              </w:rPr>
              <w:t>34.22</w:t>
            </w:r>
          </w:p>
        </w:tc>
        <w:tc>
          <w:tcPr>
            <w:tcW w:w="528" w:type="dxa"/>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32.78</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r>
              <w:rPr>
                <w:rFonts w:cs="Times New Roman"/>
                <w:sz w:val="18"/>
                <w:szCs w:val="18"/>
              </w:rPr>
              <w:t>1.44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42</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上库弃渣场</w:t>
            </w:r>
          </w:p>
        </w:tc>
        <w:tc>
          <w:tcPr>
            <w:tcW w:w="619" w:type="dxa"/>
            <w:noWrap/>
            <w:vAlign w:val="center"/>
          </w:tcPr>
          <w:p>
            <w:pPr>
              <w:pStyle w:val="1143"/>
              <w:adjustRightInd w:val="0"/>
              <w:snapToGrid w:val="0"/>
              <w:rPr>
                <w:rFonts w:cs="Times New Roman"/>
                <w:sz w:val="18"/>
                <w:szCs w:val="18"/>
              </w:rPr>
            </w:pPr>
            <w:r>
              <w:rPr>
                <w:rFonts w:cs="Times New Roman"/>
                <w:sz w:val="18"/>
                <w:szCs w:val="18"/>
              </w:rPr>
              <w:t>228.98</w:t>
            </w:r>
          </w:p>
        </w:tc>
        <w:tc>
          <w:tcPr>
            <w:tcW w:w="528" w:type="dxa"/>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221.69</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r>
              <w:rPr>
                <w:rFonts w:cs="Times New Roman"/>
                <w:sz w:val="18"/>
                <w:szCs w:val="18"/>
              </w:rPr>
              <w:t>7.29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43</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上库石料场</w:t>
            </w:r>
          </w:p>
        </w:tc>
        <w:tc>
          <w:tcPr>
            <w:tcW w:w="619" w:type="dxa"/>
            <w:noWrap/>
            <w:vAlign w:val="center"/>
          </w:tcPr>
          <w:p>
            <w:pPr>
              <w:pStyle w:val="1143"/>
              <w:adjustRightInd w:val="0"/>
              <w:snapToGrid w:val="0"/>
              <w:rPr>
                <w:rFonts w:cs="Times New Roman"/>
                <w:sz w:val="18"/>
                <w:szCs w:val="18"/>
              </w:rPr>
            </w:pPr>
            <w:r>
              <w:rPr>
                <w:rFonts w:cs="Times New Roman"/>
                <w:sz w:val="18"/>
                <w:szCs w:val="18"/>
              </w:rPr>
              <w:t>151.56</w:t>
            </w:r>
          </w:p>
        </w:tc>
        <w:tc>
          <w:tcPr>
            <w:tcW w:w="528" w:type="dxa"/>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r>
              <w:rPr>
                <w:rFonts w:cs="Times New Roman"/>
                <w:sz w:val="18"/>
                <w:szCs w:val="18"/>
              </w:rPr>
              <w:t>0.36</w:t>
            </w: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150.53</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r>
              <w:rPr>
                <w:rFonts w:cs="Times New Roman"/>
                <w:sz w:val="18"/>
                <w:szCs w:val="18"/>
              </w:rPr>
              <w:t>0.67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44</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上库输水发电标施工用地</w:t>
            </w:r>
          </w:p>
        </w:tc>
        <w:tc>
          <w:tcPr>
            <w:tcW w:w="619" w:type="dxa"/>
            <w:noWrap/>
            <w:vAlign w:val="center"/>
          </w:tcPr>
          <w:p>
            <w:pPr>
              <w:pStyle w:val="1143"/>
              <w:adjustRightInd w:val="0"/>
              <w:snapToGrid w:val="0"/>
              <w:rPr>
                <w:rFonts w:cs="Times New Roman"/>
                <w:sz w:val="18"/>
                <w:szCs w:val="18"/>
              </w:rPr>
            </w:pPr>
            <w:r>
              <w:rPr>
                <w:rFonts w:cs="Times New Roman"/>
                <w:sz w:val="18"/>
                <w:szCs w:val="18"/>
              </w:rPr>
              <w:t>94.19</w:t>
            </w:r>
          </w:p>
        </w:tc>
        <w:tc>
          <w:tcPr>
            <w:tcW w:w="528" w:type="dxa"/>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94.19</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45</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上下库连接路渣场用地</w:t>
            </w:r>
          </w:p>
        </w:tc>
        <w:tc>
          <w:tcPr>
            <w:tcW w:w="619" w:type="dxa"/>
            <w:noWrap/>
            <w:vAlign w:val="center"/>
          </w:tcPr>
          <w:p>
            <w:pPr>
              <w:pStyle w:val="1143"/>
              <w:adjustRightInd w:val="0"/>
              <w:snapToGrid w:val="0"/>
              <w:rPr>
                <w:rFonts w:cs="Times New Roman"/>
                <w:sz w:val="18"/>
                <w:szCs w:val="18"/>
              </w:rPr>
            </w:pPr>
            <w:r>
              <w:rPr>
                <w:rFonts w:cs="Times New Roman"/>
                <w:sz w:val="18"/>
                <w:szCs w:val="18"/>
              </w:rPr>
              <w:t>19.81</w:t>
            </w:r>
          </w:p>
        </w:tc>
        <w:tc>
          <w:tcPr>
            <w:tcW w:w="528" w:type="dxa"/>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19.29</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r>
              <w:rPr>
                <w:rFonts w:cs="Times New Roman"/>
                <w:sz w:val="18"/>
                <w:szCs w:val="18"/>
              </w:rPr>
              <w:t>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46</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中平洞施工场地用地</w:t>
            </w:r>
          </w:p>
        </w:tc>
        <w:tc>
          <w:tcPr>
            <w:tcW w:w="619" w:type="dxa"/>
            <w:noWrap/>
            <w:vAlign w:val="center"/>
          </w:tcPr>
          <w:p>
            <w:pPr>
              <w:pStyle w:val="1143"/>
              <w:adjustRightInd w:val="0"/>
              <w:snapToGrid w:val="0"/>
              <w:rPr>
                <w:rFonts w:cs="Times New Roman"/>
                <w:sz w:val="18"/>
                <w:szCs w:val="18"/>
              </w:rPr>
            </w:pPr>
            <w:r>
              <w:rPr>
                <w:rFonts w:cs="Times New Roman"/>
                <w:sz w:val="18"/>
                <w:szCs w:val="18"/>
              </w:rPr>
              <w:t>5.15</w:t>
            </w:r>
          </w:p>
        </w:tc>
        <w:tc>
          <w:tcPr>
            <w:tcW w:w="528" w:type="dxa"/>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5.15</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47</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下库弃渣场</w:t>
            </w:r>
          </w:p>
        </w:tc>
        <w:tc>
          <w:tcPr>
            <w:tcW w:w="619" w:type="dxa"/>
            <w:noWrap/>
            <w:vAlign w:val="center"/>
          </w:tcPr>
          <w:p>
            <w:pPr>
              <w:pStyle w:val="1143"/>
              <w:adjustRightInd w:val="0"/>
              <w:snapToGrid w:val="0"/>
              <w:rPr>
                <w:rFonts w:cs="Times New Roman"/>
                <w:sz w:val="18"/>
                <w:szCs w:val="18"/>
              </w:rPr>
            </w:pPr>
            <w:r>
              <w:rPr>
                <w:rFonts w:cs="Times New Roman"/>
                <w:sz w:val="18"/>
                <w:szCs w:val="18"/>
              </w:rPr>
              <w:t>307.13</w:t>
            </w:r>
          </w:p>
        </w:tc>
        <w:tc>
          <w:tcPr>
            <w:tcW w:w="528" w:type="dxa"/>
            <w:vAlign w:val="center"/>
          </w:tcPr>
          <w:p>
            <w:pPr>
              <w:pStyle w:val="1143"/>
              <w:adjustRightInd w:val="0"/>
              <w:snapToGrid w:val="0"/>
              <w:rPr>
                <w:rFonts w:cs="Times New Roman"/>
                <w:sz w:val="18"/>
                <w:szCs w:val="18"/>
              </w:rPr>
            </w:pPr>
            <w:r>
              <w:rPr>
                <w:rFonts w:hint="eastAsia" w:cs="Times New Roman"/>
                <w:sz w:val="18"/>
                <w:szCs w:val="18"/>
              </w:rPr>
              <w:t>8</w:t>
            </w:r>
            <w:r>
              <w:rPr>
                <w:rFonts w:cs="Times New Roman"/>
                <w:sz w:val="18"/>
                <w:szCs w:val="18"/>
              </w:rPr>
              <w:t>.35</w:t>
            </w:r>
          </w:p>
        </w:tc>
        <w:tc>
          <w:tcPr>
            <w:tcW w:w="528" w:type="dxa"/>
            <w:vAlign w:val="center"/>
          </w:tcPr>
          <w:p>
            <w:pPr>
              <w:pStyle w:val="1143"/>
              <w:adjustRightInd w:val="0"/>
              <w:snapToGrid w:val="0"/>
              <w:rPr>
                <w:rFonts w:cs="Times New Roman"/>
                <w:sz w:val="18"/>
                <w:szCs w:val="18"/>
              </w:rPr>
            </w:pPr>
            <w:r>
              <w:rPr>
                <w:rFonts w:hint="eastAsia" w:cs="Times New Roman"/>
                <w:sz w:val="18"/>
                <w:szCs w:val="18"/>
              </w:rPr>
              <w:t>8</w:t>
            </w:r>
            <w:r>
              <w:rPr>
                <w:rFonts w:cs="Times New Roman"/>
                <w:sz w:val="18"/>
                <w:szCs w:val="18"/>
              </w:rPr>
              <w:t>.35</w:t>
            </w:r>
          </w:p>
        </w:tc>
        <w:tc>
          <w:tcPr>
            <w:tcW w:w="482" w:type="dxa"/>
            <w:noWrap/>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298.78</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48</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下库坝后施工场地</w:t>
            </w:r>
          </w:p>
        </w:tc>
        <w:tc>
          <w:tcPr>
            <w:tcW w:w="619" w:type="dxa"/>
            <w:noWrap/>
            <w:vAlign w:val="center"/>
          </w:tcPr>
          <w:p>
            <w:pPr>
              <w:pStyle w:val="1143"/>
              <w:adjustRightInd w:val="0"/>
              <w:snapToGrid w:val="0"/>
              <w:rPr>
                <w:rFonts w:cs="Times New Roman"/>
                <w:sz w:val="18"/>
                <w:szCs w:val="18"/>
              </w:rPr>
            </w:pPr>
            <w:r>
              <w:rPr>
                <w:rFonts w:cs="Times New Roman"/>
                <w:sz w:val="18"/>
                <w:szCs w:val="18"/>
              </w:rPr>
              <w:t>20.53</w:t>
            </w:r>
          </w:p>
        </w:tc>
        <w:tc>
          <w:tcPr>
            <w:tcW w:w="528" w:type="dxa"/>
            <w:vAlign w:val="center"/>
          </w:tcPr>
          <w:p>
            <w:pPr>
              <w:pStyle w:val="1143"/>
              <w:adjustRightInd w:val="0"/>
              <w:snapToGrid w:val="0"/>
              <w:rPr>
                <w:rFonts w:cs="Times New Roman"/>
                <w:sz w:val="18"/>
                <w:szCs w:val="18"/>
              </w:rPr>
            </w:pPr>
            <w:r>
              <w:rPr>
                <w:rFonts w:hint="eastAsia" w:cs="Times New Roman"/>
                <w:sz w:val="18"/>
                <w:szCs w:val="18"/>
              </w:rPr>
              <w:t>7</w:t>
            </w:r>
            <w:r>
              <w:rPr>
                <w:rFonts w:cs="Times New Roman"/>
                <w:sz w:val="18"/>
                <w:szCs w:val="18"/>
              </w:rPr>
              <w:t>.19</w:t>
            </w:r>
          </w:p>
        </w:tc>
        <w:tc>
          <w:tcPr>
            <w:tcW w:w="528" w:type="dxa"/>
            <w:vAlign w:val="center"/>
          </w:tcPr>
          <w:p>
            <w:pPr>
              <w:pStyle w:val="1143"/>
              <w:adjustRightInd w:val="0"/>
              <w:snapToGrid w:val="0"/>
              <w:rPr>
                <w:rFonts w:cs="Times New Roman"/>
                <w:sz w:val="18"/>
                <w:szCs w:val="18"/>
              </w:rPr>
            </w:pPr>
            <w:r>
              <w:rPr>
                <w:rFonts w:hint="eastAsia" w:cs="Times New Roman"/>
                <w:sz w:val="18"/>
                <w:szCs w:val="18"/>
              </w:rPr>
              <w:t>7</w:t>
            </w:r>
            <w:r>
              <w:rPr>
                <w:rFonts w:cs="Times New Roman"/>
                <w:sz w:val="18"/>
                <w:szCs w:val="18"/>
              </w:rPr>
              <w:t>.18</w:t>
            </w:r>
          </w:p>
        </w:tc>
        <w:tc>
          <w:tcPr>
            <w:tcW w:w="482" w:type="dxa"/>
            <w:noWrap/>
            <w:vAlign w:val="center"/>
          </w:tcPr>
          <w:p>
            <w:pPr>
              <w:pStyle w:val="1143"/>
              <w:adjustRightInd w:val="0"/>
              <w:snapToGrid w:val="0"/>
              <w:rPr>
                <w:rFonts w:cs="Times New Roman"/>
                <w:sz w:val="18"/>
                <w:szCs w:val="18"/>
              </w:rPr>
            </w:pPr>
            <w:r>
              <w:rPr>
                <w:rFonts w:cs="Times New Roman"/>
                <w:sz w:val="18"/>
                <w:szCs w:val="18"/>
              </w:rPr>
              <w:t>0.01</w:t>
            </w:r>
          </w:p>
        </w:tc>
        <w:tc>
          <w:tcPr>
            <w:tcW w:w="482" w:type="dxa"/>
            <w:noWrap/>
            <w:vAlign w:val="center"/>
          </w:tcPr>
          <w:p>
            <w:pPr>
              <w:pStyle w:val="1143"/>
              <w:adjustRightInd w:val="0"/>
              <w:snapToGrid w:val="0"/>
              <w:rPr>
                <w:rFonts w:cs="Times New Roman"/>
                <w:sz w:val="18"/>
                <w:szCs w:val="18"/>
              </w:rPr>
            </w:pPr>
            <w:r>
              <w:rPr>
                <w:rFonts w:cs="Times New Roman"/>
                <w:sz w:val="18"/>
                <w:szCs w:val="18"/>
              </w:rPr>
              <w:t>3.68</w:t>
            </w:r>
          </w:p>
        </w:tc>
        <w:tc>
          <w:tcPr>
            <w:tcW w:w="665" w:type="dxa"/>
            <w:noWrap/>
            <w:vAlign w:val="center"/>
          </w:tcPr>
          <w:p>
            <w:pPr>
              <w:pStyle w:val="1143"/>
              <w:adjustRightInd w:val="0"/>
              <w:snapToGrid w:val="0"/>
              <w:rPr>
                <w:rFonts w:cs="Times New Roman"/>
                <w:sz w:val="18"/>
                <w:szCs w:val="18"/>
              </w:rPr>
            </w:pPr>
            <w:r>
              <w:rPr>
                <w:rFonts w:cs="Times New Roman"/>
                <w:sz w:val="18"/>
                <w:szCs w:val="18"/>
              </w:rPr>
              <w:t>9.34</w:t>
            </w:r>
          </w:p>
        </w:tc>
        <w:tc>
          <w:tcPr>
            <w:tcW w:w="848" w:type="dxa"/>
            <w:noWrap/>
            <w:vAlign w:val="center"/>
          </w:tcPr>
          <w:p>
            <w:pPr>
              <w:pStyle w:val="1143"/>
              <w:adjustRightInd w:val="0"/>
              <w:snapToGrid w:val="0"/>
              <w:rPr>
                <w:rFonts w:cs="Times New Roman"/>
                <w:sz w:val="18"/>
                <w:szCs w:val="18"/>
              </w:rPr>
            </w:pPr>
            <w:r>
              <w:rPr>
                <w:rFonts w:cs="Times New Roman"/>
                <w:sz w:val="18"/>
                <w:szCs w:val="18"/>
              </w:rPr>
              <w:t>0.02</w:t>
            </w:r>
          </w:p>
        </w:tc>
        <w:tc>
          <w:tcPr>
            <w:tcW w:w="1213" w:type="dxa"/>
            <w:noWrap/>
            <w:vAlign w:val="center"/>
          </w:tcPr>
          <w:p>
            <w:pPr>
              <w:pStyle w:val="1143"/>
              <w:adjustRightInd w:val="0"/>
              <w:snapToGrid w:val="0"/>
              <w:rPr>
                <w:rFonts w:cs="Times New Roman"/>
                <w:sz w:val="18"/>
                <w:szCs w:val="18"/>
              </w:rPr>
            </w:pPr>
            <w:r>
              <w:rPr>
                <w:rFonts w:cs="Times New Roman"/>
                <w:sz w:val="18"/>
                <w:szCs w:val="18"/>
              </w:rPr>
              <w:t>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49</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下库坝后道路及大坝标场地用地</w:t>
            </w:r>
          </w:p>
        </w:tc>
        <w:tc>
          <w:tcPr>
            <w:tcW w:w="619" w:type="dxa"/>
            <w:noWrap/>
            <w:vAlign w:val="center"/>
          </w:tcPr>
          <w:p>
            <w:pPr>
              <w:pStyle w:val="1143"/>
              <w:adjustRightInd w:val="0"/>
              <w:snapToGrid w:val="0"/>
              <w:rPr>
                <w:rFonts w:cs="Times New Roman"/>
                <w:sz w:val="18"/>
                <w:szCs w:val="18"/>
              </w:rPr>
            </w:pPr>
            <w:r>
              <w:rPr>
                <w:rFonts w:cs="Times New Roman"/>
                <w:sz w:val="18"/>
                <w:szCs w:val="18"/>
              </w:rPr>
              <w:t>67.09</w:t>
            </w:r>
          </w:p>
        </w:tc>
        <w:tc>
          <w:tcPr>
            <w:tcW w:w="528" w:type="dxa"/>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67.09</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82" w:hRule="atLeast"/>
          <w:jc w:val="center"/>
        </w:trPr>
        <w:tc>
          <w:tcPr>
            <w:tcW w:w="848" w:type="dxa"/>
            <w:noWrap/>
            <w:vAlign w:val="center"/>
          </w:tcPr>
          <w:p>
            <w:pPr>
              <w:pStyle w:val="1143"/>
              <w:adjustRightInd w:val="0"/>
              <w:snapToGrid w:val="0"/>
              <w:rPr>
                <w:rFonts w:cs="Times New Roman"/>
                <w:sz w:val="18"/>
                <w:szCs w:val="18"/>
              </w:rPr>
            </w:pPr>
            <w:r>
              <w:rPr>
                <w:rFonts w:cs="Times New Roman"/>
                <w:sz w:val="18"/>
                <w:szCs w:val="18"/>
              </w:rPr>
              <w:t>50</w:t>
            </w:r>
          </w:p>
        </w:tc>
        <w:tc>
          <w:tcPr>
            <w:tcW w:w="2678" w:type="dxa"/>
            <w:noWrap/>
            <w:vAlign w:val="center"/>
          </w:tcPr>
          <w:p>
            <w:pPr>
              <w:pStyle w:val="1143"/>
              <w:adjustRightInd w:val="0"/>
              <w:snapToGrid w:val="0"/>
              <w:rPr>
                <w:rFonts w:cs="Times New Roman"/>
                <w:sz w:val="18"/>
                <w:szCs w:val="18"/>
              </w:rPr>
            </w:pPr>
            <w:r>
              <w:rPr>
                <w:rFonts w:hAnsi="宋体" w:cs="Times New Roman"/>
                <w:sz w:val="18"/>
                <w:szCs w:val="18"/>
              </w:rPr>
              <w:t>下库大坝标施工营地用地</w:t>
            </w:r>
          </w:p>
        </w:tc>
        <w:tc>
          <w:tcPr>
            <w:tcW w:w="619" w:type="dxa"/>
            <w:noWrap/>
            <w:vAlign w:val="center"/>
          </w:tcPr>
          <w:p>
            <w:pPr>
              <w:pStyle w:val="1143"/>
              <w:adjustRightInd w:val="0"/>
              <w:snapToGrid w:val="0"/>
              <w:rPr>
                <w:rFonts w:cs="Times New Roman"/>
                <w:sz w:val="18"/>
                <w:szCs w:val="18"/>
              </w:rPr>
            </w:pPr>
            <w:r>
              <w:rPr>
                <w:rFonts w:cs="Times New Roman"/>
                <w:sz w:val="18"/>
                <w:szCs w:val="18"/>
              </w:rPr>
              <w:t>33.16</w:t>
            </w:r>
          </w:p>
        </w:tc>
        <w:tc>
          <w:tcPr>
            <w:tcW w:w="528" w:type="dxa"/>
            <w:vAlign w:val="center"/>
          </w:tcPr>
          <w:p>
            <w:pPr>
              <w:pStyle w:val="1143"/>
              <w:adjustRightInd w:val="0"/>
              <w:snapToGrid w:val="0"/>
              <w:rPr>
                <w:rFonts w:cs="Times New Roman"/>
                <w:sz w:val="18"/>
                <w:szCs w:val="18"/>
              </w:rPr>
            </w:pPr>
          </w:p>
        </w:tc>
        <w:tc>
          <w:tcPr>
            <w:tcW w:w="528" w:type="dxa"/>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482" w:type="dxa"/>
            <w:noWrap/>
            <w:vAlign w:val="center"/>
          </w:tcPr>
          <w:p>
            <w:pPr>
              <w:pStyle w:val="1143"/>
              <w:adjustRightInd w:val="0"/>
              <w:snapToGrid w:val="0"/>
              <w:rPr>
                <w:rFonts w:cs="Times New Roman"/>
                <w:sz w:val="18"/>
                <w:szCs w:val="18"/>
              </w:rPr>
            </w:pPr>
          </w:p>
        </w:tc>
        <w:tc>
          <w:tcPr>
            <w:tcW w:w="665" w:type="dxa"/>
            <w:noWrap/>
            <w:vAlign w:val="center"/>
          </w:tcPr>
          <w:p>
            <w:pPr>
              <w:pStyle w:val="1143"/>
              <w:adjustRightInd w:val="0"/>
              <w:snapToGrid w:val="0"/>
              <w:rPr>
                <w:rFonts w:cs="Times New Roman"/>
                <w:sz w:val="18"/>
                <w:szCs w:val="18"/>
              </w:rPr>
            </w:pPr>
            <w:r>
              <w:rPr>
                <w:rFonts w:cs="Times New Roman"/>
                <w:sz w:val="18"/>
                <w:szCs w:val="18"/>
              </w:rPr>
              <w:t>33.16</w:t>
            </w:r>
          </w:p>
        </w:tc>
        <w:tc>
          <w:tcPr>
            <w:tcW w:w="848" w:type="dxa"/>
            <w:noWrap/>
            <w:vAlign w:val="center"/>
          </w:tcPr>
          <w:p>
            <w:pPr>
              <w:pStyle w:val="1143"/>
              <w:adjustRightInd w:val="0"/>
              <w:snapToGrid w:val="0"/>
              <w:rPr>
                <w:rFonts w:cs="Times New Roman"/>
                <w:sz w:val="18"/>
                <w:szCs w:val="18"/>
              </w:rPr>
            </w:pPr>
          </w:p>
        </w:tc>
        <w:tc>
          <w:tcPr>
            <w:tcW w:w="1213" w:type="dxa"/>
            <w:noWrap/>
            <w:vAlign w:val="center"/>
          </w:tcPr>
          <w:p>
            <w:pPr>
              <w:pStyle w:val="1143"/>
              <w:adjustRightInd w:val="0"/>
              <w:snapToGrid w:val="0"/>
              <w:rPr>
                <w:rFonts w:cs="Times New Roman"/>
                <w:sz w:val="18"/>
                <w:szCs w:val="18"/>
              </w:rPr>
            </w:pPr>
          </w:p>
        </w:tc>
      </w:tr>
    </w:tbl>
    <w:p>
      <w:pPr>
        <w:pStyle w:val="4"/>
      </w:pPr>
      <w:r>
        <w:t>5.1.</w:t>
      </w:r>
      <w:r>
        <w:rPr>
          <w:rFonts w:hint="eastAsia"/>
        </w:rPr>
        <w:t>7</w:t>
      </w:r>
      <w:r>
        <w:t xml:space="preserve">  库底清理</w:t>
      </w:r>
      <w:bookmarkEnd w:id="165"/>
      <w:bookmarkEnd w:id="166"/>
      <w:bookmarkEnd w:id="167"/>
      <w:r>
        <w:t xml:space="preserve"> </w:t>
      </w:r>
    </w:p>
    <w:p>
      <w:pPr>
        <w:overflowPunct w:val="0"/>
        <w:autoSpaceDE w:val="0"/>
        <w:autoSpaceDN w:val="0"/>
        <w:adjustRightInd w:val="0"/>
        <w:spacing w:line="480" w:lineRule="exact"/>
        <w:ind w:firstLine="480" w:firstLineChars="200"/>
        <w:rPr>
          <w:sz w:val="24"/>
        </w:rPr>
      </w:pPr>
      <w:r>
        <w:rPr>
          <w:rFonts w:hAnsi="宋体"/>
          <w:sz w:val="24"/>
        </w:rPr>
        <w:t>为保证枢纽工程及水库运行安全，保护水库环境卫生，控制水传染疾病，防止水质污染，给水库防洪、供水、旅游等综合开发利用创造有利条件，在水库蓄水前应进行库底清理。</w:t>
      </w:r>
    </w:p>
    <w:p>
      <w:pPr>
        <w:overflowPunct w:val="0"/>
        <w:autoSpaceDE w:val="0"/>
        <w:autoSpaceDN w:val="0"/>
        <w:adjustRightInd w:val="0"/>
        <w:spacing w:line="480" w:lineRule="exact"/>
        <w:ind w:firstLine="480" w:firstLineChars="200"/>
        <w:rPr>
          <w:rFonts w:hAnsi="宋体"/>
          <w:sz w:val="24"/>
        </w:rPr>
      </w:pPr>
      <w:r>
        <w:rPr>
          <w:rFonts w:hAnsi="宋体"/>
          <w:sz w:val="24"/>
        </w:rPr>
        <w:t>根据本工程建设征地影响范围、水库淹没影响的特点以及水库运行方式，本工程库底清理为一般清理，包括卫生清理、建</w:t>
      </w:r>
      <w:r>
        <w:rPr>
          <w:sz w:val="24"/>
        </w:rPr>
        <w:t>(</w:t>
      </w:r>
      <w:r>
        <w:rPr>
          <w:rFonts w:hAnsi="宋体"/>
          <w:sz w:val="24"/>
        </w:rPr>
        <w:t>构</w:t>
      </w:r>
      <w:r>
        <w:rPr>
          <w:sz w:val="24"/>
        </w:rPr>
        <w:t>)</w:t>
      </w:r>
      <w:r>
        <w:rPr>
          <w:rFonts w:hAnsi="宋体"/>
          <w:sz w:val="24"/>
        </w:rPr>
        <w:t>筑物清理，无特殊清理项目。</w:t>
      </w:r>
    </w:p>
    <w:p>
      <w:pPr>
        <w:pStyle w:val="3"/>
      </w:pPr>
      <w:bookmarkStart w:id="170" w:name="_Toc1358"/>
      <w:bookmarkStart w:id="171" w:name="_Toc85660228"/>
      <w:bookmarkStart w:id="172" w:name="_Toc90934870"/>
      <w:bookmarkStart w:id="173" w:name="_Toc86265077"/>
      <w:bookmarkStart w:id="174" w:name="_Toc85487701"/>
      <w:bookmarkStart w:id="175" w:name="_Toc7166"/>
      <w:r>
        <w:t>5.2  规划目标和安置标准</w:t>
      </w:r>
      <w:bookmarkEnd w:id="170"/>
      <w:bookmarkEnd w:id="171"/>
      <w:bookmarkEnd w:id="172"/>
      <w:bookmarkEnd w:id="173"/>
      <w:bookmarkEnd w:id="174"/>
      <w:bookmarkEnd w:id="175"/>
    </w:p>
    <w:p>
      <w:pPr>
        <w:pStyle w:val="4"/>
      </w:pPr>
      <w:bookmarkStart w:id="176" w:name="_Toc85487702"/>
      <w:bookmarkStart w:id="177" w:name="_Toc85660229"/>
      <w:bookmarkStart w:id="178" w:name="_Toc85632461"/>
      <w:r>
        <w:t>5.2.1  规划目标</w:t>
      </w:r>
      <w:bookmarkEnd w:id="176"/>
      <w:bookmarkEnd w:id="177"/>
      <w:bookmarkEnd w:id="178"/>
    </w:p>
    <w:p>
      <w:pPr>
        <w:overflowPunct w:val="0"/>
        <w:autoSpaceDE w:val="0"/>
        <w:autoSpaceDN w:val="0"/>
        <w:adjustRightInd w:val="0"/>
        <w:spacing w:line="480" w:lineRule="exact"/>
        <w:ind w:firstLine="480" w:firstLineChars="200"/>
        <w:rPr>
          <w:sz w:val="24"/>
        </w:rPr>
      </w:pPr>
      <w:r>
        <w:rPr>
          <w:rFonts w:hint="eastAsia" w:hAnsi="宋体"/>
          <w:sz w:val="24"/>
        </w:rPr>
        <w:t>陆河</w:t>
      </w:r>
      <w:r>
        <w:rPr>
          <w:rFonts w:hAnsi="宋体"/>
          <w:sz w:val="24"/>
        </w:rPr>
        <w:t>抽水蓄能电站移民安置规划目标按照超过</w:t>
      </w:r>
      <w:r>
        <w:rPr>
          <w:rFonts w:hint="eastAsia" w:hAnsi="宋体"/>
          <w:sz w:val="24"/>
        </w:rPr>
        <w:t>建设征地前</w:t>
      </w:r>
      <w:r>
        <w:rPr>
          <w:rFonts w:hAnsi="宋体"/>
          <w:sz w:val="24"/>
        </w:rPr>
        <w:t>的生活水平来制定，</w:t>
      </w:r>
      <w:r>
        <w:rPr>
          <w:rFonts w:hint="eastAsia" w:hAnsi="宋体"/>
          <w:sz w:val="24"/>
        </w:rPr>
        <w:t>移民生产收入水平不低于建设征地前的水平，通过生产安置，</w:t>
      </w:r>
      <w:r>
        <w:rPr>
          <w:rFonts w:hAnsi="宋体"/>
          <w:sz w:val="24"/>
        </w:rPr>
        <w:t>实现移民</w:t>
      </w:r>
      <w:r>
        <w:rPr>
          <w:rFonts w:hint="eastAsia"/>
          <w:sz w:val="24"/>
        </w:rPr>
        <w:t>“</w:t>
      </w:r>
      <w:r>
        <w:rPr>
          <w:rFonts w:hAnsi="宋体"/>
          <w:sz w:val="24"/>
        </w:rPr>
        <w:t>搬得出、稳得住、能发展、能致富</w:t>
      </w:r>
      <w:r>
        <w:rPr>
          <w:rFonts w:hint="eastAsia" w:hAnsi="宋体"/>
          <w:sz w:val="24"/>
        </w:rPr>
        <w:t>”</w:t>
      </w:r>
      <w:r>
        <w:rPr>
          <w:rFonts w:hAnsi="宋体"/>
          <w:sz w:val="24"/>
        </w:rPr>
        <w:t>的目标。</w:t>
      </w:r>
    </w:p>
    <w:p>
      <w:pPr>
        <w:pStyle w:val="5"/>
        <w:rPr>
          <w:bCs w:val="0"/>
        </w:rPr>
      </w:pPr>
      <w:r>
        <w:rPr>
          <w:bCs w:val="0"/>
        </w:rPr>
        <w:t>5.2.1.1  农村移民人均可支配收入分析</w:t>
      </w:r>
    </w:p>
    <w:p>
      <w:pPr>
        <w:adjustRightInd w:val="0"/>
        <w:spacing w:line="480" w:lineRule="exact"/>
        <w:ind w:firstLine="480" w:firstLineChars="200"/>
        <w:rPr>
          <w:rFonts w:hAnsi="宋体"/>
          <w:sz w:val="24"/>
        </w:rPr>
      </w:pPr>
      <w:bookmarkStart w:id="179" w:name="_Toc90934871"/>
      <w:r>
        <w:rPr>
          <w:sz w:val="24"/>
        </w:rPr>
        <w:t xml:space="preserve">a) </w:t>
      </w:r>
      <w:r>
        <w:rPr>
          <w:rFonts w:hAnsi="宋体"/>
          <w:sz w:val="24"/>
        </w:rPr>
        <w:t>调查年现状</w:t>
      </w:r>
      <w:bookmarkEnd w:id="179"/>
    </w:p>
    <w:p>
      <w:pPr>
        <w:adjustRightInd w:val="0"/>
        <w:spacing w:line="480" w:lineRule="exact"/>
        <w:ind w:firstLine="480" w:firstLineChars="200"/>
        <w:rPr>
          <w:rFonts w:hAnsi="宋体"/>
          <w:sz w:val="24"/>
        </w:rPr>
      </w:pPr>
      <w:r>
        <w:rPr>
          <w:rFonts w:hint="eastAsia" w:hAnsi="宋体"/>
          <w:sz w:val="24"/>
        </w:rPr>
        <w:t>因新田镇无法提供本镇农村居民收入相关数据，</w:t>
      </w:r>
      <w:bookmarkStart w:id="180" w:name="_Hlk96004467"/>
      <w:r>
        <w:rPr>
          <w:rFonts w:hint="eastAsia" w:hAnsi="宋体"/>
          <w:sz w:val="24"/>
        </w:rPr>
        <w:t>经过实地走访调查</w:t>
      </w:r>
      <w:bookmarkEnd w:id="180"/>
      <w:r>
        <w:rPr>
          <w:rFonts w:hint="eastAsia" w:hAnsi="宋体"/>
          <w:sz w:val="24"/>
        </w:rPr>
        <w:t>得知新田镇农村居民收入水平与陆河县全县相当，分析</w:t>
      </w:r>
      <w:r>
        <w:rPr>
          <w:rFonts w:hAnsi="宋体"/>
          <w:sz w:val="24"/>
        </w:rPr>
        <w:t>采用的基础数据为</w:t>
      </w:r>
      <w:r>
        <w:rPr>
          <w:rFonts w:hint="eastAsia"/>
          <w:sz w:val="24"/>
        </w:rPr>
        <w:t>陆河县</w:t>
      </w:r>
      <w:r>
        <w:rPr>
          <w:rFonts w:hAnsi="宋体"/>
          <w:sz w:val="24"/>
        </w:rPr>
        <w:t>统计</w:t>
      </w:r>
      <w:r>
        <w:rPr>
          <w:rFonts w:hint="eastAsia" w:hAnsi="宋体"/>
          <w:sz w:val="24"/>
        </w:rPr>
        <w:t>数据</w:t>
      </w:r>
      <w:r>
        <w:rPr>
          <w:rFonts w:hAnsi="宋体"/>
          <w:sz w:val="24"/>
        </w:rPr>
        <w:t>。</w:t>
      </w:r>
      <w:r>
        <w:rPr>
          <w:rFonts w:hint="eastAsia" w:hAnsi="宋体"/>
          <w:sz w:val="24"/>
        </w:rPr>
        <w:t>以陆河县近三年农村居民人均可支配收入</w:t>
      </w:r>
      <w:r>
        <w:rPr>
          <w:rFonts w:hAnsi="宋体"/>
          <w:sz w:val="24"/>
        </w:rPr>
        <w:t>为基础，结合</w:t>
      </w:r>
      <w:r>
        <w:rPr>
          <w:rFonts w:hint="eastAsia" w:hAnsi="宋体"/>
          <w:sz w:val="24"/>
        </w:rPr>
        <w:t>陆河</w:t>
      </w:r>
      <w:r>
        <w:rPr>
          <w:rFonts w:hAnsi="宋体"/>
          <w:sz w:val="24"/>
        </w:rPr>
        <w:t>抽水蓄能电站建设征地区的实际情况进行分析计算。</w:t>
      </w:r>
    </w:p>
    <w:p>
      <w:pPr>
        <w:adjustRightInd w:val="0"/>
        <w:spacing w:line="480" w:lineRule="exact"/>
        <w:ind w:firstLine="480" w:firstLineChars="200"/>
        <w:rPr>
          <w:sz w:val="24"/>
        </w:rPr>
      </w:pPr>
      <w:r>
        <w:rPr>
          <w:rFonts w:hAnsi="宋体"/>
          <w:sz w:val="24"/>
        </w:rPr>
        <w:t>农村移民的总收入</w:t>
      </w:r>
      <w:r>
        <w:rPr>
          <w:rFonts w:hint="eastAsia" w:hAnsi="宋体"/>
          <w:sz w:val="24"/>
        </w:rPr>
        <w:t>包括农业收入、林业收入、牧业收入、渔业收入、工业和建筑业收入、运输商业饮食等收入、在外打工收入、服务业收入、其他收入</w:t>
      </w:r>
      <w:r>
        <w:rPr>
          <w:rFonts w:hAnsi="宋体"/>
          <w:sz w:val="24"/>
        </w:rPr>
        <w:t>。</w:t>
      </w:r>
    </w:p>
    <w:p>
      <w:pPr>
        <w:adjustRightInd w:val="0"/>
        <w:spacing w:line="480" w:lineRule="exact"/>
        <w:ind w:firstLine="480" w:firstLineChars="200"/>
        <w:rPr>
          <w:sz w:val="24"/>
        </w:rPr>
      </w:pPr>
      <w:r>
        <w:rPr>
          <w:rFonts w:hAnsi="宋体"/>
          <w:sz w:val="24"/>
        </w:rPr>
        <w:t>农村移民的总支出分为生活消费支出、生产经营费用支出、财产性支出、转移性支出、部分商业保险支出、购置资产及非经常性转移支出和借贷性支出</w:t>
      </w:r>
      <w:r>
        <w:rPr>
          <w:sz w:val="24"/>
        </w:rPr>
        <w:t>8</w:t>
      </w:r>
      <w:r>
        <w:rPr>
          <w:rFonts w:hAnsi="宋体"/>
          <w:sz w:val="24"/>
        </w:rPr>
        <w:t>部分。其中生活消费支出分为食品、衣着、居住、家庭设备、用品及服务、医疗保健、交通通讯、文教娱乐用品及服务、其他商品和服务支出。</w:t>
      </w:r>
    </w:p>
    <w:p>
      <w:pPr>
        <w:adjustRightInd w:val="0"/>
        <w:spacing w:line="480" w:lineRule="exact"/>
        <w:ind w:firstLine="480" w:firstLineChars="200"/>
        <w:rPr>
          <w:sz w:val="24"/>
        </w:rPr>
      </w:pPr>
      <w:r>
        <w:rPr>
          <w:rFonts w:hAnsi="宋体"/>
          <w:sz w:val="24"/>
        </w:rPr>
        <w:t>农民人均可支配收入为总收入扣除相应支出部分的结果，根据</w:t>
      </w:r>
      <w:r>
        <w:rPr>
          <w:rFonts w:hint="eastAsia" w:hAnsi="宋体"/>
          <w:sz w:val="24"/>
        </w:rPr>
        <w:t>陆河县近三年统计年鉴</w:t>
      </w:r>
      <w:r>
        <w:rPr>
          <w:rFonts w:hAnsi="宋体"/>
          <w:sz w:val="24"/>
        </w:rPr>
        <w:t>，</w:t>
      </w:r>
      <w:r>
        <w:rPr>
          <w:rFonts w:hint="eastAsia" w:hAnsi="宋体"/>
          <w:sz w:val="24"/>
        </w:rPr>
        <w:t>陆河县</w:t>
      </w:r>
      <w:r>
        <w:rPr>
          <w:sz w:val="24"/>
        </w:rPr>
        <w:t>2018</w:t>
      </w:r>
      <w:r>
        <w:rPr>
          <w:rFonts w:hint="eastAsia"/>
          <w:sz w:val="24"/>
        </w:rPr>
        <w:t>年</w:t>
      </w:r>
      <w:r>
        <w:rPr>
          <w:rFonts w:hAnsi="宋体"/>
          <w:sz w:val="24"/>
        </w:rPr>
        <w:t>至</w:t>
      </w:r>
      <w:r>
        <w:rPr>
          <w:sz w:val="24"/>
        </w:rPr>
        <w:t>2020</w:t>
      </w:r>
      <w:r>
        <w:rPr>
          <w:rFonts w:hAnsi="宋体"/>
          <w:sz w:val="24"/>
        </w:rPr>
        <w:t>年</w:t>
      </w:r>
      <w:r>
        <w:rPr>
          <w:rFonts w:hint="eastAsia" w:hAnsi="宋体"/>
          <w:sz w:val="24"/>
        </w:rPr>
        <w:t>农村居民</w:t>
      </w:r>
      <w:r>
        <w:rPr>
          <w:rFonts w:hAnsi="宋体"/>
          <w:sz w:val="24"/>
        </w:rPr>
        <w:t>人均可支配收入分别为</w:t>
      </w:r>
      <w:r>
        <w:rPr>
          <w:rFonts w:hint="eastAsia"/>
          <w:sz w:val="24"/>
        </w:rPr>
        <w:t>11530元、12681元、13848元</w:t>
      </w:r>
      <w:r>
        <w:rPr>
          <w:rFonts w:hAnsi="宋体"/>
          <w:sz w:val="24"/>
        </w:rPr>
        <w:t>。在人均收入构成中</w:t>
      </w:r>
      <w:r>
        <w:rPr>
          <w:rFonts w:hint="eastAsia" w:hAnsi="宋体"/>
          <w:sz w:val="24"/>
        </w:rPr>
        <w:t>，农业收入平均占比为14.73%，其他类型的收入总和平均占比为85.27%</w:t>
      </w:r>
      <w:r>
        <w:rPr>
          <w:rFonts w:hAnsi="宋体"/>
          <w:sz w:val="24"/>
        </w:rPr>
        <w:t>。</w:t>
      </w:r>
    </w:p>
    <w:p>
      <w:pPr>
        <w:adjustRightInd w:val="0"/>
        <w:spacing w:line="480" w:lineRule="exact"/>
        <w:ind w:firstLine="480" w:firstLineChars="200"/>
        <w:rPr>
          <w:sz w:val="24"/>
        </w:rPr>
      </w:pPr>
      <w:r>
        <w:rPr>
          <w:rFonts w:hAnsi="宋体"/>
          <w:sz w:val="24"/>
        </w:rPr>
        <w:t>农民收入情况详见表</w:t>
      </w:r>
      <w:r>
        <w:rPr>
          <w:rFonts w:hint="eastAsia"/>
          <w:sz w:val="24"/>
        </w:rPr>
        <w:t>5</w:t>
      </w:r>
      <w:r>
        <w:rPr>
          <w:sz w:val="24"/>
        </w:rPr>
        <w:t>.2.1-1</w:t>
      </w:r>
      <w:r>
        <w:rPr>
          <w:rFonts w:hAnsi="宋体"/>
          <w:sz w:val="24"/>
        </w:rPr>
        <w:t>。</w:t>
      </w:r>
    </w:p>
    <w:p>
      <w:pPr>
        <w:pStyle w:val="517"/>
      </w:pPr>
      <w:r>
        <w:t>表</w:t>
      </w:r>
      <w:r>
        <w:rPr>
          <w:rFonts w:hint="eastAsia"/>
        </w:rPr>
        <w:t>5</w:t>
      </w:r>
      <w:r>
        <w:t xml:space="preserve">.2.1-1  </w:t>
      </w:r>
      <w:r>
        <w:rPr>
          <w:rFonts w:hint="eastAsia"/>
        </w:rPr>
        <w:t>陆河县农村居民可支配</w:t>
      </w:r>
      <w:r>
        <w:t>收入构成明细分析表</w:t>
      </w:r>
    </w:p>
    <w:tbl>
      <w:tblPr>
        <w:tblStyle w:val="79"/>
        <w:tblW w:w="88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708"/>
        <w:gridCol w:w="1071"/>
        <w:gridCol w:w="1007"/>
        <w:gridCol w:w="1284"/>
        <w:gridCol w:w="1007"/>
        <w:gridCol w:w="1221"/>
        <w:gridCol w:w="10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216" w:type="dxa"/>
            <w:gridSpan w:val="2"/>
            <w:vMerge w:val="restart"/>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收入结构</w:t>
            </w:r>
          </w:p>
        </w:tc>
        <w:tc>
          <w:tcPr>
            <w:tcW w:w="2078"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2018</w:t>
            </w:r>
          </w:p>
        </w:tc>
        <w:tc>
          <w:tcPr>
            <w:tcW w:w="2291"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2019</w:t>
            </w:r>
          </w:p>
        </w:tc>
        <w:tc>
          <w:tcPr>
            <w:tcW w:w="2228" w:type="dxa"/>
            <w:gridSpan w:val="2"/>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216" w:type="dxa"/>
            <w:gridSpan w:val="2"/>
            <w:vMerge w:val="continue"/>
            <w:vAlign w:val="center"/>
          </w:tcPr>
          <w:p>
            <w:pPr>
              <w:adjustRightInd w:val="0"/>
              <w:snapToGrid w:val="0"/>
              <w:jc w:val="center"/>
              <w:rPr>
                <w:rFonts w:cs="Times New Roman"/>
                <w:color w:val="000000"/>
              </w:rPr>
            </w:pPr>
          </w:p>
        </w:tc>
        <w:tc>
          <w:tcPr>
            <w:tcW w:w="1071" w:type="dxa"/>
            <w:vAlign w:val="center"/>
          </w:tcPr>
          <w:p>
            <w:pPr>
              <w:widowControl/>
              <w:adjustRightInd w:val="0"/>
              <w:snapToGrid w:val="0"/>
              <w:jc w:val="center"/>
              <w:textAlignment w:val="center"/>
              <w:rPr>
                <w:rFonts w:cs="Times New Roman"/>
                <w:color w:val="000000"/>
                <w:kern w:val="0"/>
                <w:lang w:bidi="ar"/>
              </w:rPr>
            </w:pPr>
            <w:r>
              <w:rPr>
                <w:rFonts w:hAnsi="宋体" w:cs="Times New Roman"/>
                <w:color w:val="000000"/>
                <w:kern w:val="0"/>
                <w:lang w:bidi="ar"/>
              </w:rPr>
              <w:t>数额</w:t>
            </w:r>
          </w:p>
          <w:p>
            <w:pPr>
              <w:widowControl/>
              <w:adjustRightInd w:val="0"/>
              <w:snapToGrid w:val="0"/>
              <w:jc w:val="center"/>
              <w:textAlignment w:val="center"/>
              <w:rPr>
                <w:rFonts w:cs="Times New Roman"/>
                <w:color w:val="000000"/>
              </w:rPr>
            </w:pPr>
            <w:r>
              <w:rPr>
                <w:rFonts w:cs="Times New Roman"/>
                <w:color w:val="000000"/>
                <w:kern w:val="0"/>
                <w:lang w:bidi="ar"/>
              </w:rPr>
              <w:t>(</w:t>
            </w:r>
            <w:r>
              <w:rPr>
                <w:rFonts w:hAnsi="宋体" w:cs="Times New Roman"/>
                <w:color w:val="000000"/>
                <w:kern w:val="0"/>
                <w:lang w:bidi="ar"/>
              </w:rPr>
              <w:t>元</w:t>
            </w:r>
            <w:r>
              <w:rPr>
                <w:rFonts w:cs="Times New Roman"/>
                <w:color w:val="000000"/>
                <w:kern w:val="0"/>
                <w:lang w:bidi="ar"/>
              </w:rPr>
              <w:t>/</w:t>
            </w:r>
            <w:r>
              <w:rPr>
                <w:rFonts w:hAnsi="宋体" w:cs="Times New Roman"/>
                <w:color w:val="000000"/>
                <w:kern w:val="0"/>
                <w:lang w:bidi="ar"/>
              </w:rPr>
              <w:t>人</w:t>
            </w:r>
            <w:r>
              <w:rPr>
                <w:rFonts w:cs="Times New Roman"/>
                <w:color w:val="000000"/>
                <w:kern w:val="0"/>
                <w:lang w:bidi="ar"/>
              </w:rPr>
              <w:t>)</w:t>
            </w:r>
          </w:p>
        </w:tc>
        <w:tc>
          <w:tcPr>
            <w:tcW w:w="1007"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占比</w:t>
            </w:r>
          </w:p>
        </w:tc>
        <w:tc>
          <w:tcPr>
            <w:tcW w:w="1284" w:type="dxa"/>
            <w:vAlign w:val="center"/>
          </w:tcPr>
          <w:p>
            <w:pPr>
              <w:widowControl/>
              <w:adjustRightInd w:val="0"/>
              <w:snapToGrid w:val="0"/>
              <w:jc w:val="center"/>
              <w:textAlignment w:val="center"/>
              <w:rPr>
                <w:rFonts w:cs="Times New Roman"/>
                <w:color w:val="000000"/>
                <w:kern w:val="0"/>
                <w:lang w:bidi="ar"/>
              </w:rPr>
            </w:pPr>
            <w:r>
              <w:rPr>
                <w:rFonts w:hAnsi="宋体" w:cs="Times New Roman"/>
                <w:color w:val="000000"/>
                <w:kern w:val="0"/>
                <w:lang w:bidi="ar"/>
              </w:rPr>
              <w:t>数额</w:t>
            </w:r>
          </w:p>
          <w:p>
            <w:pPr>
              <w:widowControl/>
              <w:adjustRightInd w:val="0"/>
              <w:snapToGrid w:val="0"/>
              <w:jc w:val="center"/>
              <w:textAlignment w:val="center"/>
              <w:rPr>
                <w:rFonts w:cs="Times New Roman"/>
                <w:color w:val="000000"/>
              </w:rPr>
            </w:pPr>
            <w:r>
              <w:rPr>
                <w:rFonts w:cs="Times New Roman"/>
                <w:color w:val="000000"/>
                <w:kern w:val="0"/>
                <w:lang w:bidi="ar"/>
              </w:rPr>
              <w:t>(</w:t>
            </w:r>
            <w:r>
              <w:rPr>
                <w:rFonts w:hAnsi="宋体" w:cs="Times New Roman"/>
                <w:color w:val="000000"/>
                <w:kern w:val="0"/>
                <w:lang w:bidi="ar"/>
              </w:rPr>
              <w:t>元</w:t>
            </w:r>
            <w:r>
              <w:rPr>
                <w:rFonts w:cs="Times New Roman"/>
                <w:color w:val="000000"/>
                <w:kern w:val="0"/>
                <w:lang w:bidi="ar"/>
              </w:rPr>
              <w:t>/</w:t>
            </w:r>
            <w:r>
              <w:rPr>
                <w:rFonts w:hAnsi="宋体" w:cs="Times New Roman"/>
                <w:color w:val="000000"/>
                <w:kern w:val="0"/>
                <w:lang w:bidi="ar"/>
              </w:rPr>
              <w:t>人</w:t>
            </w:r>
            <w:r>
              <w:rPr>
                <w:rFonts w:cs="Times New Roman"/>
                <w:color w:val="000000"/>
                <w:kern w:val="0"/>
                <w:lang w:bidi="ar"/>
              </w:rPr>
              <w:t>)</w:t>
            </w:r>
          </w:p>
        </w:tc>
        <w:tc>
          <w:tcPr>
            <w:tcW w:w="1007"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占比</w:t>
            </w:r>
          </w:p>
        </w:tc>
        <w:tc>
          <w:tcPr>
            <w:tcW w:w="1221" w:type="dxa"/>
            <w:vAlign w:val="center"/>
          </w:tcPr>
          <w:p>
            <w:pPr>
              <w:widowControl/>
              <w:adjustRightInd w:val="0"/>
              <w:snapToGrid w:val="0"/>
              <w:jc w:val="center"/>
              <w:textAlignment w:val="center"/>
              <w:rPr>
                <w:rFonts w:cs="Times New Roman"/>
                <w:color w:val="000000"/>
                <w:kern w:val="0"/>
                <w:lang w:bidi="ar"/>
              </w:rPr>
            </w:pPr>
            <w:r>
              <w:rPr>
                <w:rFonts w:hAnsi="宋体" w:cs="Times New Roman"/>
                <w:color w:val="000000"/>
                <w:kern w:val="0"/>
                <w:lang w:bidi="ar"/>
              </w:rPr>
              <w:t>数额</w:t>
            </w:r>
          </w:p>
          <w:p>
            <w:pPr>
              <w:widowControl/>
              <w:adjustRightInd w:val="0"/>
              <w:snapToGrid w:val="0"/>
              <w:jc w:val="center"/>
              <w:textAlignment w:val="center"/>
              <w:rPr>
                <w:rFonts w:cs="Times New Roman"/>
                <w:color w:val="000000"/>
              </w:rPr>
            </w:pPr>
            <w:r>
              <w:rPr>
                <w:rFonts w:cs="Times New Roman"/>
                <w:color w:val="000000"/>
                <w:kern w:val="0"/>
                <w:lang w:bidi="ar"/>
              </w:rPr>
              <w:t>(</w:t>
            </w:r>
            <w:r>
              <w:rPr>
                <w:rFonts w:hAnsi="宋体" w:cs="Times New Roman"/>
                <w:color w:val="000000"/>
                <w:kern w:val="0"/>
                <w:lang w:bidi="ar"/>
              </w:rPr>
              <w:t>元</w:t>
            </w:r>
            <w:r>
              <w:rPr>
                <w:rFonts w:cs="Times New Roman"/>
                <w:color w:val="000000"/>
                <w:kern w:val="0"/>
                <w:lang w:bidi="ar"/>
              </w:rPr>
              <w:t>/</w:t>
            </w:r>
            <w:r>
              <w:rPr>
                <w:rFonts w:hAnsi="宋体" w:cs="Times New Roman"/>
                <w:color w:val="000000"/>
                <w:kern w:val="0"/>
                <w:lang w:bidi="ar"/>
              </w:rPr>
              <w:t>人</w:t>
            </w:r>
            <w:r>
              <w:rPr>
                <w:rFonts w:cs="Times New Roman"/>
                <w:color w:val="000000"/>
                <w:kern w:val="0"/>
                <w:lang w:bidi="ar"/>
              </w:rPr>
              <w:t>)</w:t>
            </w:r>
          </w:p>
        </w:tc>
        <w:tc>
          <w:tcPr>
            <w:tcW w:w="1007"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占比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216" w:type="dxa"/>
            <w:gridSpan w:val="2"/>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人均可支配收入</w:t>
            </w:r>
          </w:p>
        </w:tc>
        <w:tc>
          <w:tcPr>
            <w:tcW w:w="1071"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11530</w:t>
            </w:r>
          </w:p>
        </w:tc>
        <w:tc>
          <w:tcPr>
            <w:tcW w:w="1007"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100%</w:t>
            </w:r>
          </w:p>
        </w:tc>
        <w:tc>
          <w:tcPr>
            <w:tcW w:w="1284"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12681</w:t>
            </w:r>
          </w:p>
        </w:tc>
        <w:tc>
          <w:tcPr>
            <w:tcW w:w="1007"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100%</w:t>
            </w:r>
          </w:p>
        </w:tc>
        <w:tc>
          <w:tcPr>
            <w:tcW w:w="1221"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13848</w:t>
            </w:r>
          </w:p>
        </w:tc>
        <w:tc>
          <w:tcPr>
            <w:tcW w:w="1007"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农业</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1698</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14.73%</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1888</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14.87%</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2019</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14.58%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adjustRightInd w:val="0"/>
              <w:snapToGrid w:val="0"/>
              <w:jc w:val="center"/>
              <w:rPr>
                <w:rFonts w:cs="Times New Roman"/>
                <w:color w:val="000000"/>
              </w:rPr>
            </w:pP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种植业收入</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1053</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9.13%</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1165</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9.19%</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1248</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adjustRightInd w:val="0"/>
              <w:snapToGrid w:val="0"/>
              <w:jc w:val="center"/>
              <w:rPr>
                <w:rFonts w:cs="Times New Roman"/>
                <w:color w:val="000000"/>
              </w:rPr>
            </w:pP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其他农业收入</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645</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5.60%</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723</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5.68%</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771</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林业</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359</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3.11%</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394</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3.11%</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428</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3</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牧业</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903</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7.83%</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990</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7.81%</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1077</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7.78%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4</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渔业</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236</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2.05%</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257</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2.03%</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281</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5</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工业和建筑业</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2532</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21.96%</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2778</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21.91%</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3109</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6</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运输商业饮食等</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2523</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21.88%</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2768</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21.83%</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3020</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21.81%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7</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在外打工收入</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1659</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14.39%</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1817</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14.33%</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1977</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8</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服务业</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535</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4.64%</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587</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4.63%</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638</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4.61%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w:t>
            </w:r>
          </w:p>
        </w:tc>
        <w:tc>
          <w:tcPr>
            <w:tcW w:w="170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其他收入</w:t>
            </w:r>
          </w:p>
        </w:tc>
        <w:tc>
          <w:tcPr>
            <w:tcW w:w="107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1085</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9.41%</w:t>
            </w:r>
          </w:p>
        </w:tc>
        <w:tc>
          <w:tcPr>
            <w:tcW w:w="1284"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1202</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9.48%</w:t>
            </w:r>
          </w:p>
        </w:tc>
        <w:tc>
          <w:tcPr>
            <w:tcW w:w="1221"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1299</w:t>
            </w:r>
          </w:p>
        </w:tc>
        <w:tc>
          <w:tcPr>
            <w:tcW w:w="1007" w:type="dxa"/>
            <w:noWrap/>
            <w:vAlign w:val="center"/>
          </w:tcPr>
          <w:p>
            <w:pPr>
              <w:widowControl/>
              <w:adjustRightInd w:val="0"/>
              <w:snapToGrid w:val="0"/>
              <w:jc w:val="center"/>
              <w:textAlignment w:val="center"/>
              <w:rPr>
                <w:rFonts w:cs="Times New Roman"/>
                <w:color w:val="000000"/>
              </w:rPr>
            </w:pPr>
            <w:r>
              <w:rPr>
                <w:rFonts w:cs="Times New Roman"/>
                <w:color w:val="000000"/>
                <w:kern w:val="0"/>
                <w:lang w:bidi="ar"/>
              </w:rPr>
              <w:t>9.37%</w:t>
            </w:r>
          </w:p>
        </w:tc>
      </w:tr>
    </w:tbl>
    <w:p>
      <w:pPr>
        <w:rPr>
          <w:rFonts w:ascii="Tahoma" w:hAnsi="Tahoma" w:cs="Tahoma"/>
          <w:sz w:val="24"/>
          <w:szCs w:val="24"/>
        </w:rPr>
      </w:pPr>
    </w:p>
    <w:p>
      <w:pPr>
        <w:adjustRightInd w:val="0"/>
        <w:spacing w:line="480" w:lineRule="exact"/>
        <w:ind w:firstLine="480" w:firstLineChars="200"/>
        <w:rPr>
          <w:rFonts w:hAnsi="宋体"/>
          <w:bCs/>
          <w:sz w:val="24"/>
        </w:rPr>
      </w:pPr>
      <w:r>
        <w:rPr>
          <w:rFonts w:hAnsi="宋体"/>
          <w:bCs/>
          <w:sz w:val="24"/>
        </w:rPr>
        <w:br w:type="page"/>
      </w:r>
      <w:r>
        <w:rPr>
          <w:rFonts w:hint="eastAsia" w:hAnsi="宋体"/>
          <w:bCs/>
          <w:sz w:val="24"/>
        </w:rPr>
        <w:t>由以上统计结果可知，陆河县2020年的农村居民人均可支配收入为13848元。现状农民人均收入的构成中，因建设征地直接影响的移民收入部分为农业收入，2020年陆河县农村居民人均农业收入为2019元。2018~2020年陆河县人均可支配收入的年均增长率为9.59%，以此为增长率推算规划水平年的人均可支配收入水平。</w:t>
      </w:r>
    </w:p>
    <w:p>
      <w:pPr>
        <w:adjustRightInd w:val="0"/>
        <w:spacing w:line="480" w:lineRule="exact"/>
        <w:ind w:firstLine="480" w:firstLineChars="200"/>
        <w:rPr>
          <w:rFonts w:hAnsi="宋体"/>
          <w:bCs/>
          <w:sz w:val="24"/>
        </w:rPr>
      </w:pPr>
      <w:bookmarkStart w:id="181" w:name="_Toc90934872"/>
      <w:r>
        <w:rPr>
          <w:rFonts w:hint="eastAsia" w:hAnsi="宋体"/>
          <w:bCs/>
          <w:sz w:val="24"/>
        </w:rPr>
        <w:t xml:space="preserve">b) </w:t>
      </w:r>
      <w:r>
        <w:rPr>
          <w:rFonts w:hAnsi="宋体"/>
          <w:bCs/>
          <w:sz w:val="24"/>
        </w:rPr>
        <w:t>规划目标</w:t>
      </w:r>
      <w:bookmarkEnd w:id="181"/>
    </w:p>
    <w:p>
      <w:pPr>
        <w:adjustRightInd w:val="0"/>
        <w:spacing w:line="480" w:lineRule="exact"/>
        <w:ind w:firstLine="480" w:firstLineChars="200"/>
        <w:rPr>
          <w:rFonts w:hAnsi="宋体"/>
          <w:bCs/>
          <w:sz w:val="24"/>
        </w:rPr>
      </w:pPr>
      <w:r>
        <w:rPr>
          <w:rFonts w:hAnsi="宋体"/>
          <w:bCs/>
          <w:sz w:val="24"/>
        </w:rPr>
        <w:t>根据</w:t>
      </w:r>
      <w:r>
        <w:rPr>
          <w:rFonts w:hint="eastAsia" w:hAnsi="宋体"/>
          <w:bCs/>
          <w:sz w:val="24"/>
        </w:rPr>
        <w:t>陆河</w:t>
      </w:r>
      <w:r>
        <w:rPr>
          <w:rFonts w:hAnsi="宋体"/>
          <w:bCs/>
          <w:sz w:val="24"/>
        </w:rPr>
        <w:t>蓄能电站建设征地区域实际情况等相关资料分析，</w:t>
      </w:r>
      <w:r>
        <w:rPr>
          <w:rFonts w:hint="eastAsia" w:hAnsi="宋体"/>
          <w:bCs/>
          <w:sz w:val="24"/>
        </w:rPr>
        <w:t>陆河县农村居民</w:t>
      </w:r>
      <w:r>
        <w:rPr>
          <w:rFonts w:hAnsi="宋体"/>
          <w:bCs/>
          <w:sz w:val="24"/>
        </w:rPr>
        <w:t>人均可支配收入年均计划增长率取</w:t>
      </w:r>
      <w:r>
        <w:rPr>
          <w:rFonts w:hint="eastAsia"/>
          <w:bCs/>
          <w:sz w:val="24"/>
        </w:rPr>
        <w:t>9.59</w:t>
      </w:r>
      <w:r>
        <w:rPr>
          <w:bCs/>
          <w:sz w:val="24"/>
        </w:rPr>
        <w:t>%</w:t>
      </w:r>
      <w:r>
        <w:rPr>
          <w:rFonts w:hAnsi="宋体"/>
          <w:bCs/>
          <w:sz w:val="24"/>
        </w:rPr>
        <w:t>。推算至设计水平年</w:t>
      </w:r>
      <w:r>
        <w:rPr>
          <w:bCs/>
          <w:sz w:val="24"/>
        </w:rPr>
        <w:t>2024</w:t>
      </w:r>
      <w:r>
        <w:rPr>
          <w:rFonts w:hAnsi="宋体"/>
          <w:bCs/>
          <w:sz w:val="24"/>
        </w:rPr>
        <w:t>年，</w:t>
      </w:r>
      <w:r>
        <w:rPr>
          <w:rFonts w:hint="eastAsia" w:hAnsi="宋体"/>
          <w:bCs/>
          <w:sz w:val="24"/>
        </w:rPr>
        <w:t>陆河县农村居民</w:t>
      </w:r>
      <w:r>
        <w:rPr>
          <w:rFonts w:hAnsi="宋体"/>
          <w:bCs/>
          <w:sz w:val="24"/>
        </w:rPr>
        <w:t>人均可支配收入</w:t>
      </w:r>
      <w:r>
        <w:rPr>
          <w:rFonts w:hint="eastAsia" w:hAnsi="宋体"/>
          <w:bCs/>
          <w:sz w:val="24"/>
        </w:rPr>
        <w:t>规划目标为</w:t>
      </w:r>
      <w:r>
        <w:rPr>
          <w:rFonts w:hint="eastAsia"/>
          <w:bCs/>
          <w:sz w:val="24"/>
        </w:rPr>
        <w:t>18226</w:t>
      </w:r>
      <w:r>
        <w:rPr>
          <w:rFonts w:hAnsi="宋体"/>
          <w:bCs/>
          <w:sz w:val="24"/>
        </w:rPr>
        <w:t>元。</w:t>
      </w:r>
    </w:p>
    <w:p>
      <w:pPr>
        <w:adjustRightInd w:val="0"/>
        <w:spacing w:line="480" w:lineRule="exact"/>
        <w:ind w:firstLine="480" w:firstLineChars="200"/>
        <w:rPr>
          <w:bCs/>
          <w:sz w:val="24"/>
        </w:rPr>
      </w:pPr>
      <w:bookmarkStart w:id="182" w:name="_Toc90934873"/>
      <w:r>
        <w:rPr>
          <w:rFonts w:hint="eastAsia" w:hAnsi="宋体"/>
          <w:bCs/>
          <w:sz w:val="24"/>
        </w:rPr>
        <w:t xml:space="preserve">c) </w:t>
      </w:r>
      <w:r>
        <w:rPr>
          <w:rFonts w:hAnsi="宋体"/>
          <w:bCs/>
          <w:sz w:val="24"/>
        </w:rPr>
        <w:t>从生产安置项目中应当获得的收入目标</w:t>
      </w:r>
      <w:bookmarkEnd w:id="182"/>
    </w:p>
    <w:p>
      <w:pPr>
        <w:pStyle w:val="183"/>
        <w:adjustRightInd w:val="0"/>
        <w:spacing w:line="480" w:lineRule="exact"/>
        <w:ind w:firstLine="496" w:firstLineChars="200"/>
        <w:rPr>
          <w:rFonts w:hAnsi="宋体"/>
          <w:spacing w:val="4"/>
        </w:rPr>
      </w:pPr>
      <w:r>
        <w:rPr>
          <w:rFonts w:hint="eastAsia" w:hAnsi="宋体"/>
          <w:spacing w:val="4"/>
        </w:rPr>
        <w:t>根据上述分析，陆河县农村居民人均可支配收入结构中以工业和建筑业收入、运输商业饮食收入、在外打工收入为主，是陆河县农村居民收入的主要来源，农业收入占陆河县农民收入的比重较小，即影响耕地对当地农民收入水平的影响程度相对较轻。</w:t>
      </w:r>
    </w:p>
    <w:p>
      <w:pPr>
        <w:adjustRightInd w:val="0"/>
        <w:spacing w:line="480" w:lineRule="exact"/>
        <w:ind w:firstLine="480" w:firstLineChars="200"/>
        <w:rPr>
          <w:bCs/>
          <w:sz w:val="24"/>
        </w:rPr>
      </w:pPr>
      <w:r>
        <w:rPr>
          <w:rFonts w:hint="eastAsia" w:hAnsi="宋体"/>
          <w:bCs/>
          <w:sz w:val="24"/>
        </w:rPr>
        <w:t>按计划增长率9.59%计算，至移民安置规划设计水平年</w:t>
      </w:r>
      <w:r>
        <w:rPr>
          <w:bCs/>
          <w:sz w:val="24"/>
        </w:rPr>
        <w:t>2024</w:t>
      </w:r>
      <w:r>
        <w:rPr>
          <w:rFonts w:hint="eastAsia" w:hAnsi="宋体"/>
          <w:bCs/>
          <w:sz w:val="24"/>
        </w:rPr>
        <w:t>年，建设征地区居民在不受征地影响情况下陆河县居民应从耕地中获取的收入应为</w:t>
      </w:r>
      <w:r>
        <w:rPr>
          <w:rFonts w:hint="eastAsia"/>
          <w:bCs/>
          <w:sz w:val="24"/>
        </w:rPr>
        <w:t>2657</w:t>
      </w:r>
      <w:r>
        <w:rPr>
          <w:rFonts w:hint="eastAsia" w:hAnsi="宋体"/>
          <w:bCs/>
          <w:sz w:val="24"/>
        </w:rPr>
        <w:t>元</w:t>
      </w:r>
      <w:r>
        <w:rPr>
          <w:bCs/>
          <w:sz w:val="24"/>
        </w:rPr>
        <w:t>/(</w:t>
      </w:r>
      <w:r>
        <w:rPr>
          <w:rFonts w:hint="eastAsia" w:hAnsi="宋体"/>
          <w:bCs/>
          <w:sz w:val="24"/>
        </w:rPr>
        <w:t>人</w:t>
      </w:r>
      <w:r>
        <w:rPr>
          <w:sz w:val="24"/>
        </w:rPr>
        <w:t>·</w:t>
      </w:r>
      <w:r>
        <w:rPr>
          <w:rFonts w:hint="eastAsia" w:hAnsi="宋体"/>
          <w:bCs/>
          <w:sz w:val="24"/>
        </w:rPr>
        <w:t>年</w:t>
      </w:r>
      <w:r>
        <w:rPr>
          <w:bCs/>
          <w:sz w:val="24"/>
        </w:rPr>
        <w:t>)</w:t>
      </w:r>
      <w:r>
        <w:rPr>
          <w:rFonts w:hint="eastAsia" w:hAnsi="宋体"/>
          <w:bCs/>
          <w:sz w:val="24"/>
        </w:rPr>
        <w:t>。详见表</w:t>
      </w:r>
      <w:r>
        <w:rPr>
          <w:bCs/>
          <w:sz w:val="24"/>
        </w:rPr>
        <w:t>5.2.1-2</w:t>
      </w:r>
      <w:r>
        <w:rPr>
          <w:rFonts w:hAnsi="宋体"/>
          <w:bCs/>
          <w:sz w:val="24"/>
        </w:rPr>
        <w:t>。</w:t>
      </w:r>
    </w:p>
    <w:p>
      <w:pPr>
        <w:pStyle w:val="517"/>
      </w:pPr>
      <w:r>
        <w:t>表5.2.1-2  规划设计水平年收入目标表</w:t>
      </w:r>
    </w:p>
    <w:p>
      <w:pPr>
        <w:pStyle w:val="517"/>
        <w:spacing w:before="0" w:beforeLines="0"/>
        <w:rPr>
          <w:rFonts w:eastAsia="宋体"/>
          <w:sz w:val="21"/>
        </w:rPr>
      </w:pPr>
      <w:r>
        <w:rPr>
          <w:rFonts w:hAnsi="宋体" w:eastAsia="宋体"/>
          <w:sz w:val="21"/>
        </w:rPr>
        <w:t>单位：元</w:t>
      </w:r>
      <w:r>
        <w:rPr>
          <w:rFonts w:eastAsia="宋体"/>
          <w:sz w:val="21"/>
        </w:rPr>
        <w:t>/(</w:t>
      </w:r>
      <w:r>
        <w:rPr>
          <w:rFonts w:hAnsi="宋体" w:eastAsia="宋体"/>
          <w:sz w:val="21"/>
        </w:rPr>
        <w:t>人</w:t>
      </w:r>
      <w:r>
        <w:rPr>
          <w:rFonts w:eastAsia="宋体"/>
          <w:sz w:val="21"/>
        </w:rPr>
        <w:t>·</w:t>
      </w:r>
      <w:r>
        <w:rPr>
          <w:rFonts w:hAnsi="宋体" w:eastAsia="宋体"/>
          <w:sz w:val="21"/>
        </w:rPr>
        <w:t>年</w:t>
      </w:r>
      <w:r>
        <w:rPr>
          <w:rFonts w:eastAsia="宋体"/>
          <w:sz w:val="21"/>
        </w:rPr>
        <w:t>)</w:t>
      </w:r>
    </w:p>
    <w:tbl>
      <w:tblPr>
        <w:tblStyle w:val="79"/>
        <w:tblW w:w="89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721"/>
        <w:gridCol w:w="1059"/>
        <w:gridCol w:w="998"/>
        <w:gridCol w:w="24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2" w:hRule="atLeast"/>
          <w:jc w:val="center"/>
        </w:trPr>
        <w:tc>
          <w:tcPr>
            <w:tcW w:w="750"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序号</w:t>
            </w:r>
          </w:p>
        </w:tc>
        <w:tc>
          <w:tcPr>
            <w:tcW w:w="3721"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项目</w:t>
            </w:r>
          </w:p>
        </w:tc>
        <w:tc>
          <w:tcPr>
            <w:tcW w:w="1059"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2020</w:t>
            </w:r>
            <w:r>
              <w:rPr>
                <w:rFonts w:hAnsi="宋体" w:cs="Times New Roman"/>
                <w:color w:val="000000"/>
              </w:rPr>
              <w:t>年</w:t>
            </w:r>
          </w:p>
        </w:tc>
        <w:tc>
          <w:tcPr>
            <w:tcW w:w="998"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增长率</w:t>
            </w:r>
          </w:p>
        </w:tc>
        <w:tc>
          <w:tcPr>
            <w:tcW w:w="2465"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设计水平年</w:t>
            </w:r>
            <w:r>
              <w:rPr>
                <w:rFonts w:cs="Times New Roman"/>
                <w:color w:val="000000"/>
              </w:rPr>
              <w:t>(2024</w:t>
            </w:r>
            <w:r>
              <w:rPr>
                <w:rFonts w:hAnsi="宋体" w:cs="Times New Roman"/>
                <w:color w:val="000000"/>
              </w:rPr>
              <w:t>年</w:t>
            </w:r>
            <w:r>
              <w:rPr>
                <w:rFonts w:cs="Times New Roman"/>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50"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w:t>
            </w:r>
          </w:p>
        </w:tc>
        <w:tc>
          <w:tcPr>
            <w:tcW w:w="3721" w:type="dxa"/>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农村居民人均可支配收入</w:t>
            </w:r>
          </w:p>
        </w:tc>
        <w:tc>
          <w:tcPr>
            <w:tcW w:w="1059"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13848</w:t>
            </w:r>
          </w:p>
        </w:tc>
        <w:tc>
          <w:tcPr>
            <w:tcW w:w="99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9.59%</w:t>
            </w:r>
          </w:p>
        </w:tc>
        <w:tc>
          <w:tcPr>
            <w:tcW w:w="246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18226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50"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w:t>
            </w:r>
          </w:p>
        </w:tc>
        <w:tc>
          <w:tcPr>
            <w:tcW w:w="3721" w:type="dxa"/>
            <w:vAlign w:val="center"/>
          </w:tcPr>
          <w:p>
            <w:pPr>
              <w:widowControl/>
              <w:adjustRightInd w:val="0"/>
              <w:snapToGrid w:val="0"/>
              <w:jc w:val="center"/>
              <w:textAlignment w:val="center"/>
              <w:rPr>
                <w:rFonts w:hAnsi="宋体" w:cs="Times New Roman"/>
                <w:color w:val="000000"/>
                <w:kern w:val="0"/>
                <w:lang w:bidi="ar"/>
              </w:rPr>
            </w:pPr>
            <w:r>
              <w:rPr>
                <w:rFonts w:hAnsi="宋体" w:cs="Times New Roman"/>
                <w:color w:val="000000"/>
                <w:kern w:val="0"/>
                <w:lang w:bidi="ar"/>
              </w:rPr>
              <w:t>从生产安置项目中应获得的收入</w:t>
            </w:r>
          </w:p>
        </w:tc>
        <w:tc>
          <w:tcPr>
            <w:tcW w:w="1059"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2019</w:t>
            </w:r>
          </w:p>
        </w:tc>
        <w:tc>
          <w:tcPr>
            <w:tcW w:w="998"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9.59%</w:t>
            </w:r>
          </w:p>
        </w:tc>
        <w:tc>
          <w:tcPr>
            <w:tcW w:w="2465" w:type="dxa"/>
            <w:vAlign w:val="center"/>
          </w:tcPr>
          <w:p>
            <w:pPr>
              <w:widowControl/>
              <w:adjustRightInd w:val="0"/>
              <w:snapToGrid w:val="0"/>
              <w:jc w:val="center"/>
              <w:textAlignment w:val="center"/>
              <w:rPr>
                <w:rFonts w:cs="Times New Roman"/>
                <w:color w:val="000000"/>
              </w:rPr>
            </w:pPr>
            <w:r>
              <w:rPr>
                <w:rFonts w:cs="Times New Roman"/>
                <w:color w:val="000000"/>
                <w:kern w:val="0"/>
                <w:lang w:bidi="ar"/>
              </w:rPr>
              <w:t>2657</w:t>
            </w:r>
          </w:p>
        </w:tc>
      </w:tr>
    </w:tbl>
    <w:p>
      <w:pPr>
        <w:pStyle w:val="5"/>
      </w:pPr>
      <w:r>
        <w:rPr>
          <w:rFonts w:hint="eastAsia"/>
        </w:rPr>
        <w:t>5</w:t>
      </w:r>
      <w:r>
        <w:t>.2.1.2  生产生活条件目标</w:t>
      </w:r>
    </w:p>
    <w:p>
      <w:pPr>
        <w:adjustRightInd w:val="0"/>
        <w:spacing w:line="480" w:lineRule="exact"/>
        <w:ind w:firstLine="480" w:firstLineChars="200"/>
        <w:rPr>
          <w:rFonts w:hAnsi="宋体"/>
          <w:bCs/>
          <w:sz w:val="24"/>
        </w:rPr>
      </w:pPr>
      <w:r>
        <w:rPr>
          <w:rFonts w:hint="eastAsia" w:hAnsi="宋体"/>
          <w:bCs/>
          <w:sz w:val="24"/>
        </w:rPr>
        <w:t>本工程建设征地不涉及搬迁安置人口，不影响当地群众居住条件。建设征地后，移民的生产安置方式主要是一次性货币补偿安置，目标达到确保移民在生产资料下降的条件下，仍然能够获得不低于原有生产资料产出的农业生产收入水平。</w:t>
      </w:r>
    </w:p>
    <w:p>
      <w:pPr>
        <w:pStyle w:val="4"/>
      </w:pPr>
      <w:bookmarkStart w:id="183" w:name="_Toc85632462"/>
      <w:bookmarkStart w:id="184" w:name="_Toc85660230"/>
      <w:bookmarkStart w:id="185" w:name="_Toc85487703"/>
      <w:r>
        <w:rPr>
          <w:rFonts w:hint="eastAsia"/>
        </w:rPr>
        <w:t>5</w:t>
      </w:r>
      <w:r>
        <w:t>.2.2  农村移民</w:t>
      </w:r>
      <w:r>
        <w:rPr>
          <w:rFonts w:hint="eastAsia"/>
        </w:rPr>
        <w:t>生产</w:t>
      </w:r>
      <w:r>
        <w:t>安置标准</w:t>
      </w:r>
      <w:bookmarkEnd w:id="183"/>
      <w:bookmarkEnd w:id="184"/>
      <w:bookmarkEnd w:id="185"/>
    </w:p>
    <w:p>
      <w:pPr>
        <w:adjustRightInd w:val="0"/>
        <w:spacing w:line="480" w:lineRule="exact"/>
        <w:ind w:firstLine="480" w:firstLineChars="200"/>
        <w:rPr>
          <w:kern w:val="0"/>
          <w:sz w:val="24"/>
          <w:u w:val="single"/>
        </w:rPr>
      </w:pPr>
      <w:r>
        <w:rPr>
          <w:rFonts w:hint="eastAsia" w:hAnsi="宋体"/>
          <w:kern w:val="0"/>
          <w:sz w:val="24"/>
        </w:rPr>
        <w:t>2021年10月以来，中南院会同地方政府、陆蓄公司就生产安置方式、安置标准进行了多次会议讨论。</w:t>
      </w:r>
      <w:r>
        <w:rPr>
          <w:rFonts w:hAnsi="宋体"/>
          <w:kern w:val="0"/>
          <w:sz w:val="24"/>
        </w:rPr>
        <w:t>通过对建设征地区经济社会资料、土地详查资料、配套基础设施等控制性条件进行综合分析，参与各方对具备条件的安置范围进行了现场查勘、仔细研究，反复论证，</w:t>
      </w:r>
      <w:r>
        <w:rPr>
          <w:rFonts w:hint="eastAsia" w:hAnsi="宋体"/>
          <w:kern w:val="0"/>
          <w:sz w:val="24"/>
        </w:rPr>
        <w:t>确定无农业安置条件，确定生产安置备选方式包括一次性货币补偿安置、自谋职业安置、长效实物补偿安置、产业项目安置。经</w:t>
      </w:r>
      <w:r>
        <w:rPr>
          <w:rFonts w:hAnsi="宋体"/>
          <w:kern w:val="0"/>
          <w:sz w:val="24"/>
        </w:rPr>
        <w:t>充分征求移民意愿，落实了移民安置去向，最终确定采用一次性货币补偿安置的生产安置方案。</w:t>
      </w:r>
    </w:p>
    <w:p>
      <w:pPr>
        <w:adjustRightInd w:val="0"/>
        <w:spacing w:line="480" w:lineRule="exact"/>
        <w:ind w:firstLine="480" w:firstLineChars="200"/>
        <w:rPr>
          <w:sz w:val="24"/>
        </w:rPr>
      </w:pPr>
      <w:r>
        <w:rPr>
          <w:rFonts w:hAnsi="宋体"/>
          <w:sz w:val="24"/>
        </w:rPr>
        <w:t>根据《国务院关于修改〈大中型水利水电工程建设征地补偿和移民安置条例〉的决定》</w:t>
      </w:r>
      <w:r>
        <w:rPr>
          <w:sz w:val="24"/>
        </w:rPr>
        <w:t>(</w:t>
      </w:r>
      <w:r>
        <w:rPr>
          <w:rFonts w:hAnsi="宋体"/>
          <w:sz w:val="24"/>
        </w:rPr>
        <w:t>国务院令第</w:t>
      </w:r>
      <w:r>
        <w:rPr>
          <w:sz w:val="24"/>
        </w:rPr>
        <w:t>679</w:t>
      </w:r>
      <w:r>
        <w:rPr>
          <w:rFonts w:hAnsi="宋体"/>
          <w:sz w:val="24"/>
        </w:rPr>
        <w:t>号</w:t>
      </w:r>
      <w:r>
        <w:rPr>
          <w:sz w:val="24"/>
        </w:rPr>
        <w:t>)</w:t>
      </w:r>
      <w:r>
        <w:rPr>
          <w:rFonts w:hAnsi="宋体"/>
          <w:sz w:val="24"/>
        </w:rPr>
        <w:t>中关于</w:t>
      </w:r>
      <w:r>
        <w:rPr>
          <w:rFonts w:hint="eastAsia"/>
          <w:sz w:val="24"/>
        </w:rPr>
        <w:t>“</w:t>
      </w:r>
      <w:r>
        <w:rPr>
          <w:rFonts w:hAnsi="宋体"/>
          <w:sz w:val="24"/>
        </w:rPr>
        <w:t>国家实行开发性移民方针，采取前期补偿、补助与后期扶持相结合的办法，使移民生活达到或者超过原有水平</w:t>
      </w:r>
      <w:r>
        <w:rPr>
          <w:rFonts w:hint="eastAsia"/>
          <w:sz w:val="24"/>
        </w:rPr>
        <w:t>”</w:t>
      </w:r>
      <w:r>
        <w:rPr>
          <w:rFonts w:hAnsi="宋体"/>
          <w:sz w:val="24"/>
        </w:rPr>
        <w:t>的原则，</w:t>
      </w:r>
      <w:r>
        <w:rPr>
          <w:rFonts w:hint="eastAsia" w:hAnsi="宋体"/>
          <w:sz w:val="24"/>
        </w:rPr>
        <w:t>对一次性货币补偿安置方式</w:t>
      </w:r>
      <w:r>
        <w:rPr>
          <w:rFonts w:hAnsi="宋体"/>
          <w:sz w:val="24"/>
        </w:rPr>
        <w:t>拟定生产安置标准。</w:t>
      </w:r>
    </w:p>
    <w:p>
      <w:pPr>
        <w:adjustRightInd w:val="0"/>
        <w:spacing w:line="480" w:lineRule="exact"/>
        <w:ind w:firstLine="480" w:firstLineChars="200"/>
        <w:rPr>
          <w:sz w:val="24"/>
        </w:rPr>
      </w:pPr>
      <w:r>
        <w:rPr>
          <w:rFonts w:hAnsi="宋体"/>
          <w:sz w:val="24"/>
        </w:rPr>
        <w:t>一次性货币补偿安置指的是，对于符合相应条件的村民小组，可采用将相应的土地补偿费和安置补助费发放到组集体由组内成员共同决定处理的安置方式。</w:t>
      </w:r>
    </w:p>
    <w:p>
      <w:pPr>
        <w:pStyle w:val="183"/>
        <w:adjustRightInd w:val="0"/>
        <w:spacing w:line="480" w:lineRule="exact"/>
        <w:ind w:firstLine="480" w:firstLineChars="200"/>
        <w:rPr>
          <w:rFonts w:hAnsi="宋体"/>
        </w:rPr>
      </w:pPr>
      <w:r>
        <w:rPr>
          <w:rFonts w:hAnsi="宋体"/>
        </w:rPr>
        <w:t>对选择</w:t>
      </w:r>
      <w:r>
        <w:rPr>
          <w:rFonts w:hint="eastAsia" w:hAnsi="宋体"/>
        </w:rPr>
        <w:t>一次性货币补偿</w:t>
      </w:r>
      <w:r>
        <w:rPr>
          <w:rFonts w:hAnsi="宋体"/>
        </w:rPr>
        <w:t>安置方式的移民，由村民小组提出书面申请，经村民委员会签署意见，与所在地乡镇人民政府签订补偿安置协议，生产安置补偿标准按本村组受影响征地补偿费确定。本项目征地补偿单价执行</w:t>
      </w:r>
      <w:r>
        <w:rPr>
          <w:rFonts w:hint="eastAsia" w:hAnsi="宋体"/>
        </w:rPr>
        <w:t>《</w:t>
      </w:r>
      <w:r>
        <w:rPr>
          <w:rFonts w:hint="eastAsia"/>
        </w:rPr>
        <w:t>汕尾市人民政府关于公布实施征收农用地区片综合地价的公告》(2021年2月10日)</w:t>
      </w:r>
      <w:r>
        <w:rPr>
          <w:rFonts w:hAnsi="宋体"/>
        </w:rPr>
        <w:t>文件标准。</w:t>
      </w:r>
    </w:p>
    <w:p>
      <w:pPr>
        <w:pStyle w:val="4"/>
      </w:pPr>
      <w:r>
        <w:rPr>
          <w:rFonts w:hint="eastAsia"/>
        </w:rPr>
        <w:t>5</w:t>
      </w:r>
      <w:r>
        <w:t xml:space="preserve">.2.3  </w:t>
      </w:r>
      <w:r>
        <w:rPr>
          <w:rFonts w:hint="eastAsia"/>
        </w:rPr>
        <w:t>农村小型</w:t>
      </w:r>
      <w:r>
        <w:t>专项</w:t>
      </w:r>
      <w:r>
        <w:rPr>
          <w:rFonts w:hint="eastAsia"/>
        </w:rPr>
        <w:t>处理</w:t>
      </w:r>
      <w:r>
        <w:t>标准</w:t>
      </w:r>
    </w:p>
    <w:p>
      <w:pPr>
        <w:pStyle w:val="183"/>
        <w:adjustRightInd w:val="0"/>
        <w:spacing w:line="480" w:lineRule="exact"/>
        <w:ind w:firstLine="480" w:firstLineChars="200"/>
        <w:rPr>
          <w:rFonts w:hAnsi="宋体"/>
        </w:rPr>
      </w:pPr>
      <w:r>
        <w:rPr>
          <w:rFonts w:hint="eastAsia" w:hAnsi="宋体"/>
        </w:rPr>
        <w:t>陆河抽水蓄能电站建设征地淹没占用影响的拦水堰共</w:t>
      </w:r>
      <w:r>
        <w:rPr>
          <w:rFonts w:hAnsi="宋体"/>
        </w:rPr>
        <w:t>368</w:t>
      </w:r>
      <w:r>
        <w:rPr>
          <w:rFonts w:hint="eastAsia" w:hAnsi="宋体"/>
        </w:rPr>
        <w:t>m长，灌溉渠道共</w:t>
      </w:r>
      <w:r>
        <w:rPr>
          <w:rFonts w:hAnsi="宋体"/>
        </w:rPr>
        <w:t>15900</w:t>
      </w:r>
      <w:r>
        <w:rPr>
          <w:rFonts w:hint="eastAsia" w:hAnsi="宋体"/>
        </w:rPr>
        <w:t>m。电站征地后，上述剩余水利设施已失去原有功能，不再进行恢复，本次对上述受影响的小型拦水堰和灌溉渠道采取一次性货币补偿处理。</w:t>
      </w:r>
    </w:p>
    <w:p>
      <w:pPr>
        <w:pStyle w:val="4"/>
      </w:pPr>
      <w:r>
        <w:rPr>
          <w:rFonts w:hint="eastAsia"/>
        </w:rPr>
        <w:t>5</w:t>
      </w:r>
      <w:r>
        <w:t>.2.</w:t>
      </w:r>
      <w:r>
        <w:rPr>
          <w:rFonts w:hint="eastAsia"/>
        </w:rPr>
        <w:t>4</w:t>
      </w:r>
      <w:r>
        <w:t xml:space="preserve">  </w:t>
      </w:r>
      <w:r>
        <w:rPr>
          <w:rFonts w:hint="eastAsia"/>
        </w:rPr>
        <w:t>个体工商户处理</w:t>
      </w:r>
      <w:r>
        <w:t xml:space="preserve">标准 </w:t>
      </w:r>
    </w:p>
    <w:p>
      <w:pPr>
        <w:adjustRightInd w:val="0"/>
        <w:spacing w:line="480" w:lineRule="exact"/>
        <w:ind w:firstLine="480" w:firstLineChars="200"/>
        <w:rPr>
          <w:sz w:val="24"/>
        </w:rPr>
      </w:pPr>
      <w:r>
        <w:rPr>
          <w:rFonts w:hAnsi="宋体"/>
          <w:sz w:val="24"/>
        </w:rPr>
        <w:t>经征求权属人和地方政府、行业主管部门意见，拟对涉及个体工商户规划</w:t>
      </w:r>
      <w:r>
        <w:rPr>
          <w:rFonts w:hint="eastAsia" w:hAnsi="宋体"/>
          <w:sz w:val="24"/>
        </w:rPr>
        <w:t>采用货币补偿后</w:t>
      </w:r>
      <w:r>
        <w:rPr>
          <w:rFonts w:hAnsi="宋体"/>
          <w:sz w:val="24"/>
        </w:rPr>
        <w:t>自行迁建的处理方案。</w:t>
      </w:r>
    </w:p>
    <w:p>
      <w:pPr>
        <w:pStyle w:val="4"/>
        <w:rPr>
          <w:rFonts w:cs="Times New Roman"/>
        </w:rPr>
      </w:pPr>
      <w:bookmarkStart w:id="186" w:name="_Toc85632463"/>
      <w:bookmarkStart w:id="187" w:name="_Toc85660231"/>
      <w:bookmarkStart w:id="188" w:name="_Toc85487704"/>
      <w:r>
        <w:rPr>
          <w:rFonts w:hint="eastAsia" w:cs="Times New Roman"/>
        </w:rPr>
        <w:t>5.2.5  专项复建标准</w:t>
      </w:r>
      <w:bookmarkEnd w:id="186"/>
      <w:bookmarkEnd w:id="187"/>
      <w:bookmarkEnd w:id="188"/>
    </w:p>
    <w:p>
      <w:pPr>
        <w:pStyle w:val="5"/>
      </w:pPr>
      <w:r>
        <w:rPr>
          <w:rFonts w:hint="eastAsia"/>
        </w:rPr>
        <w:t>5</w:t>
      </w:r>
      <w:r>
        <w:t>.2.</w:t>
      </w:r>
      <w:r>
        <w:rPr>
          <w:rFonts w:hint="eastAsia"/>
        </w:rPr>
        <w:t>5</w:t>
      </w:r>
      <w:r>
        <w:t>.</w:t>
      </w:r>
      <w:r>
        <w:rPr>
          <w:rFonts w:hint="eastAsia"/>
        </w:rPr>
        <w:t>1</w:t>
      </w:r>
      <w:r>
        <w:t xml:space="preserve">  交通工程</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根据各受影响交通设施的现有规模及标准，按“三原”原则且不低于现行标准下限进行规划复建。本项目交通复建工程道路等级为四级公路（</w:t>
      </w:r>
      <w:r>
        <w:rPr>
          <w:rFonts w:hint="eastAsia" w:hAnsi="Times New Roman" w:cs="Times New Roman"/>
          <w:sz w:val="24"/>
        </w:rPr>
        <w:t>Ⅱ</w:t>
      </w:r>
      <w:r>
        <w:rPr>
          <w:rFonts w:hint="eastAsia" w:hAnsi="宋体" w:cs="Times New Roman"/>
          <w:sz w:val="24"/>
        </w:rPr>
        <w:t>类），其技术标准参照《水电工程建设征地移民安置专业项目规划设计规范》(NB/T 10801-2021)、《小交通量农村公路工程技术标椎》(JTG</w:t>
      </w:r>
      <w:r>
        <w:rPr>
          <w:rFonts w:hAnsi="宋体" w:cs="Times New Roman"/>
          <w:sz w:val="24"/>
        </w:rPr>
        <w:t xml:space="preserve"> </w:t>
      </w:r>
      <w:r>
        <w:rPr>
          <w:rFonts w:hint="eastAsia" w:hAnsi="宋体" w:cs="Times New Roman"/>
          <w:sz w:val="24"/>
        </w:rPr>
        <w:t>2111-2019)，复建道路主要技术指标见表5.2.5-1。</w:t>
      </w:r>
    </w:p>
    <w:p>
      <w:pPr>
        <w:pStyle w:val="323"/>
        <w:jc w:val="center"/>
        <w:rPr>
          <w:rFonts w:cs="Times New Roman"/>
        </w:rPr>
      </w:pPr>
      <w:r>
        <w:rPr>
          <w:rFonts w:cs="Times New Roman"/>
        </w:rPr>
        <w:t>表5.</w:t>
      </w:r>
      <w:r>
        <w:rPr>
          <w:rFonts w:hint="eastAsia" w:cs="Times New Roman"/>
        </w:rPr>
        <w:t>2.5</w:t>
      </w:r>
      <w:r>
        <w:rPr>
          <w:rFonts w:cs="Times New Roman"/>
        </w:rPr>
        <w:t>-</w:t>
      </w:r>
      <w:r>
        <w:rPr>
          <w:rFonts w:hint="eastAsia" w:cs="Times New Roman"/>
        </w:rPr>
        <w:t>1</w:t>
      </w:r>
      <w:r>
        <w:rPr>
          <w:rFonts w:cs="Times New Roman"/>
        </w:rPr>
        <w:t xml:space="preserve">  复建道路技术指标表</w:t>
      </w:r>
    </w:p>
    <w:tbl>
      <w:tblPr>
        <w:tblStyle w:val="79"/>
        <w:tblW w:w="868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28" w:type="dxa"/>
        </w:tblCellMar>
      </w:tblPr>
      <w:tblGrid>
        <w:gridCol w:w="2288"/>
        <w:gridCol w:w="2630"/>
        <w:gridCol w:w="37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4918" w:type="dxa"/>
            <w:gridSpan w:val="2"/>
            <w:vAlign w:val="center"/>
          </w:tcPr>
          <w:p>
            <w:pPr>
              <w:adjustRightInd w:val="0"/>
              <w:snapToGrid w:val="0"/>
              <w:jc w:val="center"/>
              <w:textAlignment w:val="baseline"/>
              <w:rPr>
                <w:rFonts w:cs="Times New Roman"/>
                <w:kern w:val="0"/>
              </w:rPr>
            </w:pPr>
            <w:r>
              <w:rPr>
                <w:rFonts w:hAnsi="宋体" w:cs="Times New Roman"/>
                <w:kern w:val="0"/>
              </w:rPr>
              <w:t>项</w:t>
            </w:r>
            <w:r>
              <w:rPr>
                <w:rFonts w:cs="Times New Roman"/>
                <w:kern w:val="0"/>
              </w:rPr>
              <w:t xml:space="preserve">    </w:t>
            </w:r>
            <w:r>
              <w:rPr>
                <w:rFonts w:hAnsi="宋体" w:cs="Times New Roman"/>
                <w:kern w:val="0"/>
              </w:rPr>
              <w:t>目</w:t>
            </w:r>
          </w:p>
        </w:tc>
        <w:tc>
          <w:tcPr>
            <w:tcW w:w="3767" w:type="dxa"/>
            <w:vAlign w:val="center"/>
          </w:tcPr>
          <w:p>
            <w:pPr>
              <w:adjustRightInd w:val="0"/>
              <w:snapToGrid w:val="0"/>
              <w:jc w:val="center"/>
              <w:textAlignment w:val="baseline"/>
              <w:rPr>
                <w:rFonts w:cs="Times New Roman"/>
                <w:kern w:val="0"/>
              </w:rPr>
            </w:pPr>
            <w:r>
              <w:rPr>
                <w:rFonts w:hAnsi="宋体" w:cs="Times New Roman"/>
                <w:kern w:val="0"/>
              </w:rPr>
              <w:t>四级公路</w:t>
            </w:r>
            <w:r>
              <w:rPr>
                <w:rFonts w:cs="Times New Roman"/>
                <w:kern w:val="0"/>
              </w:rPr>
              <w:t>(Ⅱ</w:t>
            </w:r>
            <w:r>
              <w:rPr>
                <w:rFonts w:hAnsi="宋体" w:cs="Times New Roman"/>
                <w:kern w:val="0"/>
              </w:rPr>
              <w:t>类</w:t>
            </w:r>
            <w:r>
              <w:rPr>
                <w:rFonts w:cs="Times New Roman"/>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4918" w:type="dxa"/>
            <w:gridSpan w:val="2"/>
            <w:vAlign w:val="center"/>
          </w:tcPr>
          <w:p>
            <w:pPr>
              <w:adjustRightInd w:val="0"/>
              <w:snapToGrid w:val="0"/>
              <w:jc w:val="center"/>
              <w:textAlignment w:val="baseline"/>
              <w:rPr>
                <w:rFonts w:cs="Times New Roman"/>
                <w:kern w:val="0"/>
              </w:rPr>
            </w:pPr>
            <w:r>
              <w:rPr>
                <w:rFonts w:hAnsi="宋体" w:cs="Times New Roman"/>
                <w:kern w:val="0"/>
              </w:rPr>
              <w:t>设计速度</w:t>
            </w:r>
            <w:r>
              <w:rPr>
                <w:rFonts w:cs="Times New Roman"/>
                <w:kern w:val="0"/>
              </w:rPr>
              <w:t>(km/h)</w:t>
            </w:r>
          </w:p>
        </w:tc>
        <w:tc>
          <w:tcPr>
            <w:tcW w:w="3767" w:type="dxa"/>
            <w:vAlign w:val="center"/>
          </w:tcPr>
          <w:p>
            <w:pPr>
              <w:adjustRightInd w:val="0"/>
              <w:snapToGrid w:val="0"/>
              <w:jc w:val="center"/>
              <w:textAlignment w:val="baseline"/>
              <w:rPr>
                <w:rFonts w:cs="Times New Roman"/>
                <w:kern w:val="0"/>
              </w:rPr>
            </w:pPr>
            <w:r>
              <w:rPr>
                <w:rFonts w:cs="Times New Roman"/>
                <w:kern w:val="0"/>
                <w:u w:val="singl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4918" w:type="dxa"/>
            <w:gridSpan w:val="2"/>
            <w:vAlign w:val="center"/>
          </w:tcPr>
          <w:p>
            <w:pPr>
              <w:adjustRightInd w:val="0"/>
              <w:snapToGrid w:val="0"/>
              <w:jc w:val="center"/>
              <w:textAlignment w:val="baseline"/>
              <w:rPr>
                <w:rFonts w:cs="Times New Roman"/>
                <w:kern w:val="0"/>
              </w:rPr>
            </w:pPr>
            <w:r>
              <w:rPr>
                <w:rFonts w:hAnsi="宋体" w:cs="Times New Roman"/>
                <w:kern w:val="0"/>
              </w:rPr>
              <w:t>极限最小平曲线半径</w:t>
            </w:r>
            <w:r>
              <w:rPr>
                <w:rFonts w:cs="Times New Roman"/>
                <w:kern w:val="0"/>
              </w:rPr>
              <w:t>(m)</w:t>
            </w:r>
          </w:p>
        </w:tc>
        <w:tc>
          <w:tcPr>
            <w:tcW w:w="3767" w:type="dxa"/>
            <w:vAlign w:val="center"/>
          </w:tcPr>
          <w:p>
            <w:pPr>
              <w:adjustRightInd w:val="0"/>
              <w:snapToGrid w:val="0"/>
              <w:jc w:val="center"/>
              <w:textAlignment w:val="baseline"/>
              <w:rPr>
                <w:rFonts w:cs="Times New Roman"/>
                <w:kern w:val="0"/>
              </w:rPr>
            </w:pPr>
            <w:r>
              <w:rPr>
                <w:rFonts w:cs="Times New Roman"/>
                <w:kern w:val="0"/>
              </w:rPr>
              <w:t>12(10)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4918" w:type="dxa"/>
            <w:gridSpan w:val="2"/>
            <w:vAlign w:val="center"/>
          </w:tcPr>
          <w:p>
            <w:pPr>
              <w:adjustRightInd w:val="0"/>
              <w:snapToGrid w:val="0"/>
              <w:jc w:val="center"/>
              <w:textAlignment w:val="baseline"/>
              <w:rPr>
                <w:rFonts w:cs="Times New Roman"/>
                <w:kern w:val="0"/>
              </w:rPr>
            </w:pPr>
            <w:r>
              <w:rPr>
                <w:rFonts w:hAnsi="宋体" w:cs="Times New Roman"/>
                <w:kern w:val="0"/>
              </w:rPr>
              <w:t>最大纵坡</w:t>
            </w:r>
          </w:p>
        </w:tc>
        <w:tc>
          <w:tcPr>
            <w:tcW w:w="3767" w:type="dxa"/>
            <w:vAlign w:val="center"/>
          </w:tcPr>
          <w:p>
            <w:pPr>
              <w:adjustRightInd w:val="0"/>
              <w:snapToGrid w:val="0"/>
              <w:jc w:val="center"/>
              <w:textAlignment w:val="baseline"/>
              <w:rPr>
                <w:rFonts w:cs="Times New Roman"/>
                <w:kern w:val="0"/>
              </w:rPr>
            </w:pPr>
            <w:r>
              <w:rPr>
                <w:rFonts w:cs="Times New Roman"/>
                <w:kern w:val="0"/>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4918" w:type="dxa"/>
            <w:gridSpan w:val="2"/>
            <w:vAlign w:val="center"/>
          </w:tcPr>
          <w:p>
            <w:pPr>
              <w:adjustRightInd w:val="0"/>
              <w:snapToGrid w:val="0"/>
              <w:jc w:val="center"/>
              <w:textAlignment w:val="baseline"/>
              <w:rPr>
                <w:rFonts w:cs="Times New Roman"/>
                <w:kern w:val="0"/>
              </w:rPr>
            </w:pPr>
            <w:r>
              <w:rPr>
                <w:rFonts w:hAnsi="宋体" w:cs="Times New Roman"/>
                <w:kern w:val="0"/>
              </w:rPr>
              <w:t>路面宽</w:t>
            </w:r>
            <w:r>
              <w:rPr>
                <w:rFonts w:cs="Times New Roman"/>
                <w:kern w:val="0"/>
              </w:rPr>
              <w:t>(m)</w:t>
            </w:r>
          </w:p>
        </w:tc>
        <w:tc>
          <w:tcPr>
            <w:tcW w:w="3767" w:type="dxa"/>
            <w:vAlign w:val="center"/>
          </w:tcPr>
          <w:p>
            <w:pPr>
              <w:adjustRightInd w:val="0"/>
              <w:snapToGrid w:val="0"/>
              <w:jc w:val="center"/>
              <w:textAlignment w:val="baseline"/>
              <w:rPr>
                <w:rFonts w:cs="Times New Roman"/>
                <w:kern w:val="0"/>
              </w:rPr>
            </w:pPr>
            <w:r>
              <w:rPr>
                <w:rFonts w:cs="Times New Roman"/>
                <w:kern w:val="0"/>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4918" w:type="dxa"/>
            <w:gridSpan w:val="2"/>
            <w:vAlign w:val="center"/>
          </w:tcPr>
          <w:p>
            <w:pPr>
              <w:adjustRightInd w:val="0"/>
              <w:snapToGrid w:val="0"/>
              <w:jc w:val="center"/>
              <w:textAlignment w:val="baseline"/>
              <w:rPr>
                <w:rFonts w:cs="Times New Roman"/>
                <w:kern w:val="0"/>
              </w:rPr>
            </w:pPr>
            <w:r>
              <w:rPr>
                <w:rFonts w:hAnsi="宋体" w:cs="Times New Roman"/>
                <w:kern w:val="0"/>
              </w:rPr>
              <w:t>路基宽</w:t>
            </w:r>
            <w:r>
              <w:rPr>
                <w:rFonts w:cs="Times New Roman"/>
                <w:kern w:val="0"/>
              </w:rPr>
              <w:t>(m)</w:t>
            </w:r>
          </w:p>
        </w:tc>
        <w:tc>
          <w:tcPr>
            <w:tcW w:w="3767" w:type="dxa"/>
            <w:vAlign w:val="center"/>
          </w:tcPr>
          <w:p>
            <w:pPr>
              <w:adjustRightInd w:val="0"/>
              <w:snapToGrid w:val="0"/>
              <w:jc w:val="center"/>
              <w:textAlignment w:val="baseline"/>
              <w:rPr>
                <w:rFonts w:cs="Times New Roman"/>
                <w:kern w:val="0"/>
              </w:rPr>
            </w:pPr>
            <w:r>
              <w:rPr>
                <w:rFonts w:cs="Times New Roman"/>
                <w:kern w:val="0"/>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2288" w:type="dxa"/>
            <w:vMerge w:val="restart"/>
            <w:vAlign w:val="center"/>
          </w:tcPr>
          <w:p>
            <w:pPr>
              <w:adjustRightInd w:val="0"/>
              <w:snapToGrid w:val="0"/>
              <w:jc w:val="center"/>
              <w:textAlignment w:val="baseline"/>
              <w:rPr>
                <w:rFonts w:cs="Times New Roman"/>
                <w:kern w:val="0"/>
              </w:rPr>
            </w:pPr>
            <w:r>
              <w:rPr>
                <w:rFonts w:hAnsi="宋体" w:cs="Times New Roman"/>
                <w:kern w:val="0"/>
              </w:rPr>
              <w:t>设计洪</w:t>
            </w:r>
          </w:p>
          <w:p>
            <w:pPr>
              <w:adjustRightInd w:val="0"/>
              <w:snapToGrid w:val="0"/>
              <w:jc w:val="center"/>
              <w:textAlignment w:val="baseline"/>
              <w:rPr>
                <w:rFonts w:cs="Times New Roman"/>
                <w:kern w:val="0"/>
              </w:rPr>
            </w:pPr>
            <w:r>
              <w:rPr>
                <w:rFonts w:hAnsi="宋体" w:cs="Times New Roman"/>
                <w:kern w:val="0"/>
              </w:rPr>
              <w:t>水频率</w:t>
            </w:r>
          </w:p>
        </w:tc>
        <w:tc>
          <w:tcPr>
            <w:tcW w:w="2630" w:type="dxa"/>
            <w:vAlign w:val="center"/>
          </w:tcPr>
          <w:p>
            <w:pPr>
              <w:adjustRightInd w:val="0"/>
              <w:snapToGrid w:val="0"/>
              <w:jc w:val="center"/>
              <w:textAlignment w:val="baseline"/>
              <w:rPr>
                <w:rFonts w:cs="Times New Roman"/>
                <w:kern w:val="0"/>
              </w:rPr>
            </w:pPr>
            <w:r>
              <w:rPr>
                <w:rFonts w:hAnsi="宋体" w:cs="Times New Roman"/>
                <w:kern w:val="0"/>
              </w:rPr>
              <w:t>路基</w:t>
            </w:r>
          </w:p>
        </w:tc>
        <w:tc>
          <w:tcPr>
            <w:tcW w:w="3767" w:type="dxa"/>
            <w:vAlign w:val="center"/>
          </w:tcPr>
          <w:p>
            <w:pPr>
              <w:adjustRightInd w:val="0"/>
              <w:snapToGrid w:val="0"/>
              <w:jc w:val="center"/>
              <w:textAlignment w:val="baseline"/>
              <w:rPr>
                <w:rFonts w:cs="Times New Roman"/>
                <w:kern w:val="0"/>
              </w:rPr>
            </w:pPr>
            <w:r>
              <w:rPr>
                <w:rFonts w:cs="Times New Roman"/>
                <w:kern w:val="0"/>
              </w:rPr>
              <w:t>1/15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2288" w:type="dxa"/>
            <w:vMerge w:val="continue"/>
            <w:vAlign w:val="center"/>
          </w:tcPr>
          <w:p>
            <w:pPr>
              <w:adjustRightInd w:val="0"/>
              <w:snapToGrid w:val="0"/>
              <w:jc w:val="center"/>
              <w:textAlignment w:val="baseline"/>
              <w:rPr>
                <w:rFonts w:cs="Times New Roman"/>
                <w:kern w:val="0"/>
              </w:rPr>
            </w:pPr>
          </w:p>
        </w:tc>
        <w:tc>
          <w:tcPr>
            <w:tcW w:w="2630" w:type="dxa"/>
            <w:vAlign w:val="center"/>
          </w:tcPr>
          <w:p>
            <w:pPr>
              <w:adjustRightInd w:val="0"/>
              <w:snapToGrid w:val="0"/>
              <w:jc w:val="center"/>
              <w:textAlignment w:val="baseline"/>
              <w:rPr>
                <w:rFonts w:cs="Times New Roman"/>
                <w:kern w:val="0"/>
              </w:rPr>
            </w:pPr>
            <w:r>
              <w:rPr>
                <w:rFonts w:hAnsi="宋体" w:cs="Times New Roman"/>
                <w:kern w:val="0"/>
              </w:rPr>
              <w:t>桥涵</w:t>
            </w:r>
          </w:p>
        </w:tc>
        <w:tc>
          <w:tcPr>
            <w:tcW w:w="3767" w:type="dxa"/>
            <w:vAlign w:val="center"/>
          </w:tcPr>
          <w:p>
            <w:pPr>
              <w:adjustRightInd w:val="0"/>
              <w:snapToGrid w:val="0"/>
              <w:jc w:val="center"/>
              <w:textAlignment w:val="baseline"/>
              <w:rPr>
                <w:rFonts w:cs="Times New Roman"/>
                <w:kern w:val="0"/>
              </w:rPr>
            </w:pPr>
            <w:r>
              <w:rPr>
                <w:rFonts w:hAnsi="宋体" w:cs="Times New Roman"/>
                <w:kern w:val="0"/>
              </w:rPr>
              <w:t>大中桥</w:t>
            </w:r>
            <w:r>
              <w:rPr>
                <w:rFonts w:cs="Times New Roman"/>
                <w:kern w:val="0"/>
              </w:rPr>
              <w:t>1/50</w:t>
            </w:r>
            <w:r>
              <w:rPr>
                <w:rFonts w:hAnsi="宋体" w:cs="Times New Roman"/>
                <w:kern w:val="0"/>
              </w:rPr>
              <w:t>，小桥</w:t>
            </w:r>
            <w:r>
              <w:rPr>
                <w:rFonts w:cs="Times New Roman"/>
                <w:kern w:val="0"/>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28" w:type="dxa"/>
          </w:tblCellMar>
        </w:tblPrEx>
        <w:trPr>
          <w:trHeight w:val="482" w:hRule="atLeast"/>
          <w:jc w:val="center"/>
        </w:trPr>
        <w:tc>
          <w:tcPr>
            <w:tcW w:w="4918" w:type="dxa"/>
            <w:gridSpan w:val="2"/>
            <w:vAlign w:val="center"/>
          </w:tcPr>
          <w:p>
            <w:pPr>
              <w:adjustRightInd w:val="0"/>
              <w:snapToGrid w:val="0"/>
              <w:jc w:val="center"/>
              <w:textAlignment w:val="baseline"/>
              <w:rPr>
                <w:rFonts w:cs="Times New Roman"/>
                <w:kern w:val="0"/>
              </w:rPr>
            </w:pPr>
            <w:r>
              <w:rPr>
                <w:rFonts w:hAnsi="宋体" w:cs="Times New Roman"/>
                <w:kern w:val="0"/>
              </w:rPr>
              <w:t>路面结构</w:t>
            </w:r>
          </w:p>
        </w:tc>
        <w:tc>
          <w:tcPr>
            <w:tcW w:w="3767" w:type="dxa"/>
            <w:vAlign w:val="center"/>
          </w:tcPr>
          <w:p>
            <w:pPr>
              <w:adjustRightInd w:val="0"/>
              <w:snapToGrid w:val="0"/>
              <w:jc w:val="center"/>
              <w:textAlignment w:val="baseline"/>
              <w:rPr>
                <w:rFonts w:cs="Times New Roman"/>
                <w:kern w:val="0"/>
              </w:rPr>
            </w:pPr>
            <w:r>
              <w:rPr>
                <w:rFonts w:hAnsi="宋体" w:cs="Times New Roman"/>
                <w:kern w:val="0"/>
              </w:rPr>
              <w:t>水泥混凝土</w:t>
            </w:r>
          </w:p>
        </w:tc>
      </w:tr>
    </w:tbl>
    <w:p>
      <w:pPr>
        <w:pStyle w:val="5"/>
      </w:pPr>
      <w:r>
        <w:rPr>
          <w:rFonts w:hint="eastAsia"/>
        </w:rPr>
        <w:t>5</w:t>
      </w:r>
      <w:r>
        <w:t>.2.</w:t>
      </w:r>
      <w:r>
        <w:rPr>
          <w:rFonts w:hint="eastAsia"/>
        </w:rPr>
        <w:t>5</w:t>
      </w:r>
      <w:r>
        <w:t>.</w:t>
      </w:r>
      <w:r>
        <w:rPr>
          <w:rFonts w:hint="eastAsia"/>
        </w:rPr>
        <w:t>2</w:t>
      </w:r>
      <w:r>
        <w:t xml:space="preserve">  电力工程</w:t>
      </w:r>
    </w:p>
    <w:p>
      <w:pPr>
        <w:adjustRightInd w:val="0"/>
        <w:spacing w:line="480" w:lineRule="exact"/>
        <w:ind w:firstLine="480" w:firstLineChars="200"/>
        <w:rPr>
          <w:rFonts w:ascii="Tahoma" w:hAnsi="Tahoma" w:cs="Tahoma"/>
          <w:sz w:val="24"/>
        </w:rPr>
      </w:pPr>
      <w:r>
        <w:rPr>
          <w:rFonts w:hint="eastAsia" w:hAnsi="宋体"/>
          <w:snapToGrid w:val="0"/>
          <w:kern w:val="0"/>
          <w:sz w:val="24"/>
        </w:rPr>
        <w:t>对于建设征地影响的电力设施，根据受影响的电力设施规模和标准，按</w:t>
      </w:r>
      <w:r>
        <w:rPr>
          <w:rFonts w:hAnsi="宋体"/>
          <w:sz w:val="24"/>
        </w:rPr>
        <w:t>原规模、原标准、恢复原功能的</w:t>
      </w:r>
      <w:r>
        <w:rPr>
          <w:rFonts w:hint="eastAsia" w:hAnsi="宋体"/>
          <w:sz w:val="24"/>
        </w:rPr>
        <w:t>三原</w:t>
      </w:r>
      <w:r>
        <w:rPr>
          <w:rFonts w:hint="eastAsia" w:hAnsi="宋体"/>
          <w:snapToGrid w:val="0"/>
          <w:kern w:val="0"/>
          <w:sz w:val="24"/>
        </w:rPr>
        <w:t>原则且不低于现行标准下限对其进行规划复建，当复建的线路当通过人口聚集区、林区时，则选择架空绝缘铝导线；导体截面根据受影响的导线截面，同时参照机械强度、电压损失等进行校核；对于已经停运或失去功能的电力设施，原则上不予复建。</w:t>
      </w:r>
    </w:p>
    <w:p>
      <w:pPr>
        <w:pStyle w:val="5"/>
      </w:pPr>
      <w:r>
        <w:rPr>
          <w:rFonts w:hint="eastAsia"/>
        </w:rPr>
        <w:t>5</w:t>
      </w:r>
      <w:r>
        <w:t>.2.</w:t>
      </w:r>
      <w:r>
        <w:rPr>
          <w:rFonts w:hint="eastAsia"/>
        </w:rPr>
        <w:t>5</w:t>
      </w:r>
      <w:r>
        <w:t>.</w:t>
      </w:r>
      <w:r>
        <w:rPr>
          <w:rFonts w:hint="eastAsia"/>
        </w:rPr>
        <w:t>3</w:t>
      </w:r>
      <w:r>
        <w:t xml:space="preserve">  通信工程</w:t>
      </w:r>
    </w:p>
    <w:p>
      <w:pPr>
        <w:adjustRightInd w:val="0"/>
        <w:spacing w:line="480" w:lineRule="exact"/>
        <w:ind w:firstLine="488" w:firstLineChars="200"/>
        <w:rPr>
          <w:snapToGrid w:val="0"/>
          <w:spacing w:val="2"/>
          <w:kern w:val="0"/>
          <w:sz w:val="24"/>
          <w:szCs w:val="24"/>
        </w:rPr>
      </w:pPr>
      <w:r>
        <w:rPr>
          <w:rFonts w:hint="eastAsia" w:hAnsi="宋体"/>
          <w:snapToGrid w:val="0"/>
          <w:spacing w:val="2"/>
          <w:kern w:val="0"/>
          <w:sz w:val="24"/>
          <w:szCs w:val="24"/>
        </w:rPr>
        <w:t>对于建设征地影响的通信设施，根据受影响的电力设施规模和标准，按</w:t>
      </w:r>
      <w:r>
        <w:rPr>
          <w:rFonts w:hAnsi="宋体"/>
          <w:spacing w:val="2"/>
          <w:sz w:val="24"/>
          <w:szCs w:val="24"/>
        </w:rPr>
        <w:t>原规模、原标准</w:t>
      </w:r>
      <w:r>
        <w:rPr>
          <w:rFonts w:hint="eastAsia" w:hAnsi="宋体"/>
          <w:spacing w:val="2"/>
          <w:sz w:val="24"/>
          <w:szCs w:val="24"/>
        </w:rPr>
        <w:t>、</w:t>
      </w:r>
      <w:r>
        <w:rPr>
          <w:rFonts w:hAnsi="宋体"/>
          <w:spacing w:val="2"/>
          <w:sz w:val="24"/>
          <w:szCs w:val="24"/>
        </w:rPr>
        <w:t>恢复原功能的</w:t>
      </w:r>
      <w:r>
        <w:rPr>
          <w:rFonts w:hint="eastAsia" w:hAnsi="宋体"/>
          <w:spacing w:val="2"/>
          <w:sz w:val="24"/>
          <w:szCs w:val="24"/>
        </w:rPr>
        <w:t>三原</w:t>
      </w:r>
      <w:r>
        <w:rPr>
          <w:rFonts w:hint="eastAsia" w:hAnsi="宋体"/>
          <w:snapToGrid w:val="0"/>
          <w:spacing w:val="2"/>
          <w:kern w:val="0"/>
          <w:sz w:val="24"/>
          <w:szCs w:val="24"/>
        </w:rPr>
        <w:t>原则结合现行规范对其进行规划复建，对于受影响的通信基站，原则上按需复建铁塔基附属的构筑物，对原有设备按照搬迁利旧的原则进行复建。</w:t>
      </w:r>
    </w:p>
    <w:p>
      <w:pPr>
        <w:pStyle w:val="5"/>
      </w:pPr>
      <w:r>
        <w:rPr>
          <w:rFonts w:hint="eastAsia"/>
        </w:rPr>
        <w:t>5</w:t>
      </w:r>
      <w:r>
        <w:t>.2.</w:t>
      </w:r>
      <w:r>
        <w:rPr>
          <w:rFonts w:hint="eastAsia"/>
        </w:rPr>
        <w:t>5</w:t>
      </w:r>
      <w:r>
        <w:t>.</w:t>
      </w:r>
      <w:r>
        <w:rPr>
          <w:rFonts w:hint="eastAsia"/>
        </w:rPr>
        <w:t>4</w:t>
      </w:r>
      <w:r>
        <w:t xml:space="preserve">  水利</w:t>
      </w:r>
      <w:r>
        <w:rPr>
          <w:rFonts w:hint="eastAsia"/>
        </w:rPr>
        <w:t>水电</w:t>
      </w:r>
      <w:r>
        <w:t>工程</w:t>
      </w:r>
    </w:p>
    <w:p>
      <w:pPr>
        <w:spacing w:line="460" w:lineRule="exact"/>
        <w:ind w:firstLine="480" w:firstLineChars="200"/>
        <w:rPr>
          <w:snapToGrid w:val="0"/>
          <w:kern w:val="0"/>
          <w:sz w:val="24"/>
          <w:szCs w:val="24"/>
        </w:rPr>
      </w:pPr>
      <w:r>
        <w:rPr>
          <w:snapToGrid w:val="0"/>
          <w:kern w:val="0"/>
          <w:sz w:val="24"/>
        </w:rPr>
        <w:t>根据建设征地影响程度和电站运行特点，对</w:t>
      </w:r>
      <w:r>
        <w:rPr>
          <w:rFonts w:hint="eastAsia"/>
          <w:snapToGrid w:val="0"/>
          <w:kern w:val="0"/>
          <w:sz w:val="24"/>
        </w:rPr>
        <w:t>受到</w:t>
      </w:r>
      <w:r>
        <w:rPr>
          <w:snapToGrid w:val="0"/>
          <w:kern w:val="0"/>
          <w:sz w:val="24"/>
        </w:rPr>
        <w:t>影响的</w:t>
      </w:r>
      <w:r>
        <w:rPr>
          <w:rFonts w:hint="eastAsia"/>
          <w:snapToGrid w:val="0"/>
          <w:kern w:val="0"/>
          <w:sz w:val="24"/>
        </w:rPr>
        <w:t>五座</w:t>
      </w:r>
      <w:r>
        <w:rPr>
          <w:snapToGrid w:val="0"/>
          <w:kern w:val="0"/>
          <w:sz w:val="24"/>
        </w:rPr>
        <w:t>电站</w:t>
      </w:r>
      <w:r>
        <w:rPr>
          <w:rFonts w:hint="eastAsia"/>
          <w:snapToGrid w:val="0"/>
          <w:kern w:val="0"/>
          <w:sz w:val="24"/>
        </w:rPr>
        <w:t>均</w:t>
      </w:r>
      <w:r>
        <w:rPr>
          <w:snapToGrid w:val="0"/>
          <w:kern w:val="0"/>
          <w:sz w:val="24"/>
        </w:rPr>
        <w:t>采取一次性货币补偿，货币补偿时可通过工程类比法，</w:t>
      </w:r>
      <w:r>
        <w:rPr>
          <w:rFonts w:hint="eastAsia"/>
          <w:snapToGrid w:val="0"/>
          <w:kern w:val="0"/>
          <w:sz w:val="24"/>
        </w:rPr>
        <w:t>工程类比法应在手机邻近同类工程设计、造价等资料的基础上，分析建设征地影响水电工程的单位千瓦费用，并按装机容量确定补偿方案，也可采用补偿评估法，补偿评估法应按现行行业标准《水电工程建设征地企业处理规划设计规范》N</w:t>
      </w:r>
      <w:r>
        <w:rPr>
          <w:snapToGrid w:val="0"/>
          <w:kern w:val="0"/>
          <w:sz w:val="24"/>
        </w:rPr>
        <w:t>B/T 10605</w:t>
      </w:r>
      <w:r>
        <w:rPr>
          <w:rFonts w:hint="eastAsia"/>
          <w:snapToGrid w:val="0"/>
          <w:kern w:val="0"/>
          <w:sz w:val="24"/>
        </w:rPr>
        <w:t>的有关规定执行</w:t>
      </w:r>
      <w:r>
        <w:rPr>
          <w:snapToGrid w:val="0"/>
          <w:kern w:val="0"/>
          <w:sz w:val="24"/>
        </w:rPr>
        <w:t>。</w:t>
      </w:r>
    </w:p>
    <w:p>
      <w:pPr>
        <w:pStyle w:val="4"/>
        <w:rPr>
          <w:rFonts w:cs="Times New Roman"/>
        </w:rPr>
      </w:pPr>
      <w:bookmarkStart w:id="189" w:name="_Toc85660232"/>
      <w:bookmarkStart w:id="190" w:name="_Toc85487705"/>
      <w:bookmarkStart w:id="191" w:name="_Toc85632464"/>
      <w:r>
        <w:rPr>
          <w:rFonts w:cs="Times New Roman"/>
        </w:rPr>
        <w:t>5.2.6  临时用地复垦</w:t>
      </w:r>
      <w:bookmarkEnd w:id="189"/>
      <w:bookmarkEnd w:id="190"/>
      <w:bookmarkEnd w:id="191"/>
    </w:p>
    <w:p>
      <w:pPr>
        <w:spacing w:line="460" w:lineRule="exact"/>
        <w:ind w:firstLine="480" w:firstLineChars="200"/>
        <w:rPr>
          <w:rFonts w:hint="eastAsia" w:eastAsia="宋体" w:cs="Times New Roman"/>
          <w:snapToGrid w:val="0"/>
          <w:kern w:val="0"/>
          <w:sz w:val="24"/>
          <w:szCs w:val="24"/>
        </w:rPr>
      </w:pPr>
      <w:r>
        <w:rPr>
          <w:rFonts w:hint="eastAsia" w:eastAsia="宋体" w:cs="Times New Roman"/>
          <w:snapToGrid w:val="0"/>
          <w:kern w:val="0"/>
          <w:sz w:val="24"/>
          <w:szCs w:val="24"/>
        </w:rPr>
        <w:t>在施工前对上水库弃渣场区农用地耕作层、犁底层土壤分别进行剥离，在上水库表土堆存场就近堆存。表土堆存场表面撒播草籽，并在堆存范围外侧采用尼龙编织袋挡墙临时拦挡，排水系统利用各堆存场地已有的排水系统。</w:t>
      </w:r>
    </w:p>
    <w:p>
      <w:pPr>
        <w:spacing w:line="460" w:lineRule="exact"/>
        <w:ind w:firstLine="480" w:firstLineChars="200"/>
        <w:rPr>
          <w:rFonts w:hint="eastAsia" w:eastAsia="宋体" w:cs="Times New Roman"/>
          <w:snapToGrid w:val="0"/>
          <w:kern w:val="0"/>
          <w:sz w:val="24"/>
          <w:szCs w:val="24"/>
        </w:rPr>
      </w:pPr>
      <w:r>
        <w:rPr>
          <w:rFonts w:hint="eastAsia" w:eastAsia="宋体" w:cs="Times New Roman"/>
          <w:snapToGrid w:val="0"/>
          <w:kern w:val="0"/>
          <w:sz w:val="24"/>
          <w:szCs w:val="24"/>
        </w:rPr>
        <w:t>参考《土地复垦质量控制标准》(TD/T 1036-2013)中D.4东南沿海山地丘陵区土地复垦质量控制标准，水田覆土厚度不小于0.5m（耕作层0.3m，犁底层0.2m），旱地、园地覆土厚度不小于0.4m(耕作层0.3m，犁底层0.1m)，林地覆土厚度不小于0.3m。为满足耕地保水保肥要求，犁底层回填后需夯实。</w:t>
      </w:r>
    </w:p>
    <w:p>
      <w:pPr>
        <w:spacing w:line="460" w:lineRule="exact"/>
        <w:ind w:firstLine="480" w:firstLineChars="200"/>
        <w:rPr>
          <w:snapToGrid w:val="0"/>
          <w:kern w:val="0"/>
          <w:sz w:val="24"/>
        </w:rPr>
      </w:pPr>
      <w:r>
        <w:rPr>
          <w:rFonts w:hint="eastAsia" w:cs="宋体"/>
          <w:snapToGrid w:val="0"/>
          <w:kern w:val="0"/>
          <w:sz w:val="24"/>
          <w:szCs w:val="21"/>
        </w:rPr>
        <w:t>根据复垦区地形、地势，以规划沟、路为界来划分田块。田块从有利于组织排水、充分利用原有基础设施、尽可能减少土方工程量的角度进行布设。该区域弃渣后地势平坦，依据《土地整治项目规划设计规范》（TDT1012-2016），耕作田块长边宜南北向，耕作田块宽度应考虑地形地貌、机械作业、灌溉排水等要求，宜为50m~300m。耕作田块宜外形规整，形状宜为长方形，长宽比不宜小于4:1</w:t>
      </w:r>
      <w:r>
        <w:rPr>
          <w:rFonts w:hint="eastAsia"/>
          <w:snapToGrid w:val="0"/>
          <w:kern w:val="0"/>
          <w:sz w:val="24"/>
        </w:rPr>
        <w:t>。</w:t>
      </w:r>
    </w:p>
    <w:p>
      <w:pPr>
        <w:pStyle w:val="4"/>
      </w:pPr>
      <w:bookmarkStart w:id="192" w:name="_Toc85632465"/>
      <w:bookmarkStart w:id="193" w:name="_Toc85487706"/>
      <w:bookmarkStart w:id="194" w:name="_Toc85660233"/>
      <w:r>
        <w:rPr>
          <w:rFonts w:hint="eastAsia"/>
        </w:rPr>
        <w:t>5</w:t>
      </w:r>
      <w:r>
        <w:t>.2.</w:t>
      </w:r>
      <w:r>
        <w:rPr>
          <w:rFonts w:hint="eastAsia"/>
        </w:rPr>
        <w:t>7</w:t>
      </w:r>
      <w:r>
        <w:t xml:space="preserve">  库底清理</w:t>
      </w:r>
      <w:bookmarkEnd w:id="192"/>
      <w:bookmarkEnd w:id="193"/>
      <w:bookmarkEnd w:id="194"/>
    </w:p>
    <w:p>
      <w:pPr>
        <w:pStyle w:val="5"/>
      </w:pPr>
      <w:r>
        <w:rPr>
          <w:rFonts w:hint="eastAsia"/>
        </w:rPr>
        <w:t>5</w:t>
      </w:r>
      <w:r>
        <w:t>.2.</w:t>
      </w:r>
      <w:r>
        <w:rPr>
          <w:rFonts w:hint="eastAsia"/>
        </w:rPr>
        <w:t>7</w:t>
      </w:r>
      <w:r>
        <w:t>.1  建(构)筑物清理</w:t>
      </w:r>
    </w:p>
    <w:p>
      <w:pPr>
        <w:numPr>
          <w:ilvl w:val="4"/>
          <w:numId w:val="13"/>
        </w:numPr>
        <w:overflowPunct w:val="0"/>
        <w:autoSpaceDE w:val="0"/>
        <w:autoSpaceDN w:val="0"/>
        <w:adjustRightInd w:val="0"/>
        <w:spacing w:line="480" w:lineRule="exact"/>
        <w:ind w:left="0" w:firstLine="480" w:firstLineChars="200"/>
        <w:rPr>
          <w:sz w:val="24"/>
        </w:rPr>
      </w:pPr>
      <w:r>
        <w:rPr>
          <w:rFonts w:hAnsi="宋体"/>
          <w:sz w:val="24"/>
        </w:rPr>
        <w:t>建</w:t>
      </w:r>
      <w:r>
        <w:rPr>
          <w:sz w:val="24"/>
        </w:rPr>
        <w:t>(</w:t>
      </w:r>
      <w:r>
        <w:rPr>
          <w:rFonts w:hAnsi="宋体"/>
          <w:sz w:val="24"/>
        </w:rPr>
        <w:t>构</w:t>
      </w:r>
      <w:r>
        <w:rPr>
          <w:sz w:val="24"/>
        </w:rPr>
        <w:t>)</w:t>
      </w:r>
      <w:r>
        <w:rPr>
          <w:rFonts w:hAnsi="宋体"/>
          <w:sz w:val="24"/>
        </w:rPr>
        <w:t>筑物清理后，残留高度不得超过地面</w:t>
      </w:r>
      <w:r>
        <w:rPr>
          <w:sz w:val="24"/>
        </w:rPr>
        <w:t>0.5m</w:t>
      </w:r>
      <w:r>
        <w:rPr>
          <w:rFonts w:hAnsi="宋体"/>
          <w:sz w:val="24"/>
        </w:rPr>
        <w:t>，拆除的线材、铁制品、木杆等不得残留库区。</w:t>
      </w:r>
    </w:p>
    <w:p>
      <w:pPr>
        <w:numPr>
          <w:ilvl w:val="4"/>
          <w:numId w:val="13"/>
        </w:numPr>
        <w:overflowPunct w:val="0"/>
        <w:autoSpaceDE w:val="0"/>
        <w:autoSpaceDN w:val="0"/>
        <w:adjustRightInd w:val="0"/>
        <w:spacing w:line="480" w:lineRule="exact"/>
        <w:ind w:left="0" w:firstLine="480" w:firstLineChars="200"/>
        <w:rPr>
          <w:sz w:val="24"/>
        </w:rPr>
      </w:pPr>
      <w:r>
        <w:rPr>
          <w:rFonts w:hAnsi="宋体"/>
          <w:sz w:val="24"/>
        </w:rPr>
        <w:t>建</w:t>
      </w:r>
      <w:r>
        <w:rPr>
          <w:sz w:val="24"/>
        </w:rPr>
        <w:t>(</w:t>
      </w:r>
      <w:r>
        <w:rPr>
          <w:rFonts w:hAnsi="宋体"/>
          <w:sz w:val="24"/>
        </w:rPr>
        <w:t>构</w:t>
      </w:r>
      <w:r>
        <w:rPr>
          <w:sz w:val="24"/>
        </w:rPr>
        <w:t>)</w:t>
      </w:r>
      <w:r>
        <w:rPr>
          <w:rFonts w:hAnsi="宋体"/>
          <w:sz w:val="24"/>
        </w:rPr>
        <w:t>筑物清理后的易飘浮材料，不得堆放于库区移民迁移线以下，且需要固定措施。</w:t>
      </w:r>
    </w:p>
    <w:p>
      <w:pPr>
        <w:pStyle w:val="5"/>
      </w:pPr>
      <w:r>
        <w:rPr>
          <w:rFonts w:hint="eastAsia"/>
        </w:rPr>
        <w:t>5</w:t>
      </w:r>
      <w:r>
        <w:t>.2.</w:t>
      </w:r>
      <w:r>
        <w:rPr>
          <w:rFonts w:hint="eastAsia"/>
        </w:rPr>
        <w:t>7</w:t>
      </w:r>
      <w:r>
        <w:t>.2  林木清理</w:t>
      </w:r>
    </w:p>
    <w:p>
      <w:pPr>
        <w:numPr>
          <w:ilvl w:val="4"/>
          <w:numId w:val="14"/>
        </w:numPr>
        <w:overflowPunct w:val="0"/>
        <w:autoSpaceDE w:val="0"/>
        <w:autoSpaceDN w:val="0"/>
        <w:adjustRightInd w:val="0"/>
        <w:spacing w:line="480" w:lineRule="exact"/>
        <w:ind w:left="0" w:firstLine="480" w:firstLineChars="200"/>
        <w:rPr>
          <w:sz w:val="24"/>
        </w:rPr>
      </w:pPr>
      <w:r>
        <w:rPr>
          <w:rFonts w:hAnsi="宋体"/>
          <w:sz w:val="24"/>
        </w:rPr>
        <w:t>上水库正常蓄水位以下的林木进行清理，残留树桩不得高出地面</w:t>
      </w:r>
      <w:r>
        <w:rPr>
          <w:sz w:val="24"/>
        </w:rPr>
        <w:t>0.3m</w:t>
      </w:r>
      <w:r>
        <w:rPr>
          <w:rFonts w:hAnsi="宋体"/>
          <w:sz w:val="24"/>
        </w:rPr>
        <w:t>。</w:t>
      </w:r>
    </w:p>
    <w:p>
      <w:pPr>
        <w:numPr>
          <w:ilvl w:val="4"/>
          <w:numId w:val="14"/>
        </w:numPr>
        <w:overflowPunct w:val="0"/>
        <w:autoSpaceDE w:val="0"/>
        <w:autoSpaceDN w:val="0"/>
        <w:adjustRightInd w:val="0"/>
        <w:spacing w:line="480" w:lineRule="exact"/>
        <w:ind w:left="0" w:firstLine="480" w:firstLineChars="200"/>
        <w:rPr>
          <w:sz w:val="24"/>
        </w:rPr>
      </w:pPr>
      <w:r>
        <w:rPr>
          <w:rFonts w:hAnsi="宋体"/>
          <w:sz w:val="24"/>
        </w:rPr>
        <w:t>林木砍伐残余的枝桠、枯木、灌木林以及泥炭等易漂浮的物质，在水库蓄水前，应</w:t>
      </w:r>
      <w:r>
        <w:rPr>
          <w:rFonts w:hint="eastAsia" w:hAnsi="宋体"/>
          <w:sz w:val="24"/>
        </w:rPr>
        <w:t>清出库外</w:t>
      </w:r>
      <w:r>
        <w:rPr>
          <w:rFonts w:hAnsi="宋体"/>
          <w:sz w:val="24"/>
        </w:rPr>
        <w:t>。</w:t>
      </w:r>
    </w:p>
    <w:p>
      <w:pPr>
        <w:pStyle w:val="5"/>
      </w:pPr>
      <w:r>
        <w:rPr>
          <w:rFonts w:hint="eastAsia"/>
        </w:rPr>
        <w:t>5</w:t>
      </w:r>
      <w:r>
        <w:t>.2.</w:t>
      </w:r>
      <w:r>
        <w:rPr>
          <w:rFonts w:hint="eastAsia"/>
        </w:rPr>
        <w:t>7</w:t>
      </w:r>
      <w:r>
        <w:t>.3  卫生清理</w:t>
      </w:r>
    </w:p>
    <w:p>
      <w:pPr>
        <w:numPr>
          <w:ilvl w:val="4"/>
          <w:numId w:val="15"/>
        </w:numPr>
        <w:overflowPunct w:val="0"/>
        <w:autoSpaceDE w:val="0"/>
        <w:autoSpaceDN w:val="0"/>
        <w:adjustRightInd w:val="0"/>
        <w:spacing w:line="480" w:lineRule="exact"/>
        <w:ind w:left="0" w:firstLine="480" w:firstLineChars="200"/>
        <w:rPr>
          <w:sz w:val="24"/>
        </w:rPr>
      </w:pPr>
      <w:r>
        <w:rPr>
          <w:rFonts w:hAnsi="宋体"/>
          <w:sz w:val="24"/>
        </w:rPr>
        <w:t>清理范围内的厕所、粪坑</w:t>
      </w:r>
      <w:r>
        <w:rPr>
          <w:sz w:val="24"/>
        </w:rPr>
        <w:t>(</w:t>
      </w:r>
      <w:r>
        <w:rPr>
          <w:rFonts w:hAnsi="宋体"/>
          <w:sz w:val="24"/>
        </w:rPr>
        <w:t>池</w:t>
      </w:r>
      <w:r>
        <w:rPr>
          <w:sz w:val="24"/>
        </w:rPr>
        <w:t>)</w:t>
      </w:r>
      <w:r>
        <w:rPr>
          <w:rFonts w:hAnsi="宋体"/>
          <w:sz w:val="24"/>
        </w:rPr>
        <w:t>、沼气池、垃圾等均应进行卫生防疫清理，污染物运出库外处理，污染源地进行消毒处理。</w:t>
      </w:r>
    </w:p>
    <w:p>
      <w:pPr>
        <w:numPr>
          <w:ilvl w:val="4"/>
          <w:numId w:val="15"/>
        </w:numPr>
        <w:overflowPunct w:val="0"/>
        <w:autoSpaceDE w:val="0"/>
        <w:autoSpaceDN w:val="0"/>
        <w:adjustRightInd w:val="0"/>
        <w:spacing w:line="480" w:lineRule="exact"/>
        <w:ind w:left="0" w:firstLine="480" w:firstLineChars="200"/>
        <w:rPr>
          <w:sz w:val="24"/>
        </w:rPr>
      </w:pPr>
      <w:r>
        <w:rPr>
          <w:rFonts w:hAnsi="宋体"/>
          <w:sz w:val="24"/>
        </w:rPr>
        <w:t>埋葬</w:t>
      </w:r>
      <w:r>
        <w:rPr>
          <w:sz w:val="24"/>
        </w:rPr>
        <w:t>15</w:t>
      </w:r>
      <w:r>
        <w:rPr>
          <w:rFonts w:hAnsi="宋体"/>
          <w:sz w:val="24"/>
        </w:rPr>
        <w:t>年以内的坟墓，</w:t>
      </w:r>
      <w:r>
        <w:rPr>
          <w:rFonts w:hint="eastAsia" w:hAnsi="宋体"/>
          <w:sz w:val="24"/>
        </w:rPr>
        <w:t>应将尸体运出库外，再</w:t>
      </w:r>
      <w:r>
        <w:rPr>
          <w:rFonts w:hAnsi="宋体"/>
          <w:sz w:val="24"/>
        </w:rPr>
        <w:t>对其坑穴进行消毒处理。</w:t>
      </w:r>
    </w:p>
    <w:p>
      <w:pPr>
        <w:pStyle w:val="2"/>
      </w:pPr>
      <w:r>
        <w:rPr>
          <w:rFonts w:eastAsia="宋体"/>
          <w:bCs w:val="0"/>
          <w:sz w:val="24"/>
        </w:rPr>
        <w:br w:type="page"/>
      </w:r>
      <w:bookmarkStart w:id="195" w:name="_Toc90934874"/>
      <w:bookmarkStart w:id="196" w:name="_Toc5040"/>
      <w:bookmarkStart w:id="197" w:name="_Toc5705"/>
      <w:bookmarkStart w:id="198" w:name="_Toc86265080"/>
      <w:bookmarkStart w:id="199" w:name="_Toc85487711"/>
      <w:bookmarkStart w:id="200" w:name="_Toc85660240"/>
      <w:r>
        <w:t>6  农村移民安置规划方案</w:t>
      </w:r>
      <w:bookmarkEnd w:id="195"/>
      <w:bookmarkEnd w:id="196"/>
      <w:bookmarkEnd w:id="197"/>
      <w:bookmarkEnd w:id="198"/>
      <w:bookmarkEnd w:id="199"/>
      <w:bookmarkEnd w:id="200"/>
    </w:p>
    <w:p>
      <w:pPr>
        <w:pStyle w:val="3"/>
      </w:pPr>
      <w:bookmarkStart w:id="201" w:name="_Toc10150"/>
      <w:bookmarkStart w:id="202" w:name="_Toc85487712"/>
      <w:bookmarkStart w:id="203" w:name="_Toc86265081"/>
      <w:bookmarkStart w:id="204" w:name="_Toc24120"/>
      <w:bookmarkStart w:id="205" w:name="_Toc85660241"/>
      <w:bookmarkStart w:id="206" w:name="_Toc90934875"/>
      <w:r>
        <w:t>6.1  环境容量分析和规划方案</w:t>
      </w:r>
      <w:bookmarkEnd w:id="201"/>
      <w:bookmarkEnd w:id="202"/>
      <w:bookmarkEnd w:id="203"/>
      <w:bookmarkEnd w:id="204"/>
      <w:bookmarkEnd w:id="205"/>
      <w:bookmarkEnd w:id="206"/>
    </w:p>
    <w:p>
      <w:pPr>
        <w:overflowPunct w:val="0"/>
        <w:autoSpaceDE w:val="0"/>
        <w:autoSpaceDN w:val="0"/>
        <w:adjustRightInd w:val="0"/>
        <w:spacing w:line="480" w:lineRule="exact"/>
        <w:ind w:firstLine="480" w:firstLineChars="200"/>
        <w:rPr>
          <w:sz w:val="24"/>
        </w:rPr>
      </w:pPr>
      <w:r>
        <w:rPr>
          <w:rFonts w:hAnsi="宋体"/>
          <w:sz w:val="24"/>
        </w:rPr>
        <w:t>为了妥善安置移民，使移民生产生活水平达到或超过搬迁前的水平，并有发展的余地，必须对移民安置环境容量进行科学、认真的分析，根据拟定的规划目标和安置标准，对该区域的自然条件、可开发利用资源进行评价，分析可接纳的生产安置人口数量，以此作为移民安置规划的依据。</w:t>
      </w:r>
    </w:p>
    <w:p>
      <w:pPr>
        <w:pStyle w:val="4"/>
      </w:pPr>
      <w:bookmarkStart w:id="207" w:name="_Toc85660242"/>
      <w:bookmarkStart w:id="208" w:name="_Toc85487713"/>
      <w:bookmarkStart w:id="209" w:name="_Toc85632474"/>
      <w:r>
        <w:t>6.1.1  分析原则</w:t>
      </w:r>
      <w:bookmarkEnd w:id="207"/>
      <w:bookmarkEnd w:id="208"/>
      <w:bookmarkEnd w:id="209"/>
    </w:p>
    <w:p>
      <w:pPr>
        <w:pStyle w:val="183"/>
        <w:adjustRightInd w:val="0"/>
        <w:spacing w:line="480" w:lineRule="exact"/>
        <w:ind w:firstLine="480" w:firstLineChars="200"/>
      </w:pPr>
      <w:r>
        <w:rPr>
          <w:rFonts w:hAnsi="宋体"/>
        </w:rPr>
        <w:t>移民生产安置环境容量分析主要依据以下几方面确定：</w:t>
      </w:r>
    </w:p>
    <w:p>
      <w:pPr>
        <w:pStyle w:val="183"/>
        <w:adjustRightInd w:val="0"/>
        <w:spacing w:line="480" w:lineRule="exact"/>
        <w:ind w:firstLine="480" w:firstLineChars="200"/>
      </w:pPr>
      <w:r>
        <w:t xml:space="preserve">a) </w:t>
      </w:r>
      <w:r>
        <w:rPr>
          <w:rFonts w:hAnsi="宋体"/>
        </w:rPr>
        <w:t>移民的意愿：包括移民是否愿意改变原有生产方式、是否愿意出村搬迁安置、是否愿意以土安置等。</w:t>
      </w:r>
    </w:p>
    <w:p>
      <w:pPr>
        <w:pStyle w:val="183"/>
        <w:adjustRightInd w:val="0"/>
        <w:spacing w:line="480" w:lineRule="exact"/>
        <w:ind w:firstLine="480" w:firstLineChars="200"/>
      </w:pPr>
      <w:r>
        <w:t xml:space="preserve">b) </w:t>
      </w:r>
      <w:r>
        <w:rPr>
          <w:rFonts w:hAnsi="宋体"/>
        </w:rPr>
        <w:t>建设征地对当地社会生产方式的影响程度。</w:t>
      </w:r>
    </w:p>
    <w:p>
      <w:pPr>
        <w:pStyle w:val="183"/>
        <w:adjustRightInd w:val="0"/>
        <w:spacing w:line="480" w:lineRule="exact"/>
        <w:ind w:firstLine="480" w:firstLineChars="200"/>
      </w:pPr>
      <w:r>
        <w:t xml:space="preserve">c) </w:t>
      </w:r>
      <w:r>
        <w:rPr>
          <w:rFonts w:hAnsi="宋体"/>
        </w:rPr>
        <w:t>可考虑的生产安置方式：根据当地的经济社会状况和主要生产方式确定可能的移民安置方式。</w:t>
      </w:r>
    </w:p>
    <w:p>
      <w:pPr>
        <w:adjustRightInd w:val="0"/>
        <w:spacing w:line="480" w:lineRule="exact"/>
        <w:ind w:firstLine="480" w:firstLineChars="200"/>
        <w:rPr>
          <w:sz w:val="24"/>
        </w:rPr>
      </w:pPr>
      <w:r>
        <w:rPr>
          <w:rFonts w:hAnsi="宋体"/>
          <w:sz w:val="24"/>
        </w:rPr>
        <w:t>移民安置环境容量分析过程中应遵循以下原则：</w:t>
      </w:r>
    </w:p>
    <w:p>
      <w:pPr>
        <w:numPr>
          <w:ilvl w:val="0"/>
          <w:numId w:val="16"/>
        </w:numPr>
        <w:adjustRightInd w:val="0"/>
        <w:spacing w:line="480" w:lineRule="exact"/>
        <w:ind w:left="0" w:firstLine="480" w:firstLineChars="200"/>
        <w:rPr>
          <w:sz w:val="24"/>
        </w:rPr>
      </w:pPr>
      <w:r>
        <w:rPr>
          <w:rFonts w:hint="eastAsia" w:hAnsi="宋体"/>
          <w:sz w:val="24"/>
        </w:rPr>
        <w:t xml:space="preserve"> </w:t>
      </w:r>
      <w:r>
        <w:rPr>
          <w:rFonts w:hAnsi="宋体"/>
          <w:sz w:val="24"/>
        </w:rPr>
        <w:t>移民安置环境容量分析的范围应按照本组、本村、本乡</w:t>
      </w:r>
      <w:r>
        <w:rPr>
          <w:sz w:val="24"/>
        </w:rPr>
        <w:t>(</w:t>
      </w:r>
      <w:r>
        <w:rPr>
          <w:rFonts w:hAnsi="宋体"/>
          <w:sz w:val="24"/>
        </w:rPr>
        <w:t>镇</w:t>
      </w:r>
      <w:r>
        <w:rPr>
          <w:sz w:val="24"/>
        </w:rPr>
        <w:t>)</w:t>
      </w:r>
      <w:r>
        <w:rPr>
          <w:rFonts w:hAnsi="宋体"/>
          <w:sz w:val="24"/>
        </w:rPr>
        <w:t>的顺序进行；</w:t>
      </w:r>
    </w:p>
    <w:p>
      <w:pPr>
        <w:numPr>
          <w:ilvl w:val="0"/>
          <w:numId w:val="16"/>
        </w:numPr>
        <w:adjustRightInd w:val="0"/>
        <w:spacing w:line="480" w:lineRule="exact"/>
        <w:ind w:left="0" w:firstLine="480" w:firstLineChars="200"/>
        <w:rPr>
          <w:sz w:val="24"/>
        </w:rPr>
      </w:pPr>
      <w:r>
        <w:rPr>
          <w:rFonts w:hint="eastAsia" w:hAnsi="宋体"/>
          <w:sz w:val="24"/>
        </w:rPr>
        <w:t xml:space="preserve"> </w:t>
      </w:r>
      <w:r>
        <w:rPr>
          <w:rFonts w:hAnsi="宋体"/>
          <w:sz w:val="24"/>
        </w:rPr>
        <w:t>在进行环境容量分析时，重点考虑建设征地区周边剩余土地资源，同时对安置区的区位情况以及土地资源进行分析，在剩余土地资源条件不充足时，应充分分析论证其他安置方式的可实施性；</w:t>
      </w:r>
    </w:p>
    <w:p>
      <w:pPr>
        <w:numPr>
          <w:ilvl w:val="0"/>
          <w:numId w:val="16"/>
        </w:numPr>
        <w:adjustRightInd w:val="0"/>
        <w:spacing w:line="480" w:lineRule="exact"/>
        <w:ind w:left="0" w:firstLine="480" w:firstLineChars="200"/>
        <w:rPr>
          <w:spacing w:val="-4"/>
          <w:sz w:val="24"/>
        </w:rPr>
      </w:pPr>
      <w:r>
        <w:rPr>
          <w:rFonts w:hint="eastAsia" w:hAnsi="宋体"/>
          <w:sz w:val="24"/>
        </w:rPr>
        <w:t xml:space="preserve"> </w:t>
      </w:r>
      <w:r>
        <w:rPr>
          <w:rFonts w:hAnsi="宋体"/>
          <w:spacing w:val="-4"/>
          <w:sz w:val="24"/>
        </w:rPr>
        <w:t>在进行环境容量分析时，应充分考虑移民的生产、生活特点以及民族风俗习惯。</w:t>
      </w:r>
    </w:p>
    <w:p>
      <w:pPr>
        <w:pStyle w:val="4"/>
      </w:pPr>
      <w:bookmarkStart w:id="210" w:name="_Toc85660243"/>
      <w:bookmarkStart w:id="211" w:name="_Toc85487714"/>
      <w:bookmarkStart w:id="212" w:name="_Toc85632475"/>
      <w:r>
        <w:t>6.1.2  分析方法</w:t>
      </w:r>
      <w:bookmarkEnd w:id="210"/>
      <w:bookmarkEnd w:id="211"/>
      <w:bookmarkEnd w:id="212"/>
    </w:p>
    <w:p>
      <w:pPr>
        <w:pStyle w:val="183"/>
        <w:adjustRightInd w:val="0"/>
        <w:spacing w:line="480" w:lineRule="exact"/>
        <w:ind w:firstLine="480" w:firstLineChars="200"/>
      </w:pPr>
      <w:r>
        <w:rPr>
          <w:rFonts w:hAnsi="宋体"/>
        </w:rPr>
        <w:t>移民环境容量分析采取定性和定量相结合的方法。</w:t>
      </w:r>
    </w:p>
    <w:p>
      <w:pPr>
        <w:pStyle w:val="183"/>
        <w:adjustRightInd w:val="0"/>
        <w:spacing w:line="480" w:lineRule="exact"/>
        <w:ind w:firstLine="480" w:firstLineChars="200"/>
      </w:pPr>
      <w:r>
        <w:rPr>
          <w:rFonts w:hAnsi="宋体"/>
        </w:rPr>
        <w:t>定性分析初选安置区和安置方式的适宜性，主要考虑自然资源和社会环境等因素，如土地资源、气候条件、移民和安置区居民意愿、经济发展水平、生产关系、生产生活习惯、基础设施、生产水平等。</w:t>
      </w:r>
    </w:p>
    <w:p>
      <w:pPr>
        <w:pStyle w:val="183"/>
        <w:adjustRightInd w:val="0"/>
        <w:spacing w:line="480" w:lineRule="exact"/>
        <w:ind w:firstLine="480" w:firstLineChars="200"/>
      </w:pPr>
      <w:r>
        <w:rPr>
          <w:rFonts w:hAnsi="宋体"/>
        </w:rPr>
        <w:t>定量分析确定初选的安置区、安置方式及可能安置移民的数量，分析确定影响移民安置的主要因素和敏感因素，建立评价指标体系进行综合分析预测，确定可能安置移民的容量值。定量分析主要考虑资源、经济、人口等指标的动态变化和对移民安置涉及区域资源和经济的影响程度。</w:t>
      </w:r>
    </w:p>
    <w:p>
      <w:pPr>
        <w:pStyle w:val="4"/>
      </w:pPr>
      <w:bookmarkStart w:id="213" w:name="_Toc85660244"/>
      <w:bookmarkStart w:id="214" w:name="_Toc85632476"/>
      <w:r>
        <w:t>6.1.3  移民生产安置环境容量分析</w:t>
      </w:r>
      <w:bookmarkEnd w:id="213"/>
      <w:bookmarkEnd w:id="214"/>
    </w:p>
    <w:p>
      <w:pPr>
        <w:pStyle w:val="584"/>
        <w:widowControl w:val="0"/>
        <w:adjustRightInd w:val="0"/>
        <w:snapToGrid w:val="0"/>
        <w:spacing w:line="480" w:lineRule="exact"/>
        <w:ind w:firstLine="480" w:firstLineChars="200"/>
        <w:jc w:val="both"/>
        <w:rPr>
          <w:szCs w:val="24"/>
        </w:rPr>
      </w:pPr>
      <w:r>
        <w:rPr>
          <w:rFonts w:hAnsi="宋体"/>
          <w:szCs w:val="24"/>
        </w:rPr>
        <w:t>根据建设征地区</w:t>
      </w:r>
      <w:r>
        <w:rPr>
          <w:rFonts w:hint="eastAsia" w:hAnsi="宋体"/>
          <w:szCs w:val="24"/>
        </w:rPr>
        <w:t>、安置区</w:t>
      </w:r>
      <w:r>
        <w:rPr>
          <w:rFonts w:hAnsi="宋体"/>
          <w:szCs w:val="24"/>
        </w:rPr>
        <w:t>实际情况</w:t>
      </w:r>
      <w:r>
        <w:rPr>
          <w:rFonts w:hint="eastAsia" w:hAnsi="宋体"/>
          <w:szCs w:val="24"/>
        </w:rPr>
        <w:t>，在当地调剂耕地较为困难</w:t>
      </w:r>
      <w:r>
        <w:rPr>
          <w:rFonts w:hAnsi="宋体"/>
          <w:szCs w:val="24"/>
        </w:rPr>
        <w:t>，</w:t>
      </w:r>
      <w:r>
        <w:rPr>
          <w:rFonts w:hint="eastAsia" w:hAnsi="宋体"/>
          <w:szCs w:val="24"/>
        </w:rPr>
        <w:t>无法采用农业安置方式；根据12月17日~19日开展的移民意愿调查成果，农村移民生产安置意愿更倾向于一次性货币补偿安置。</w:t>
      </w:r>
      <w:r>
        <w:rPr>
          <w:rFonts w:hAnsi="宋体"/>
          <w:szCs w:val="24"/>
        </w:rPr>
        <w:t>生产安置涉及村组经济发展水平较好，</w:t>
      </w:r>
      <w:r>
        <w:rPr>
          <w:rFonts w:hint="eastAsia" w:hAnsi="宋体"/>
          <w:szCs w:val="24"/>
        </w:rPr>
        <w:t>大部分</w:t>
      </w:r>
      <w:r>
        <w:rPr>
          <w:rFonts w:hAnsi="宋体"/>
          <w:szCs w:val="24"/>
        </w:rPr>
        <w:t>村民长期在外工作，并已在集镇或县城购买房产，具有自谋职业和自谋出路安置的能力和意愿，故建设征地区能容纳一定的</w:t>
      </w:r>
      <w:r>
        <w:rPr>
          <w:rFonts w:hint="eastAsia" w:hAnsi="宋体"/>
          <w:szCs w:val="24"/>
        </w:rPr>
        <w:t>一次性货币</w:t>
      </w:r>
      <w:r>
        <w:rPr>
          <w:rFonts w:hAnsi="宋体"/>
          <w:szCs w:val="24"/>
        </w:rPr>
        <w:t>安置人口</w:t>
      </w:r>
      <w:r>
        <w:rPr>
          <w:rFonts w:hint="eastAsia" w:hAnsi="宋体"/>
          <w:szCs w:val="24"/>
        </w:rPr>
        <w:t>。</w:t>
      </w:r>
    </w:p>
    <w:p>
      <w:pPr>
        <w:pStyle w:val="4"/>
      </w:pPr>
      <w:bookmarkStart w:id="215" w:name="_Toc85487715"/>
      <w:bookmarkStart w:id="216" w:name="_Toc85632478"/>
      <w:bookmarkStart w:id="217" w:name="_Toc85660246"/>
      <w:r>
        <w:t>6.1.</w:t>
      </w:r>
      <w:r>
        <w:rPr>
          <w:rFonts w:hint="eastAsia"/>
        </w:rPr>
        <w:t>4</w:t>
      </w:r>
      <w:r>
        <w:t xml:space="preserve">  农村移民安置方案概况</w:t>
      </w:r>
      <w:bookmarkEnd w:id="215"/>
      <w:bookmarkEnd w:id="216"/>
      <w:bookmarkEnd w:id="217"/>
    </w:p>
    <w:p>
      <w:pPr>
        <w:pStyle w:val="584"/>
        <w:widowControl w:val="0"/>
        <w:adjustRightInd w:val="0"/>
        <w:snapToGrid w:val="0"/>
        <w:spacing w:line="480" w:lineRule="exact"/>
        <w:ind w:firstLine="480" w:firstLineChars="200"/>
        <w:jc w:val="both"/>
        <w:rPr>
          <w:szCs w:val="24"/>
        </w:rPr>
      </w:pPr>
      <w:r>
        <w:rPr>
          <w:rFonts w:hint="eastAsia" w:hAnsi="宋体"/>
          <w:szCs w:val="24"/>
        </w:rPr>
        <w:t>至规划水平年，陆河</w:t>
      </w:r>
      <w:r>
        <w:rPr>
          <w:rFonts w:hAnsi="宋体"/>
          <w:szCs w:val="24"/>
        </w:rPr>
        <w:t>抽水蓄能电站建设征地涉及生产安置人口</w:t>
      </w:r>
      <w:r>
        <w:rPr>
          <w:szCs w:val="24"/>
        </w:rPr>
        <w:t>160</w:t>
      </w:r>
      <w:r>
        <w:rPr>
          <w:rFonts w:hAnsi="宋体"/>
          <w:szCs w:val="24"/>
        </w:rPr>
        <w:t>人，</w:t>
      </w:r>
      <w:r>
        <w:rPr>
          <w:rFonts w:hint="eastAsia" w:hAnsi="宋体"/>
          <w:szCs w:val="24"/>
        </w:rPr>
        <w:t>全部为一次性货币补偿安置</w:t>
      </w:r>
      <w:r>
        <w:rPr>
          <w:rFonts w:hAnsi="宋体"/>
          <w:szCs w:val="24"/>
        </w:rPr>
        <w:t>。</w:t>
      </w:r>
    </w:p>
    <w:p>
      <w:pPr>
        <w:pStyle w:val="3"/>
      </w:pPr>
      <w:bookmarkStart w:id="218" w:name="_Toc85487716"/>
      <w:bookmarkStart w:id="219" w:name="_Toc13314"/>
      <w:bookmarkStart w:id="220" w:name="_Toc85660247"/>
      <w:bookmarkStart w:id="221" w:name="_Toc13194"/>
      <w:bookmarkStart w:id="222" w:name="_Toc90934876"/>
      <w:bookmarkStart w:id="223" w:name="_Toc86265082"/>
      <w:bookmarkStart w:id="224" w:name="_Hlk85995680"/>
      <w:r>
        <w:t>6.2  生产安置规划</w:t>
      </w:r>
      <w:bookmarkEnd w:id="218"/>
      <w:bookmarkEnd w:id="219"/>
      <w:bookmarkEnd w:id="220"/>
      <w:bookmarkEnd w:id="221"/>
      <w:bookmarkEnd w:id="222"/>
      <w:bookmarkEnd w:id="223"/>
    </w:p>
    <w:p>
      <w:pPr>
        <w:pStyle w:val="4"/>
      </w:pPr>
      <w:r>
        <w:t>6.2.1  生产安置方式及去向</w:t>
      </w:r>
    </w:p>
    <w:p>
      <w:pPr>
        <w:pStyle w:val="584"/>
        <w:widowControl w:val="0"/>
        <w:adjustRightInd w:val="0"/>
        <w:snapToGrid w:val="0"/>
        <w:spacing w:line="480" w:lineRule="exact"/>
        <w:ind w:firstLine="480" w:firstLineChars="200"/>
        <w:jc w:val="both"/>
      </w:pPr>
      <w:r>
        <w:rPr>
          <w:rFonts w:hint="eastAsia" w:hAnsi="宋体"/>
          <w:szCs w:val="24"/>
        </w:rPr>
        <w:t>至规划水平年，陆河</w:t>
      </w:r>
      <w:r>
        <w:rPr>
          <w:rFonts w:hAnsi="宋体"/>
          <w:szCs w:val="24"/>
        </w:rPr>
        <w:t>抽水蓄能电站建设征地涉及生产安置人口</w:t>
      </w:r>
      <w:r>
        <w:rPr>
          <w:szCs w:val="24"/>
        </w:rPr>
        <w:t>160</w:t>
      </w:r>
      <w:r>
        <w:rPr>
          <w:rFonts w:hAnsi="宋体"/>
          <w:szCs w:val="24"/>
        </w:rPr>
        <w:t>人，</w:t>
      </w:r>
      <w:r>
        <w:rPr>
          <w:rFonts w:hint="eastAsia" w:hAnsi="宋体"/>
          <w:szCs w:val="24"/>
        </w:rPr>
        <w:t>全部为一次性货币补偿安置</w:t>
      </w:r>
      <w:r>
        <w:rPr>
          <w:rFonts w:hAnsi="宋体"/>
          <w:szCs w:val="24"/>
        </w:rPr>
        <w:t>。</w:t>
      </w:r>
      <w:r>
        <w:rPr>
          <w:rFonts w:hint="eastAsia" w:hAnsi="宋体"/>
          <w:szCs w:val="24"/>
        </w:rPr>
        <w:t>各村组</w:t>
      </w:r>
      <w:r>
        <w:rPr>
          <w:rFonts w:hAnsi="宋体"/>
        </w:rPr>
        <w:t>生产安置去向见表</w:t>
      </w:r>
      <w:r>
        <w:t>6.2</w:t>
      </w:r>
      <w:r>
        <w:rPr>
          <w:rFonts w:hint="eastAsia"/>
        </w:rPr>
        <w:t>.1</w:t>
      </w:r>
      <w:r>
        <w:t>-1</w:t>
      </w:r>
      <w:r>
        <w:rPr>
          <w:rFonts w:hAnsi="宋体"/>
        </w:rPr>
        <w:t>。</w:t>
      </w:r>
    </w:p>
    <w:p>
      <w:pPr>
        <w:adjustRightInd w:val="0"/>
        <w:snapToGrid w:val="0"/>
        <w:spacing w:before="120" w:beforeLines="50" w:line="460" w:lineRule="exact"/>
        <w:ind w:right="-1"/>
        <w:jc w:val="center"/>
        <w:rPr>
          <w:rFonts w:eastAsia="黑体"/>
          <w:sz w:val="24"/>
        </w:rPr>
      </w:pPr>
      <w:r>
        <w:rPr>
          <w:rFonts w:eastAsia="黑体"/>
          <w:sz w:val="24"/>
        </w:rPr>
        <w:t>表6.2.1</w:t>
      </w:r>
      <w:r>
        <w:rPr>
          <w:rFonts w:hint="eastAsia" w:eastAsia="黑体"/>
          <w:sz w:val="24"/>
        </w:rPr>
        <w:t>-1</w:t>
      </w:r>
      <w:r>
        <w:rPr>
          <w:rFonts w:eastAsia="黑体"/>
          <w:sz w:val="24"/>
        </w:rPr>
        <w:t xml:space="preserve">  生产安置方式及去向表</w:t>
      </w:r>
    </w:p>
    <w:tbl>
      <w:tblPr>
        <w:tblStyle w:val="79"/>
        <w:tblW w:w="899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3"/>
        <w:gridCol w:w="1498"/>
        <w:gridCol w:w="1201"/>
        <w:gridCol w:w="1201"/>
        <w:gridCol w:w="1202"/>
        <w:gridCol w:w="29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3"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序号</w:t>
            </w:r>
          </w:p>
        </w:tc>
        <w:tc>
          <w:tcPr>
            <w:tcW w:w="1498"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村</w:t>
            </w:r>
          </w:p>
        </w:tc>
        <w:tc>
          <w:tcPr>
            <w:tcW w:w="1201" w:type="dxa"/>
            <w:vMerge w:val="restart"/>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组</w:t>
            </w:r>
          </w:p>
        </w:tc>
        <w:tc>
          <w:tcPr>
            <w:tcW w:w="2403" w:type="dxa"/>
            <w:gridSpan w:val="2"/>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生产安置人口</w:t>
            </w:r>
          </w:p>
        </w:tc>
        <w:tc>
          <w:tcPr>
            <w:tcW w:w="2988"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生产安置去向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3" w:type="dxa"/>
            <w:vMerge w:val="continue"/>
            <w:noWrap/>
            <w:vAlign w:val="center"/>
          </w:tcPr>
          <w:p>
            <w:pPr>
              <w:adjustRightInd w:val="0"/>
              <w:snapToGrid w:val="0"/>
              <w:jc w:val="center"/>
              <w:rPr>
                <w:rFonts w:cs="Times New Roman"/>
                <w:color w:val="000000"/>
              </w:rPr>
            </w:pPr>
          </w:p>
        </w:tc>
        <w:tc>
          <w:tcPr>
            <w:tcW w:w="1498" w:type="dxa"/>
            <w:vMerge w:val="continue"/>
            <w:noWrap/>
            <w:vAlign w:val="center"/>
          </w:tcPr>
          <w:p>
            <w:pPr>
              <w:adjustRightInd w:val="0"/>
              <w:snapToGrid w:val="0"/>
              <w:jc w:val="center"/>
              <w:rPr>
                <w:rFonts w:cs="Times New Roman"/>
                <w:color w:val="000000"/>
              </w:rPr>
            </w:pPr>
          </w:p>
        </w:tc>
        <w:tc>
          <w:tcPr>
            <w:tcW w:w="1201" w:type="dxa"/>
            <w:vMerge w:val="continue"/>
            <w:noWrap/>
            <w:vAlign w:val="center"/>
          </w:tcPr>
          <w:p>
            <w:pPr>
              <w:adjustRightInd w:val="0"/>
              <w:snapToGrid w:val="0"/>
              <w:jc w:val="center"/>
              <w:rPr>
                <w:rFonts w:cs="Times New Roman"/>
                <w:color w:val="000000"/>
              </w:rPr>
            </w:pPr>
          </w:p>
        </w:tc>
        <w:tc>
          <w:tcPr>
            <w:tcW w:w="1201"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基准年</w:t>
            </w:r>
          </w:p>
        </w:tc>
        <w:tc>
          <w:tcPr>
            <w:tcW w:w="1202"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水平年</w:t>
            </w:r>
          </w:p>
        </w:tc>
        <w:tc>
          <w:tcPr>
            <w:tcW w:w="2988" w:type="dxa"/>
            <w:vAlign w:val="center"/>
          </w:tcPr>
          <w:p>
            <w:pPr>
              <w:widowControl/>
              <w:adjustRightInd w:val="0"/>
              <w:snapToGrid w:val="0"/>
              <w:jc w:val="center"/>
              <w:textAlignment w:val="center"/>
              <w:rPr>
                <w:rFonts w:hAnsi="宋体" w:cs="Times New Roman"/>
                <w:color w:val="000000"/>
                <w:kern w:val="0"/>
                <w:lang w:bidi="ar"/>
              </w:rPr>
            </w:pPr>
            <w:r>
              <w:rPr>
                <w:rFonts w:hAnsi="宋体" w:cs="Times New Roman"/>
                <w:color w:val="000000"/>
                <w:kern w:val="0"/>
                <w:lang w:bidi="ar"/>
              </w:rPr>
              <w:t>一次性货币补偿安置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3" w:type="dxa"/>
            <w:vMerge w:val="continue"/>
            <w:noWrap/>
            <w:vAlign w:val="center"/>
          </w:tcPr>
          <w:p>
            <w:pPr>
              <w:adjustRightInd w:val="0"/>
              <w:snapToGrid w:val="0"/>
              <w:jc w:val="center"/>
              <w:rPr>
                <w:rFonts w:cs="Times New Roman"/>
                <w:color w:val="000000"/>
              </w:rPr>
            </w:pPr>
          </w:p>
        </w:tc>
        <w:tc>
          <w:tcPr>
            <w:tcW w:w="1498" w:type="dxa"/>
            <w:vMerge w:val="continue"/>
            <w:noWrap/>
            <w:vAlign w:val="center"/>
          </w:tcPr>
          <w:p>
            <w:pPr>
              <w:adjustRightInd w:val="0"/>
              <w:snapToGrid w:val="0"/>
              <w:jc w:val="center"/>
              <w:rPr>
                <w:rFonts w:cs="Times New Roman"/>
                <w:color w:val="000000"/>
              </w:rPr>
            </w:pPr>
          </w:p>
        </w:tc>
        <w:tc>
          <w:tcPr>
            <w:tcW w:w="1201" w:type="dxa"/>
            <w:vMerge w:val="continue"/>
            <w:noWrap/>
            <w:vAlign w:val="center"/>
          </w:tcPr>
          <w:p>
            <w:pPr>
              <w:adjustRightInd w:val="0"/>
              <w:snapToGrid w:val="0"/>
              <w:jc w:val="center"/>
              <w:rPr>
                <w:rFonts w:cs="Times New Roman"/>
                <w:color w:val="000000"/>
              </w:rPr>
            </w:pPr>
          </w:p>
        </w:tc>
        <w:tc>
          <w:tcPr>
            <w:tcW w:w="1201"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人</w:t>
            </w:r>
          </w:p>
        </w:tc>
        <w:tc>
          <w:tcPr>
            <w:tcW w:w="1202" w:type="dxa"/>
            <w:noWrap/>
            <w:vAlign w:val="center"/>
          </w:tcPr>
          <w:p>
            <w:pPr>
              <w:widowControl/>
              <w:adjustRightInd w:val="0"/>
              <w:snapToGrid w:val="0"/>
              <w:jc w:val="center"/>
              <w:textAlignment w:val="center"/>
              <w:rPr>
                <w:rFonts w:cs="Times New Roman"/>
                <w:color w:val="000000"/>
              </w:rPr>
            </w:pPr>
            <w:r>
              <w:rPr>
                <w:rFonts w:hAnsi="宋体" w:cs="Times New Roman"/>
                <w:color w:val="000000"/>
                <w:kern w:val="0"/>
                <w:lang w:bidi="ar"/>
              </w:rPr>
              <w:t>人</w:t>
            </w:r>
          </w:p>
        </w:tc>
        <w:tc>
          <w:tcPr>
            <w:tcW w:w="2988" w:type="dxa"/>
            <w:noWrap/>
            <w:vAlign w:val="center"/>
          </w:tcPr>
          <w:p>
            <w:pPr>
              <w:widowControl/>
              <w:adjustRightInd w:val="0"/>
              <w:snapToGrid w:val="0"/>
              <w:jc w:val="center"/>
              <w:textAlignment w:val="center"/>
              <w:rPr>
                <w:rFonts w:hAnsi="宋体" w:cs="Times New Roman"/>
                <w:color w:val="000000"/>
                <w:kern w:val="0"/>
                <w:lang w:bidi="ar"/>
              </w:rPr>
            </w:pPr>
            <w:r>
              <w:rPr>
                <w:rFonts w:hAnsi="宋体" w:cs="Times New Roman"/>
                <w:color w:val="000000"/>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3" w:type="dxa"/>
            <w:noWrap/>
            <w:vAlign w:val="center"/>
          </w:tcPr>
          <w:p>
            <w:pPr>
              <w:widowControl/>
              <w:adjustRightInd w:val="0"/>
              <w:snapToGrid w:val="0"/>
              <w:jc w:val="center"/>
              <w:textAlignment w:val="bottom"/>
              <w:rPr>
                <w:rFonts w:cs="Times New Roman"/>
                <w:color w:val="000000"/>
              </w:rPr>
            </w:pPr>
            <w:r>
              <w:rPr>
                <w:rFonts w:cs="Times New Roman"/>
                <w:color w:val="000000"/>
                <w:kern w:val="0"/>
                <w:lang w:bidi="ar"/>
              </w:rPr>
              <w:t>1</w:t>
            </w:r>
          </w:p>
        </w:tc>
        <w:tc>
          <w:tcPr>
            <w:tcW w:w="1498" w:type="dxa"/>
            <w:noWrap/>
            <w:vAlign w:val="center"/>
          </w:tcPr>
          <w:p>
            <w:pPr>
              <w:widowControl/>
              <w:adjustRightInd w:val="0"/>
              <w:snapToGrid w:val="0"/>
              <w:jc w:val="center"/>
              <w:textAlignment w:val="bottom"/>
              <w:rPr>
                <w:rFonts w:cs="Times New Roman"/>
                <w:color w:val="000000"/>
              </w:rPr>
            </w:pPr>
            <w:r>
              <w:rPr>
                <w:rFonts w:hAnsi="宋体" w:cs="Times New Roman"/>
                <w:color w:val="000000"/>
                <w:kern w:val="0"/>
                <w:lang w:bidi="ar"/>
              </w:rPr>
              <w:t>激石溪村</w:t>
            </w:r>
          </w:p>
        </w:tc>
        <w:tc>
          <w:tcPr>
            <w:tcW w:w="1201" w:type="dxa"/>
            <w:noWrap/>
            <w:vAlign w:val="center"/>
          </w:tcPr>
          <w:p>
            <w:pPr>
              <w:adjustRightInd w:val="0"/>
              <w:snapToGrid w:val="0"/>
              <w:jc w:val="center"/>
              <w:rPr>
                <w:rFonts w:cs="Times New Roman"/>
                <w:color w:val="000000"/>
              </w:rPr>
            </w:pPr>
          </w:p>
        </w:tc>
        <w:tc>
          <w:tcPr>
            <w:tcW w:w="1201"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154</w:t>
            </w:r>
          </w:p>
        </w:tc>
        <w:tc>
          <w:tcPr>
            <w:tcW w:w="1202"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160</w:t>
            </w:r>
          </w:p>
        </w:tc>
        <w:tc>
          <w:tcPr>
            <w:tcW w:w="2988" w:type="dxa"/>
            <w:shd w:val="clear" w:color="auto" w:fill="auto"/>
            <w:noWrap/>
            <w:vAlign w:val="center"/>
          </w:tcPr>
          <w:p>
            <w:pPr>
              <w:widowControl/>
              <w:adjustRightInd w:val="0"/>
              <w:snapToGrid w:val="0"/>
              <w:jc w:val="center"/>
              <w:textAlignment w:val="center"/>
              <w:rPr>
                <w:rFonts w:hAnsi="宋体" w:cs="Times New Roman"/>
                <w:color w:val="000000"/>
                <w:kern w:val="0"/>
                <w:lang w:bidi="ar"/>
              </w:rPr>
            </w:pPr>
            <w:r>
              <w:rPr>
                <w:rFonts w:ascii="Times New Roman" w:hAnsi="宋体" w:eastAsia="宋体" w:cs="Times New Roman"/>
                <w:color w:val="000000"/>
                <w:kern w:val="0"/>
                <w:sz w:val="21"/>
                <w:szCs w:val="21"/>
                <w:lang w:bidi="ar"/>
              </w:rPr>
              <w:t>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3" w:type="dxa"/>
            <w:noWrap/>
            <w:vAlign w:val="center"/>
          </w:tcPr>
          <w:p>
            <w:pPr>
              <w:widowControl/>
              <w:adjustRightInd w:val="0"/>
              <w:snapToGrid w:val="0"/>
              <w:jc w:val="center"/>
              <w:textAlignment w:val="bottom"/>
              <w:rPr>
                <w:rFonts w:cs="Times New Roman"/>
                <w:color w:val="000000"/>
              </w:rPr>
            </w:pPr>
            <w:r>
              <w:rPr>
                <w:rFonts w:cs="Times New Roman"/>
                <w:color w:val="000000"/>
                <w:kern w:val="0"/>
                <w:lang w:bidi="ar"/>
              </w:rPr>
              <w:t>1.1</w:t>
            </w:r>
          </w:p>
        </w:tc>
        <w:tc>
          <w:tcPr>
            <w:tcW w:w="1498" w:type="dxa"/>
            <w:noWrap/>
            <w:vAlign w:val="center"/>
          </w:tcPr>
          <w:p>
            <w:pPr>
              <w:adjustRightInd w:val="0"/>
              <w:snapToGrid w:val="0"/>
              <w:jc w:val="center"/>
              <w:rPr>
                <w:rFonts w:cs="Times New Roman"/>
                <w:color w:val="000000"/>
              </w:rPr>
            </w:pPr>
          </w:p>
        </w:tc>
        <w:tc>
          <w:tcPr>
            <w:tcW w:w="1201" w:type="dxa"/>
            <w:noWrap/>
            <w:vAlign w:val="center"/>
          </w:tcPr>
          <w:p>
            <w:pPr>
              <w:widowControl/>
              <w:adjustRightInd w:val="0"/>
              <w:snapToGrid w:val="0"/>
              <w:jc w:val="center"/>
              <w:textAlignment w:val="bottom"/>
              <w:rPr>
                <w:rFonts w:cs="Times New Roman"/>
                <w:color w:val="000000"/>
              </w:rPr>
            </w:pPr>
            <w:r>
              <w:rPr>
                <w:rFonts w:hAnsi="宋体" w:cs="Times New Roman"/>
                <w:color w:val="000000"/>
                <w:kern w:val="0"/>
                <w:lang w:bidi="ar"/>
              </w:rPr>
              <w:t>坝仔组</w:t>
            </w:r>
          </w:p>
        </w:tc>
        <w:tc>
          <w:tcPr>
            <w:tcW w:w="1201"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20</w:t>
            </w:r>
          </w:p>
        </w:tc>
        <w:tc>
          <w:tcPr>
            <w:tcW w:w="1202"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21</w:t>
            </w:r>
          </w:p>
        </w:tc>
        <w:tc>
          <w:tcPr>
            <w:tcW w:w="2988" w:type="dxa"/>
            <w:shd w:val="clear" w:color="auto" w:fill="auto"/>
            <w:noWrap/>
            <w:vAlign w:val="center"/>
          </w:tcPr>
          <w:p>
            <w:pPr>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3" w:type="dxa"/>
            <w:noWrap/>
            <w:vAlign w:val="center"/>
          </w:tcPr>
          <w:p>
            <w:pPr>
              <w:widowControl/>
              <w:adjustRightInd w:val="0"/>
              <w:snapToGrid w:val="0"/>
              <w:jc w:val="center"/>
              <w:textAlignment w:val="bottom"/>
              <w:rPr>
                <w:rFonts w:cs="Times New Roman"/>
                <w:color w:val="000000"/>
              </w:rPr>
            </w:pPr>
            <w:r>
              <w:rPr>
                <w:rFonts w:cs="Times New Roman"/>
                <w:color w:val="000000"/>
                <w:kern w:val="0"/>
                <w:lang w:bidi="ar"/>
              </w:rPr>
              <w:t>1.2</w:t>
            </w:r>
          </w:p>
        </w:tc>
        <w:tc>
          <w:tcPr>
            <w:tcW w:w="1498" w:type="dxa"/>
            <w:noWrap/>
            <w:vAlign w:val="center"/>
          </w:tcPr>
          <w:p>
            <w:pPr>
              <w:adjustRightInd w:val="0"/>
              <w:snapToGrid w:val="0"/>
              <w:jc w:val="center"/>
              <w:rPr>
                <w:rFonts w:cs="Times New Roman"/>
                <w:color w:val="000000"/>
              </w:rPr>
            </w:pPr>
          </w:p>
        </w:tc>
        <w:tc>
          <w:tcPr>
            <w:tcW w:w="1201" w:type="dxa"/>
            <w:noWrap/>
            <w:vAlign w:val="center"/>
          </w:tcPr>
          <w:p>
            <w:pPr>
              <w:widowControl/>
              <w:adjustRightInd w:val="0"/>
              <w:snapToGrid w:val="0"/>
              <w:jc w:val="center"/>
              <w:textAlignment w:val="bottom"/>
              <w:rPr>
                <w:rFonts w:cs="Times New Roman"/>
                <w:color w:val="000000"/>
              </w:rPr>
            </w:pPr>
            <w:r>
              <w:rPr>
                <w:rFonts w:hAnsi="宋体" w:cs="Times New Roman"/>
                <w:color w:val="000000"/>
                <w:kern w:val="0"/>
                <w:lang w:bidi="ar"/>
              </w:rPr>
              <w:t>博背组</w:t>
            </w:r>
          </w:p>
        </w:tc>
        <w:tc>
          <w:tcPr>
            <w:tcW w:w="1201"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106</w:t>
            </w:r>
          </w:p>
        </w:tc>
        <w:tc>
          <w:tcPr>
            <w:tcW w:w="1202"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110</w:t>
            </w:r>
          </w:p>
        </w:tc>
        <w:tc>
          <w:tcPr>
            <w:tcW w:w="2988"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3" w:type="dxa"/>
            <w:noWrap/>
            <w:vAlign w:val="center"/>
          </w:tcPr>
          <w:p>
            <w:pPr>
              <w:widowControl/>
              <w:adjustRightInd w:val="0"/>
              <w:snapToGrid w:val="0"/>
              <w:jc w:val="center"/>
              <w:textAlignment w:val="bottom"/>
              <w:rPr>
                <w:rFonts w:cs="Times New Roman"/>
                <w:color w:val="000000"/>
              </w:rPr>
            </w:pPr>
            <w:r>
              <w:rPr>
                <w:rFonts w:cs="Times New Roman"/>
                <w:color w:val="000000"/>
                <w:kern w:val="0"/>
                <w:lang w:bidi="ar"/>
              </w:rPr>
              <w:t>1.</w:t>
            </w:r>
            <w:r>
              <w:rPr>
                <w:rFonts w:hint="eastAsia" w:cs="Times New Roman"/>
                <w:color w:val="000000"/>
                <w:kern w:val="0"/>
                <w:lang w:bidi="ar"/>
              </w:rPr>
              <w:t>3</w:t>
            </w:r>
          </w:p>
        </w:tc>
        <w:tc>
          <w:tcPr>
            <w:tcW w:w="1498" w:type="dxa"/>
            <w:noWrap/>
            <w:vAlign w:val="center"/>
          </w:tcPr>
          <w:p>
            <w:pPr>
              <w:adjustRightInd w:val="0"/>
              <w:snapToGrid w:val="0"/>
              <w:jc w:val="center"/>
              <w:rPr>
                <w:rFonts w:cs="Times New Roman"/>
                <w:color w:val="000000"/>
              </w:rPr>
            </w:pPr>
          </w:p>
        </w:tc>
        <w:tc>
          <w:tcPr>
            <w:tcW w:w="1201" w:type="dxa"/>
            <w:noWrap/>
            <w:vAlign w:val="center"/>
          </w:tcPr>
          <w:p>
            <w:pPr>
              <w:widowControl/>
              <w:adjustRightInd w:val="0"/>
              <w:snapToGrid w:val="0"/>
              <w:jc w:val="center"/>
              <w:textAlignment w:val="bottom"/>
              <w:rPr>
                <w:rFonts w:cs="Times New Roman"/>
                <w:color w:val="000000"/>
              </w:rPr>
            </w:pPr>
            <w:r>
              <w:rPr>
                <w:rFonts w:hAnsi="宋体" w:cs="Times New Roman"/>
                <w:color w:val="000000"/>
                <w:kern w:val="0"/>
                <w:lang w:bidi="ar"/>
              </w:rPr>
              <w:t>上屋组</w:t>
            </w:r>
          </w:p>
        </w:tc>
        <w:tc>
          <w:tcPr>
            <w:tcW w:w="1201"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28</w:t>
            </w:r>
          </w:p>
        </w:tc>
        <w:tc>
          <w:tcPr>
            <w:tcW w:w="1202" w:type="dxa"/>
            <w:shd w:val="clear" w:color="auto" w:fill="auto"/>
            <w:noWrap/>
            <w:vAlign w:val="center"/>
          </w:tcPr>
          <w:p>
            <w:pPr>
              <w:widowControl/>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29</w:t>
            </w:r>
          </w:p>
        </w:tc>
        <w:tc>
          <w:tcPr>
            <w:tcW w:w="2988" w:type="dxa"/>
            <w:shd w:val="clear" w:color="auto" w:fill="auto"/>
            <w:noWrap/>
            <w:vAlign w:val="center"/>
          </w:tcPr>
          <w:p>
            <w:pPr>
              <w:adjustRightInd w:val="0"/>
              <w:snapToGrid w:val="0"/>
              <w:jc w:val="center"/>
              <w:textAlignment w:val="bottom"/>
              <w:rPr>
                <w:rFonts w:hAnsi="宋体" w:cs="Times New Roman"/>
                <w:color w:val="000000"/>
                <w:kern w:val="0"/>
                <w:lang w:bidi="ar"/>
              </w:rPr>
            </w:pPr>
            <w:r>
              <w:rPr>
                <w:rFonts w:ascii="Times New Roman" w:hAnsi="宋体" w:eastAsia="宋体" w:cs="Times New Roman"/>
                <w:color w:val="000000"/>
                <w:kern w:val="0"/>
                <w:sz w:val="21"/>
                <w:szCs w:val="21"/>
                <w:lang w:bidi="ar"/>
              </w:rPr>
              <w:t>29</w:t>
            </w:r>
          </w:p>
        </w:tc>
      </w:tr>
    </w:tbl>
    <w:p>
      <w:pPr>
        <w:pStyle w:val="4"/>
      </w:pPr>
      <w:r>
        <w:t>6.2.2  生产安置规划</w:t>
      </w:r>
    </w:p>
    <w:p>
      <w:pPr>
        <w:pStyle w:val="183"/>
        <w:adjustRightInd w:val="0"/>
        <w:snapToGrid w:val="0"/>
        <w:spacing w:line="480" w:lineRule="exact"/>
        <w:ind w:firstLine="480" w:firstLineChars="200"/>
        <w:rPr>
          <w:kern w:val="0"/>
        </w:rPr>
      </w:pPr>
      <w:r>
        <w:rPr>
          <w:rFonts w:hAnsi="宋体"/>
          <w:kern w:val="0"/>
        </w:rPr>
        <w:t>采取一次性货币补偿生产安置方式的，由村民小组提出书面申请，经村民委员会签署意见，与所在地乡镇政府签订补偿安置协议。</w:t>
      </w:r>
    </w:p>
    <w:p>
      <w:pPr>
        <w:adjustRightInd w:val="0"/>
        <w:snapToGrid w:val="0"/>
        <w:spacing w:line="480" w:lineRule="exact"/>
        <w:ind w:firstLine="480" w:firstLineChars="200"/>
        <w:rPr>
          <w:sz w:val="24"/>
        </w:rPr>
      </w:pPr>
      <w:r>
        <w:rPr>
          <w:rFonts w:hAnsi="宋体"/>
          <w:sz w:val="24"/>
        </w:rPr>
        <w:t>一次性货币补偿安置补偿标准为被征收耕</w:t>
      </w:r>
      <w:r>
        <w:rPr>
          <w:rFonts w:hint="eastAsia" w:hAnsi="宋体"/>
          <w:sz w:val="24"/>
        </w:rPr>
        <w:t>地</w:t>
      </w:r>
      <w:r>
        <w:rPr>
          <w:rFonts w:hAnsi="宋体"/>
          <w:sz w:val="24"/>
        </w:rPr>
        <w:t>相应的土地补偿费</w:t>
      </w:r>
      <w:r>
        <w:rPr>
          <w:rFonts w:hint="eastAsia" w:hAnsi="宋体"/>
          <w:sz w:val="24"/>
        </w:rPr>
        <w:t>和安置补助费</w:t>
      </w:r>
      <w:r>
        <w:rPr>
          <w:rFonts w:hAnsi="宋体"/>
          <w:sz w:val="24"/>
        </w:rPr>
        <w:t>。本项目征地补偿单价执行</w:t>
      </w:r>
      <w:r>
        <w:rPr>
          <w:rFonts w:hint="eastAsia" w:hAnsi="宋体"/>
          <w:sz w:val="24"/>
        </w:rPr>
        <w:t>《</w:t>
      </w:r>
      <w:r>
        <w:rPr>
          <w:rFonts w:hint="eastAsia"/>
          <w:sz w:val="24"/>
        </w:rPr>
        <w:t>汕尾市人民政府关于公布实施征收农用地区片综合地价的公告》(2021年2月10日)</w:t>
      </w:r>
      <w:r>
        <w:rPr>
          <w:rFonts w:hAnsi="宋体"/>
          <w:sz w:val="24"/>
        </w:rPr>
        <w:t>文件标准。</w:t>
      </w:r>
    </w:p>
    <w:p>
      <w:pPr>
        <w:pStyle w:val="183"/>
        <w:adjustRightInd w:val="0"/>
        <w:snapToGrid w:val="0"/>
        <w:spacing w:line="480" w:lineRule="exact"/>
        <w:ind w:firstLine="480" w:firstLineChars="200"/>
        <w:rPr>
          <w:kern w:val="0"/>
        </w:rPr>
      </w:pPr>
      <w:r>
        <w:rPr>
          <w:rFonts w:hAnsi="宋体"/>
          <w:kern w:val="0"/>
        </w:rPr>
        <w:t>一次性货币补偿安置补偿资金来源为纳入一次性货币补偿安置补偿范围耕地的土地补偿费</w:t>
      </w:r>
      <w:r>
        <w:rPr>
          <w:rFonts w:hint="eastAsia" w:hAnsi="宋体"/>
          <w:kern w:val="0"/>
        </w:rPr>
        <w:t>和安置补助费</w:t>
      </w:r>
      <w:r>
        <w:rPr>
          <w:rFonts w:hAnsi="宋体"/>
          <w:kern w:val="0"/>
        </w:rPr>
        <w:t>。</w:t>
      </w:r>
    </w:p>
    <w:p>
      <w:pPr>
        <w:adjustRightInd w:val="0"/>
        <w:snapToGrid w:val="0"/>
        <w:spacing w:line="480" w:lineRule="exact"/>
        <w:ind w:firstLine="480" w:firstLineChars="200"/>
        <w:rPr>
          <w:sz w:val="24"/>
        </w:rPr>
      </w:pPr>
      <w:r>
        <w:rPr>
          <w:rFonts w:hAnsi="宋体"/>
          <w:sz w:val="24"/>
        </w:rPr>
        <w:t>根据移民安置意愿调查成果，规划</w:t>
      </w:r>
      <w:r>
        <w:rPr>
          <w:rFonts w:hint="eastAsia" w:hAnsi="宋体"/>
          <w:sz w:val="24"/>
        </w:rPr>
        <w:t>对征收耕地的村民小组生产安置人口采用</w:t>
      </w:r>
      <w:r>
        <w:rPr>
          <w:rFonts w:hAnsi="宋体"/>
          <w:sz w:val="24"/>
        </w:rPr>
        <w:t>一次性货币补偿安置。</w:t>
      </w:r>
    </w:p>
    <w:p>
      <w:pPr>
        <w:pStyle w:val="3"/>
      </w:pPr>
      <w:bookmarkStart w:id="225" w:name="_Toc90934877"/>
      <w:bookmarkStart w:id="226" w:name="_Hlk90889620"/>
      <w:bookmarkStart w:id="227" w:name="_Hlk90889762"/>
      <w:r>
        <w:t>6.</w:t>
      </w:r>
      <w:r>
        <w:rPr>
          <w:rFonts w:hint="eastAsia"/>
        </w:rPr>
        <w:t>3</w:t>
      </w:r>
      <w:r>
        <w:t xml:space="preserve">  </w:t>
      </w:r>
      <w:r>
        <w:rPr>
          <w:rFonts w:hint="eastAsia"/>
        </w:rPr>
        <w:t>农村小型专项</w:t>
      </w:r>
      <w:r>
        <w:t>规划</w:t>
      </w:r>
      <w:bookmarkEnd w:id="225"/>
    </w:p>
    <w:bookmarkEnd w:id="226"/>
    <w:p>
      <w:pPr>
        <w:adjustRightInd w:val="0"/>
        <w:snapToGrid w:val="0"/>
        <w:spacing w:line="480" w:lineRule="exact"/>
        <w:ind w:firstLine="480" w:firstLineChars="200"/>
        <w:rPr>
          <w:sz w:val="24"/>
        </w:rPr>
      </w:pPr>
      <w:r>
        <w:rPr>
          <w:rFonts w:hint="eastAsia"/>
          <w:sz w:val="24"/>
        </w:rPr>
        <w:t>陆河抽水蓄能电站建设征地淹没占用影响的拦水堰共</w:t>
      </w:r>
      <w:r>
        <w:rPr>
          <w:sz w:val="24"/>
        </w:rPr>
        <w:t>368</w:t>
      </w:r>
      <w:r>
        <w:rPr>
          <w:rFonts w:hint="eastAsia"/>
          <w:sz w:val="24"/>
        </w:rPr>
        <w:t>m长，灌溉渠道共</w:t>
      </w:r>
      <w:r>
        <w:rPr>
          <w:sz w:val="24"/>
        </w:rPr>
        <w:t>15900</w:t>
      </w:r>
      <w:r>
        <w:rPr>
          <w:rFonts w:hint="eastAsia"/>
          <w:sz w:val="24"/>
        </w:rPr>
        <w:t>m</w:t>
      </w:r>
      <w:r>
        <w:rPr>
          <w:rFonts w:hint="eastAsia" w:hAnsi="宋体"/>
          <w:sz w:val="24"/>
          <w:szCs w:val="22"/>
        </w:rPr>
        <w:t>。电站征地后，上述剩余水利设施已失去原有功能，不再进行恢复，</w:t>
      </w:r>
      <w:r>
        <w:rPr>
          <w:rFonts w:hAnsi="宋体"/>
          <w:spacing w:val="2"/>
          <w:sz w:val="24"/>
          <w:szCs w:val="22"/>
        </w:rPr>
        <w:t>根据《水电工程移民专业项目规划设计规范》</w:t>
      </w:r>
      <w:r>
        <w:rPr>
          <w:spacing w:val="2"/>
          <w:sz w:val="24"/>
          <w:szCs w:val="22"/>
        </w:rPr>
        <w:t>(DL</w:t>
      </w:r>
      <w:r>
        <w:rPr>
          <w:rFonts w:hint="eastAsia" w:hAnsi="宋体"/>
          <w:spacing w:val="2"/>
          <w:sz w:val="24"/>
          <w:szCs w:val="22"/>
        </w:rPr>
        <w:t>/</w:t>
      </w:r>
      <w:r>
        <w:rPr>
          <w:spacing w:val="2"/>
          <w:sz w:val="24"/>
          <w:szCs w:val="22"/>
        </w:rPr>
        <w:t>T 5379)</w:t>
      </w:r>
      <w:r>
        <w:rPr>
          <w:rFonts w:hAnsi="宋体"/>
          <w:spacing w:val="2"/>
          <w:sz w:val="24"/>
          <w:szCs w:val="22"/>
        </w:rPr>
        <w:t>，对不需要恢复的，应根据受淹没或建设征地影响的具体情况，分析确定是否给予适当补偿</w:t>
      </w:r>
      <w:r>
        <w:rPr>
          <w:rFonts w:hint="eastAsia" w:hAnsi="宋体"/>
          <w:spacing w:val="2"/>
          <w:sz w:val="24"/>
          <w:szCs w:val="22"/>
        </w:rPr>
        <w:t>，</w:t>
      </w:r>
      <w:r>
        <w:rPr>
          <w:rFonts w:hAnsi="宋体"/>
          <w:spacing w:val="2"/>
          <w:sz w:val="24"/>
          <w:szCs w:val="22"/>
        </w:rPr>
        <w:t>本次对上述受影响的小型拦</w:t>
      </w:r>
      <w:r>
        <w:rPr>
          <w:rFonts w:hint="eastAsia" w:hAnsi="宋体"/>
          <w:spacing w:val="2"/>
          <w:sz w:val="24"/>
          <w:szCs w:val="22"/>
        </w:rPr>
        <w:t>水堰和灌溉</w:t>
      </w:r>
      <w:r>
        <w:rPr>
          <w:rFonts w:hAnsi="宋体"/>
          <w:spacing w:val="2"/>
          <w:sz w:val="24"/>
          <w:szCs w:val="22"/>
        </w:rPr>
        <w:t>渠道采取一次性货币补偿处理。</w:t>
      </w:r>
      <w:bookmarkEnd w:id="227"/>
    </w:p>
    <w:p>
      <w:pPr>
        <w:pStyle w:val="3"/>
      </w:pPr>
      <w:bookmarkStart w:id="228" w:name="_Toc90934878"/>
      <w:r>
        <w:t>6.</w:t>
      </w:r>
      <w:r>
        <w:rPr>
          <w:rFonts w:hint="eastAsia"/>
        </w:rPr>
        <w:t>4</w:t>
      </w:r>
      <w:r>
        <w:t xml:space="preserve">  </w:t>
      </w:r>
      <w:r>
        <w:rPr>
          <w:rFonts w:hint="eastAsia"/>
        </w:rPr>
        <w:t>个体工商户</w:t>
      </w:r>
      <w:r>
        <w:t>规划</w:t>
      </w:r>
      <w:bookmarkEnd w:id="228"/>
    </w:p>
    <w:p>
      <w:pPr>
        <w:adjustRightInd w:val="0"/>
        <w:snapToGrid w:val="0"/>
        <w:spacing w:line="480" w:lineRule="exact"/>
        <w:ind w:firstLine="480" w:firstLineChars="200"/>
        <w:rPr>
          <w:sz w:val="24"/>
          <w:szCs w:val="22"/>
        </w:rPr>
      </w:pPr>
      <w:r>
        <w:rPr>
          <w:rFonts w:hint="eastAsia"/>
          <w:sz w:val="24"/>
          <w:szCs w:val="22"/>
        </w:rPr>
        <w:t>对建设征地影响的个体工商户规划采用货币补偿后自行迁建的处理方案。按照“恢复生产经营，合理补偿影响”的原则，在对已调查确认的不可搬迁设施进行补偿的基础上，对搬迁期间造成的影响计列搬迁补助费、停业损失补偿费和其他费用等。个体工商户普通房屋、附属设施等按照实物指标成果和库区统一标准计列补偿费用。</w:t>
      </w:r>
    </w:p>
    <w:bookmarkEnd w:id="224"/>
    <w:p>
      <w:pPr>
        <w:pStyle w:val="3"/>
      </w:pPr>
      <w:bookmarkStart w:id="229" w:name="_Toc85487721"/>
      <w:bookmarkStart w:id="230" w:name="_Toc86265084"/>
      <w:bookmarkStart w:id="231" w:name="_Toc90934879"/>
      <w:bookmarkStart w:id="232" w:name="_Toc8571"/>
      <w:bookmarkStart w:id="233" w:name="_Toc85660254"/>
      <w:bookmarkStart w:id="234" w:name="_Toc7085"/>
      <w:r>
        <w:t xml:space="preserve">6.5  </w:t>
      </w:r>
      <w:r>
        <w:rPr>
          <w:rFonts w:hint="eastAsia"/>
        </w:rPr>
        <w:t>临时用地复垦规划</w:t>
      </w:r>
      <w:bookmarkEnd w:id="229"/>
      <w:bookmarkEnd w:id="230"/>
      <w:bookmarkEnd w:id="231"/>
      <w:bookmarkEnd w:id="232"/>
      <w:bookmarkEnd w:id="233"/>
      <w:bookmarkEnd w:id="234"/>
    </w:p>
    <w:p>
      <w:pPr>
        <w:pStyle w:val="4"/>
        <w:rPr>
          <w:rFonts w:cs="Times New Roman"/>
        </w:rPr>
      </w:pPr>
      <w:bookmarkStart w:id="235" w:name="_Toc31772"/>
      <w:bookmarkStart w:id="236" w:name="_Toc85487726"/>
      <w:bookmarkStart w:id="237" w:name="_Toc86265085"/>
      <w:bookmarkStart w:id="238" w:name="_Toc11928"/>
      <w:bookmarkStart w:id="239" w:name="_Toc85660259"/>
      <w:r>
        <w:rPr>
          <w:rFonts w:hint="eastAsia" w:cs="Times New Roman"/>
        </w:rPr>
        <w:t>6.5</w:t>
      </w:r>
      <w:r>
        <w:rPr>
          <w:rFonts w:cs="Times New Roman"/>
        </w:rPr>
        <w:t>.1  复垦原则</w:t>
      </w:r>
    </w:p>
    <w:p>
      <w:pPr>
        <w:spacing w:line="460" w:lineRule="exact"/>
        <w:ind w:firstLine="480" w:firstLineChars="200"/>
        <w:rPr>
          <w:rFonts w:cs="Times New Roman"/>
          <w:sz w:val="24"/>
        </w:rPr>
      </w:pPr>
      <w:r>
        <w:rPr>
          <w:rFonts w:hint="eastAsia" w:cs="Times New Roman"/>
          <w:sz w:val="24"/>
        </w:rPr>
        <w:t>根据《中华人民共和国土地管理法》和水电工程建设征地移民安置政策相关规定，对水电工程临时占用的耕地、园地，按使用年限逐年对其进行补偿，施工期结束后，按照“谁破坏、谁复垦”的原则，由建设单位对临时占用的土地采取整治措施，在枢纽工程临时用地范围内选择合适的地点恢复不低于原数量和质量的耕园地，并对生产恢复期的产值不足部分予以补偿。对于临时占用的林地，按照林业部门有关规定，结合枢纽工程建设区环境保护、水土保持措施以及退耕还林政策进行恢复。</w:t>
      </w:r>
    </w:p>
    <w:p>
      <w:pPr>
        <w:spacing w:line="460" w:lineRule="exact"/>
        <w:ind w:firstLine="480" w:firstLineChars="200"/>
        <w:rPr>
          <w:rFonts w:cs="Times New Roman"/>
          <w:snapToGrid w:val="0"/>
          <w:kern w:val="0"/>
          <w:sz w:val="24"/>
          <w:szCs w:val="24"/>
        </w:rPr>
      </w:pPr>
      <w:r>
        <w:rPr>
          <w:rFonts w:hint="eastAsia" w:cs="Times New Roman"/>
          <w:snapToGrid w:val="0"/>
          <w:kern w:val="0"/>
          <w:sz w:val="24"/>
          <w:szCs w:val="24"/>
        </w:rPr>
        <w:t>按照“占多少、垦多少”的原则，结合枢纽工程施工总布置方案，在施工结束后部分渣场、临时生产生活区、条件适宜的施工道路边等施工场地较为平坦，可以通过一定的工程措施在临时场地上进行复垦。另外，还可以利用临时占地范围内未布置设施且场地坡度相对较为平缓的地块进行复垦。复垦应考虑建设征地区的行政区划设置，本着方便耕作者的原则，尽量在占用耕园地原址或周边区域进行复垦。</w:t>
      </w:r>
      <w:r>
        <w:rPr>
          <w:rFonts w:cs="Times New Roman"/>
          <w:snapToGrid w:val="0"/>
          <w:kern w:val="0"/>
          <w:sz w:val="24"/>
          <w:szCs w:val="24"/>
        </w:rPr>
        <w:t>通过复垦设计，恢复本工程临时征用农用地的耕作条件，实现各村组复垦前后总面积不变，且农用</w:t>
      </w:r>
      <w:r>
        <w:rPr>
          <w:rFonts w:hint="eastAsia" w:cs="Times New Roman"/>
          <w:snapToGrid w:val="0"/>
          <w:kern w:val="0"/>
          <w:sz w:val="24"/>
          <w:szCs w:val="24"/>
        </w:rPr>
        <w:t>地面积不少于工程征用临时用地中农用地面积。</w:t>
      </w:r>
    </w:p>
    <w:p>
      <w:pPr>
        <w:pStyle w:val="4"/>
        <w:rPr>
          <w:rFonts w:cs="Times New Roman"/>
        </w:rPr>
      </w:pPr>
      <w:bookmarkStart w:id="240" w:name="_Toc85660256"/>
      <w:bookmarkStart w:id="241" w:name="_Toc85632488"/>
      <w:r>
        <w:rPr>
          <w:rFonts w:hint="eastAsia" w:cs="Times New Roman"/>
        </w:rPr>
        <w:t>6.5</w:t>
      </w:r>
      <w:r>
        <w:rPr>
          <w:rFonts w:cs="Times New Roman"/>
        </w:rPr>
        <w:t>.2  临时用地复垦的可行性分析</w:t>
      </w:r>
      <w:bookmarkEnd w:id="240"/>
      <w:bookmarkEnd w:id="241"/>
    </w:p>
    <w:p>
      <w:pPr>
        <w:keepNext/>
        <w:keepLines/>
        <w:spacing w:line="460" w:lineRule="exact"/>
        <w:outlineLvl w:val="3"/>
        <w:rPr>
          <w:rFonts w:cs="Times New Roman"/>
          <w:bCs/>
          <w:sz w:val="24"/>
          <w:szCs w:val="28"/>
        </w:rPr>
      </w:pPr>
      <w:r>
        <w:rPr>
          <w:rFonts w:hint="eastAsia" w:cs="Times New Roman"/>
          <w:bCs/>
          <w:sz w:val="24"/>
          <w:szCs w:val="28"/>
        </w:rPr>
        <w:t>6.5</w:t>
      </w:r>
      <w:r>
        <w:rPr>
          <w:rFonts w:cs="Times New Roman"/>
          <w:bCs/>
          <w:sz w:val="24"/>
          <w:szCs w:val="28"/>
        </w:rPr>
        <w:t>.2.1</w:t>
      </w:r>
      <w:r>
        <w:rPr>
          <w:rFonts w:hint="eastAsia" w:cs="Times New Roman"/>
          <w:bCs/>
          <w:sz w:val="24"/>
          <w:szCs w:val="28"/>
        </w:rPr>
        <w:t xml:space="preserve"> </w:t>
      </w:r>
      <w:r>
        <w:rPr>
          <w:rFonts w:cs="Times New Roman"/>
          <w:bCs/>
          <w:sz w:val="24"/>
          <w:szCs w:val="28"/>
        </w:rPr>
        <w:t xml:space="preserve"> </w:t>
      </w:r>
      <w:r>
        <w:rPr>
          <w:rFonts w:hint="eastAsia" w:cs="Times New Roman"/>
          <w:bCs/>
          <w:sz w:val="24"/>
          <w:szCs w:val="28"/>
        </w:rPr>
        <w:t>拟破坏土地成因</w:t>
      </w:r>
    </w:p>
    <w:p>
      <w:pPr>
        <w:spacing w:line="460" w:lineRule="exact"/>
        <w:ind w:firstLine="480" w:firstLineChars="200"/>
        <w:rPr>
          <w:rFonts w:cs="Times New Roman"/>
          <w:sz w:val="24"/>
        </w:rPr>
      </w:pPr>
      <w:r>
        <w:rPr>
          <w:rFonts w:cs="Times New Roman"/>
          <w:sz w:val="24"/>
        </w:rPr>
        <w:t>在新建电站过程中将导致对土地破坏形式的不同，从总体而言电站建设过程中的临时土地的破坏主要表现为挖损、压占两方面。</w:t>
      </w:r>
    </w:p>
    <w:p>
      <w:pPr>
        <w:spacing w:line="460" w:lineRule="exact"/>
        <w:ind w:firstLine="480" w:firstLineChars="200"/>
        <w:rPr>
          <w:rFonts w:cs="Times New Roman"/>
          <w:sz w:val="24"/>
        </w:rPr>
      </w:pPr>
      <w:r>
        <w:rPr>
          <w:rFonts w:hint="eastAsia" w:cs="Times New Roman"/>
          <w:sz w:val="24"/>
        </w:rPr>
        <w:t>本次土地复垦所涉及的土地破坏范围包括施工道路、施工场地、弃渣场、表土堆存场等临建设施，对土地的破坏类型主要表现为压占、挖损两个方面。影响的地类主要为林地，</w:t>
      </w:r>
      <w:r>
        <w:rPr>
          <w:rFonts w:cs="Times New Roman"/>
          <w:sz w:val="24"/>
        </w:rPr>
        <w:t>林地面积为932.36亩，其它土地面积较少。</w:t>
      </w:r>
    </w:p>
    <w:p>
      <w:pPr>
        <w:spacing w:line="460" w:lineRule="exact"/>
        <w:ind w:firstLine="480" w:firstLineChars="200"/>
        <w:rPr>
          <w:rFonts w:cs="Times New Roman"/>
          <w:sz w:val="24"/>
        </w:rPr>
      </w:pPr>
      <w:r>
        <w:rPr>
          <w:rFonts w:hint="eastAsia" w:cs="Times New Roman"/>
          <w:sz w:val="24"/>
        </w:rPr>
        <w:t>各临时用地地块占用土地类型及面积详见表6.5</w:t>
      </w:r>
      <w:r>
        <w:rPr>
          <w:rFonts w:cs="Times New Roman"/>
          <w:sz w:val="24"/>
        </w:rPr>
        <w:t>-</w:t>
      </w:r>
      <w:r>
        <w:rPr>
          <w:rFonts w:hint="eastAsia" w:cs="Times New Roman"/>
          <w:sz w:val="24"/>
        </w:rPr>
        <w:t>1</w:t>
      </w:r>
      <w:r>
        <w:rPr>
          <w:rFonts w:cs="Times New Roman"/>
          <w:sz w:val="24"/>
        </w:rPr>
        <w:t>。</w:t>
      </w:r>
    </w:p>
    <w:p>
      <w:pPr>
        <w:adjustRightInd w:val="0"/>
        <w:snapToGrid w:val="0"/>
        <w:spacing w:before="120" w:beforeLines="50" w:line="460" w:lineRule="exact"/>
        <w:ind w:right="-1"/>
        <w:jc w:val="center"/>
        <w:rPr>
          <w:rFonts w:eastAsia="黑体" w:cs="Times New Roman"/>
          <w:sz w:val="24"/>
        </w:rPr>
      </w:pPr>
      <w:r>
        <w:rPr>
          <w:rFonts w:eastAsia="黑体" w:cs="Times New Roman"/>
          <w:sz w:val="24"/>
        </w:rPr>
        <w:t>表</w:t>
      </w:r>
      <w:r>
        <w:rPr>
          <w:rFonts w:hint="eastAsia" w:eastAsia="黑体" w:cs="Times New Roman"/>
          <w:sz w:val="24"/>
        </w:rPr>
        <w:t>6.5</w:t>
      </w:r>
      <w:r>
        <w:rPr>
          <w:rFonts w:eastAsia="黑体" w:cs="Times New Roman"/>
          <w:sz w:val="24"/>
        </w:rPr>
        <w:t>-</w:t>
      </w:r>
      <w:r>
        <w:rPr>
          <w:rFonts w:hint="eastAsia" w:eastAsia="黑体" w:cs="Times New Roman"/>
          <w:sz w:val="24"/>
        </w:rPr>
        <w:t>1</w:t>
      </w:r>
      <w:r>
        <w:rPr>
          <w:rFonts w:eastAsia="黑体" w:cs="Times New Roman"/>
          <w:sz w:val="24"/>
        </w:rPr>
        <w:t xml:space="preserve">  各临时用地地块</w:t>
      </w:r>
      <w:r>
        <w:rPr>
          <w:rFonts w:hint="eastAsia" w:eastAsia="黑体" w:cs="Times New Roman"/>
          <w:sz w:val="24"/>
        </w:rPr>
        <w:t>占用</w:t>
      </w:r>
      <w:r>
        <w:rPr>
          <w:rFonts w:eastAsia="黑体" w:cs="Times New Roman"/>
          <w:sz w:val="24"/>
        </w:rPr>
        <w:t>土地类型及面积表</w:t>
      </w:r>
    </w:p>
    <w:tbl>
      <w:tblPr>
        <w:tblStyle w:val="79"/>
        <w:tblW w:w="88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638"/>
        <w:gridCol w:w="3166"/>
        <w:gridCol w:w="1410"/>
        <w:gridCol w:w="1270"/>
        <w:gridCol w:w="1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hAnsi="宋体" w:cs="Times New Roman"/>
                <w:szCs w:val="21"/>
              </w:rPr>
              <w:t>序号</w:t>
            </w:r>
          </w:p>
        </w:tc>
        <w:tc>
          <w:tcPr>
            <w:tcW w:w="638" w:type="dxa"/>
            <w:vAlign w:val="center"/>
          </w:tcPr>
          <w:p>
            <w:pPr>
              <w:pStyle w:val="1143"/>
              <w:adjustRightInd w:val="0"/>
              <w:snapToGrid w:val="0"/>
              <w:rPr>
                <w:rFonts w:cs="Times New Roman"/>
                <w:szCs w:val="21"/>
              </w:rPr>
            </w:pPr>
            <w:r>
              <w:rPr>
                <w:rFonts w:hAnsi="宋体" w:cs="Times New Roman"/>
                <w:szCs w:val="21"/>
              </w:rPr>
              <w:t>编号</w:t>
            </w:r>
          </w:p>
        </w:tc>
        <w:tc>
          <w:tcPr>
            <w:tcW w:w="3166" w:type="dxa"/>
            <w:vAlign w:val="center"/>
          </w:tcPr>
          <w:p>
            <w:pPr>
              <w:pStyle w:val="1143"/>
              <w:adjustRightInd w:val="0"/>
              <w:snapToGrid w:val="0"/>
              <w:rPr>
                <w:rFonts w:cs="Times New Roman"/>
                <w:szCs w:val="21"/>
              </w:rPr>
            </w:pPr>
            <w:r>
              <w:rPr>
                <w:rFonts w:hAnsi="宋体" w:cs="Times New Roman"/>
                <w:szCs w:val="21"/>
              </w:rPr>
              <w:t>施工区域名称</w:t>
            </w:r>
          </w:p>
        </w:tc>
        <w:tc>
          <w:tcPr>
            <w:tcW w:w="1410" w:type="dxa"/>
            <w:vAlign w:val="center"/>
          </w:tcPr>
          <w:p>
            <w:pPr>
              <w:pStyle w:val="1143"/>
              <w:adjustRightInd w:val="0"/>
              <w:snapToGrid w:val="0"/>
              <w:rPr>
                <w:rFonts w:cs="Times New Roman"/>
                <w:szCs w:val="21"/>
              </w:rPr>
            </w:pPr>
            <w:r>
              <w:rPr>
                <w:rFonts w:hAnsi="宋体" w:cs="Times New Roman"/>
                <w:szCs w:val="21"/>
              </w:rPr>
              <w:t>用地面积</w:t>
            </w:r>
            <w:r>
              <w:rPr>
                <w:rFonts w:cs="Times New Roman"/>
                <w:szCs w:val="21"/>
              </w:rPr>
              <w:t>(</w:t>
            </w:r>
            <w:r>
              <w:rPr>
                <w:rFonts w:hAnsi="宋体" w:cs="Times New Roman"/>
                <w:szCs w:val="21"/>
              </w:rPr>
              <w:t>亩</w:t>
            </w:r>
            <w:r>
              <w:rPr>
                <w:rFonts w:cs="Times New Roman"/>
                <w:szCs w:val="21"/>
              </w:rPr>
              <w:t>)</w:t>
            </w:r>
          </w:p>
        </w:tc>
        <w:tc>
          <w:tcPr>
            <w:tcW w:w="1270" w:type="dxa"/>
            <w:vAlign w:val="center"/>
          </w:tcPr>
          <w:p>
            <w:pPr>
              <w:pStyle w:val="1143"/>
              <w:adjustRightInd w:val="0"/>
              <w:snapToGrid w:val="0"/>
              <w:rPr>
                <w:rFonts w:cs="Times New Roman"/>
                <w:szCs w:val="21"/>
              </w:rPr>
            </w:pPr>
            <w:r>
              <w:rPr>
                <w:rFonts w:hAnsi="宋体" w:cs="Times New Roman"/>
                <w:szCs w:val="21"/>
              </w:rPr>
              <w:t>破坏类型</w:t>
            </w:r>
          </w:p>
        </w:tc>
        <w:tc>
          <w:tcPr>
            <w:tcW w:w="1691" w:type="dxa"/>
            <w:vAlign w:val="center"/>
          </w:tcPr>
          <w:p>
            <w:pPr>
              <w:pStyle w:val="1143"/>
              <w:adjustRightInd w:val="0"/>
              <w:snapToGrid w:val="0"/>
              <w:rPr>
                <w:rFonts w:hAnsi="宋体" w:cs="Times New Roman"/>
                <w:szCs w:val="21"/>
              </w:rPr>
            </w:pPr>
            <w:r>
              <w:rPr>
                <w:rFonts w:hAnsi="宋体" w:cs="Times New Roman"/>
                <w:szCs w:val="21"/>
              </w:rPr>
              <w:t>破坏土地的主要</w:t>
            </w:r>
          </w:p>
          <w:p>
            <w:pPr>
              <w:pStyle w:val="1143"/>
              <w:adjustRightInd w:val="0"/>
              <w:snapToGrid w:val="0"/>
              <w:rPr>
                <w:rFonts w:cs="Times New Roman"/>
                <w:szCs w:val="21"/>
              </w:rPr>
            </w:pPr>
            <w:r>
              <w:rPr>
                <w:rFonts w:hAnsi="宋体" w:cs="Times New Roman"/>
                <w:szCs w:val="21"/>
              </w:rPr>
              <w:t>地类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42" w:type="dxa"/>
            <w:gridSpan w:val="3"/>
            <w:vAlign w:val="center"/>
          </w:tcPr>
          <w:p>
            <w:pPr>
              <w:pStyle w:val="1143"/>
              <w:adjustRightInd w:val="0"/>
              <w:snapToGrid w:val="0"/>
              <w:rPr>
                <w:rFonts w:cs="Times New Roman"/>
                <w:szCs w:val="21"/>
              </w:rPr>
            </w:pPr>
            <w:r>
              <w:rPr>
                <w:rFonts w:hAnsi="宋体" w:cs="Times New Roman"/>
                <w:szCs w:val="21"/>
              </w:rPr>
              <w:t>合计</w:t>
            </w:r>
          </w:p>
        </w:tc>
        <w:tc>
          <w:tcPr>
            <w:tcW w:w="1410" w:type="dxa"/>
            <w:noWrap/>
            <w:vAlign w:val="center"/>
          </w:tcPr>
          <w:p>
            <w:pPr>
              <w:pStyle w:val="1143"/>
              <w:adjustRightInd w:val="0"/>
              <w:snapToGrid w:val="0"/>
              <w:rPr>
                <w:rFonts w:cs="Times New Roman"/>
                <w:szCs w:val="21"/>
              </w:rPr>
            </w:pPr>
            <w:r>
              <w:rPr>
                <w:rFonts w:cs="Times New Roman"/>
                <w:szCs w:val="21"/>
              </w:rPr>
              <w:t>961.83</w:t>
            </w:r>
          </w:p>
        </w:tc>
        <w:tc>
          <w:tcPr>
            <w:tcW w:w="1270" w:type="dxa"/>
            <w:vAlign w:val="center"/>
          </w:tcPr>
          <w:p>
            <w:pPr>
              <w:pStyle w:val="1143"/>
              <w:adjustRightInd w:val="0"/>
              <w:snapToGrid w:val="0"/>
              <w:rPr>
                <w:rFonts w:cs="Times New Roman"/>
                <w:szCs w:val="21"/>
              </w:rPr>
            </w:pPr>
            <w:r>
              <w:rPr>
                <w:rFonts w:hAnsi="宋体" w:cs="Times New Roman"/>
                <w:szCs w:val="21"/>
              </w:rPr>
              <w:t>　</w:t>
            </w:r>
          </w:p>
        </w:tc>
        <w:tc>
          <w:tcPr>
            <w:tcW w:w="1691" w:type="dxa"/>
            <w:vAlign w:val="center"/>
          </w:tcPr>
          <w:p>
            <w:pPr>
              <w:pStyle w:val="1143"/>
              <w:adjustRightInd w:val="0"/>
              <w:snapToGrid w:val="0"/>
              <w:rPr>
                <w:rFonts w:cs="Times New Roman"/>
                <w:szCs w:val="21"/>
              </w:rPr>
            </w:pPr>
            <w:r>
              <w:rPr>
                <w:rFonts w:hAnsi="宋体" w:cs="Times New Roman"/>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1</w:t>
            </w:r>
          </w:p>
        </w:tc>
        <w:tc>
          <w:tcPr>
            <w:tcW w:w="638" w:type="dxa"/>
            <w:vAlign w:val="center"/>
          </w:tcPr>
          <w:p>
            <w:pPr>
              <w:pStyle w:val="1143"/>
              <w:adjustRightInd w:val="0"/>
              <w:snapToGrid w:val="0"/>
              <w:rPr>
                <w:rFonts w:cs="Times New Roman"/>
                <w:szCs w:val="21"/>
              </w:rPr>
            </w:pPr>
            <w:r>
              <w:rPr>
                <w:rFonts w:cs="Times New Roman"/>
                <w:szCs w:val="21"/>
              </w:rPr>
              <w:t>41</w:t>
            </w:r>
          </w:p>
        </w:tc>
        <w:tc>
          <w:tcPr>
            <w:tcW w:w="3166" w:type="dxa"/>
            <w:vAlign w:val="center"/>
          </w:tcPr>
          <w:p>
            <w:pPr>
              <w:pStyle w:val="1143"/>
              <w:adjustRightInd w:val="0"/>
              <w:snapToGrid w:val="0"/>
              <w:rPr>
                <w:rFonts w:cs="Times New Roman"/>
                <w:szCs w:val="21"/>
              </w:rPr>
            </w:pPr>
            <w:r>
              <w:rPr>
                <w:rFonts w:hAnsi="宋体" w:cs="Times New Roman"/>
                <w:szCs w:val="21"/>
              </w:rPr>
              <w:t>上库表土堆存场用地</w:t>
            </w:r>
          </w:p>
        </w:tc>
        <w:tc>
          <w:tcPr>
            <w:tcW w:w="1410" w:type="dxa"/>
            <w:vAlign w:val="center"/>
          </w:tcPr>
          <w:p>
            <w:pPr>
              <w:pStyle w:val="1143"/>
              <w:adjustRightInd w:val="0"/>
              <w:snapToGrid w:val="0"/>
              <w:rPr>
                <w:rFonts w:cs="Times New Roman"/>
                <w:szCs w:val="21"/>
              </w:rPr>
            </w:pPr>
            <w:r>
              <w:rPr>
                <w:rFonts w:cs="Times New Roman"/>
                <w:szCs w:val="21"/>
              </w:rPr>
              <w:t>34.22</w:t>
            </w:r>
          </w:p>
        </w:tc>
        <w:tc>
          <w:tcPr>
            <w:tcW w:w="1270" w:type="dxa"/>
            <w:vAlign w:val="center"/>
          </w:tcPr>
          <w:p>
            <w:pPr>
              <w:pStyle w:val="1143"/>
              <w:adjustRightInd w:val="0"/>
              <w:snapToGrid w:val="0"/>
              <w:rPr>
                <w:rFonts w:cs="Times New Roman"/>
                <w:szCs w:val="21"/>
              </w:rPr>
            </w:pPr>
            <w:r>
              <w:rPr>
                <w:rFonts w:hAnsi="宋体" w:cs="Times New Roman"/>
                <w:szCs w:val="21"/>
              </w:rPr>
              <w:t>压占</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2</w:t>
            </w:r>
          </w:p>
        </w:tc>
        <w:tc>
          <w:tcPr>
            <w:tcW w:w="638" w:type="dxa"/>
            <w:vAlign w:val="center"/>
          </w:tcPr>
          <w:p>
            <w:pPr>
              <w:pStyle w:val="1143"/>
              <w:adjustRightInd w:val="0"/>
              <w:snapToGrid w:val="0"/>
              <w:rPr>
                <w:rFonts w:cs="Times New Roman"/>
                <w:szCs w:val="21"/>
              </w:rPr>
            </w:pPr>
            <w:r>
              <w:rPr>
                <w:rFonts w:cs="Times New Roman"/>
                <w:szCs w:val="21"/>
              </w:rPr>
              <w:t>42</w:t>
            </w:r>
          </w:p>
        </w:tc>
        <w:tc>
          <w:tcPr>
            <w:tcW w:w="3166" w:type="dxa"/>
            <w:vAlign w:val="center"/>
          </w:tcPr>
          <w:p>
            <w:pPr>
              <w:pStyle w:val="1143"/>
              <w:adjustRightInd w:val="0"/>
              <w:snapToGrid w:val="0"/>
              <w:rPr>
                <w:rFonts w:cs="Times New Roman"/>
                <w:szCs w:val="21"/>
              </w:rPr>
            </w:pPr>
            <w:r>
              <w:rPr>
                <w:rFonts w:hAnsi="宋体" w:cs="Times New Roman"/>
                <w:szCs w:val="21"/>
              </w:rPr>
              <w:t>上库弃渣场</w:t>
            </w:r>
          </w:p>
        </w:tc>
        <w:tc>
          <w:tcPr>
            <w:tcW w:w="1410" w:type="dxa"/>
            <w:vAlign w:val="center"/>
          </w:tcPr>
          <w:p>
            <w:pPr>
              <w:pStyle w:val="1143"/>
              <w:adjustRightInd w:val="0"/>
              <w:snapToGrid w:val="0"/>
              <w:rPr>
                <w:rFonts w:cs="Times New Roman"/>
                <w:szCs w:val="21"/>
              </w:rPr>
            </w:pPr>
            <w:r>
              <w:rPr>
                <w:rFonts w:cs="Times New Roman"/>
                <w:szCs w:val="21"/>
              </w:rPr>
              <w:t>228.98</w:t>
            </w:r>
          </w:p>
        </w:tc>
        <w:tc>
          <w:tcPr>
            <w:tcW w:w="1270" w:type="dxa"/>
            <w:vAlign w:val="center"/>
          </w:tcPr>
          <w:p>
            <w:pPr>
              <w:pStyle w:val="1143"/>
              <w:adjustRightInd w:val="0"/>
              <w:snapToGrid w:val="0"/>
              <w:rPr>
                <w:rFonts w:cs="Times New Roman"/>
                <w:szCs w:val="21"/>
              </w:rPr>
            </w:pPr>
            <w:r>
              <w:rPr>
                <w:rFonts w:hAnsi="宋体" w:cs="Times New Roman"/>
                <w:szCs w:val="21"/>
              </w:rPr>
              <w:t>压占</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3</w:t>
            </w:r>
          </w:p>
        </w:tc>
        <w:tc>
          <w:tcPr>
            <w:tcW w:w="638" w:type="dxa"/>
            <w:vAlign w:val="center"/>
          </w:tcPr>
          <w:p>
            <w:pPr>
              <w:pStyle w:val="1143"/>
              <w:adjustRightInd w:val="0"/>
              <w:snapToGrid w:val="0"/>
              <w:rPr>
                <w:rFonts w:cs="Times New Roman"/>
                <w:szCs w:val="21"/>
              </w:rPr>
            </w:pPr>
            <w:r>
              <w:rPr>
                <w:rFonts w:cs="Times New Roman"/>
                <w:szCs w:val="21"/>
              </w:rPr>
              <w:t>43</w:t>
            </w:r>
          </w:p>
        </w:tc>
        <w:tc>
          <w:tcPr>
            <w:tcW w:w="3166" w:type="dxa"/>
            <w:vAlign w:val="center"/>
          </w:tcPr>
          <w:p>
            <w:pPr>
              <w:pStyle w:val="1143"/>
              <w:adjustRightInd w:val="0"/>
              <w:snapToGrid w:val="0"/>
              <w:rPr>
                <w:rFonts w:cs="Times New Roman"/>
                <w:szCs w:val="21"/>
              </w:rPr>
            </w:pPr>
            <w:r>
              <w:rPr>
                <w:rFonts w:hAnsi="宋体" w:cs="Times New Roman"/>
                <w:szCs w:val="21"/>
              </w:rPr>
              <w:t>上库石料场</w:t>
            </w:r>
          </w:p>
        </w:tc>
        <w:tc>
          <w:tcPr>
            <w:tcW w:w="1410" w:type="dxa"/>
            <w:vAlign w:val="center"/>
          </w:tcPr>
          <w:p>
            <w:pPr>
              <w:pStyle w:val="1143"/>
              <w:adjustRightInd w:val="0"/>
              <w:snapToGrid w:val="0"/>
              <w:rPr>
                <w:rFonts w:cs="Times New Roman"/>
                <w:szCs w:val="21"/>
              </w:rPr>
            </w:pPr>
            <w:r>
              <w:rPr>
                <w:rFonts w:cs="Times New Roman"/>
                <w:szCs w:val="21"/>
              </w:rPr>
              <w:t>151.56</w:t>
            </w:r>
          </w:p>
        </w:tc>
        <w:tc>
          <w:tcPr>
            <w:tcW w:w="1270" w:type="dxa"/>
            <w:vAlign w:val="center"/>
          </w:tcPr>
          <w:p>
            <w:pPr>
              <w:pStyle w:val="1143"/>
              <w:adjustRightInd w:val="0"/>
              <w:snapToGrid w:val="0"/>
              <w:rPr>
                <w:rFonts w:cs="Times New Roman"/>
                <w:szCs w:val="21"/>
              </w:rPr>
            </w:pPr>
            <w:r>
              <w:rPr>
                <w:rFonts w:hAnsi="宋体" w:cs="Times New Roman"/>
                <w:szCs w:val="21"/>
              </w:rPr>
              <w:t>挖损</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4</w:t>
            </w:r>
          </w:p>
        </w:tc>
        <w:tc>
          <w:tcPr>
            <w:tcW w:w="638" w:type="dxa"/>
            <w:vAlign w:val="center"/>
          </w:tcPr>
          <w:p>
            <w:pPr>
              <w:pStyle w:val="1143"/>
              <w:adjustRightInd w:val="0"/>
              <w:snapToGrid w:val="0"/>
              <w:rPr>
                <w:rFonts w:cs="Times New Roman"/>
                <w:szCs w:val="21"/>
              </w:rPr>
            </w:pPr>
            <w:r>
              <w:rPr>
                <w:rFonts w:cs="Times New Roman"/>
                <w:szCs w:val="21"/>
              </w:rPr>
              <w:t>44</w:t>
            </w:r>
          </w:p>
        </w:tc>
        <w:tc>
          <w:tcPr>
            <w:tcW w:w="3166" w:type="dxa"/>
            <w:vAlign w:val="center"/>
          </w:tcPr>
          <w:p>
            <w:pPr>
              <w:pStyle w:val="1143"/>
              <w:adjustRightInd w:val="0"/>
              <w:snapToGrid w:val="0"/>
              <w:rPr>
                <w:rFonts w:cs="Times New Roman"/>
                <w:szCs w:val="21"/>
              </w:rPr>
            </w:pPr>
            <w:r>
              <w:rPr>
                <w:rFonts w:hAnsi="宋体" w:cs="Times New Roman"/>
                <w:szCs w:val="21"/>
              </w:rPr>
              <w:t>上库输水发电标施工用地</w:t>
            </w:r>
          </w:p>
        </w:tc>
        <w:tc>
          <w:tcPr>
            <w:tcW w:w="1410" w:type="dxa"/>
            <w:vAlign w:val="center"/>
          </w:tcPr>
          <w:p>
            <w:pPr>
              <w:pStyle w:val="1143"/>
              <w:adjustRightInd w:val="0"/>
              <w:snapToGrid w:val="0"/>
              <w:rPr>
                <w:rFonts w:cs="Times New Roman"/>
                <w:szCs w:val="21"/>
              </w:rPr>
            </w:pPr>
            <w:r>
              <w:rPr>
                <w:rFonts w:cs="Times New Roman"/>
                <w:szCs w:val="21"/>
              </w:rPr>
              <w:t>94.19</w:t>
            </w:r>
          </w:p>
        </w:tc>
        <w:tc>
          <w:tcPr>
            <w:tcW w:w="1270" w:type="dxa"/>
            <w:vAlign w:val="center"/>
          </w:tcPr>
          <w:p>
            <w:pPr>
              <w:pStyle w:val="1143"/>
              <w:adjustRightInd w:val="0"/>
              <w:snapToGrid w:val="0"/>
              <w:rPr>
                <w:rFonts w:cs="Times New Roman"/>
                <w:szCs w:val="21"/>
              </w:rPr>
            </w:pPr>
            <w:r>
              <w:rPr>
                <w:rFonts w:hAnsi="宋体" w:cs="Times New Roman"/>
                <w:szCs w:val="21"/>
              </w:rPr>
              <w:t>挖损、压占</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5</w:t>
            </w:r>
          </w:p>
        </w:tc>
        <w:tc>
          <w:tcPr>
            <w:tcW w:w="638" w:type="dxa"/>
            <w:vAlign w:val="center"/>
          </w:tcPr>
          <w:p>
            <w:pPr>
              <w:pStyle w:val="1143"/>
              <w:adjustRightInd w:val="0"/>
              <w:snapToGrid w:val="0"/>
              <w:rPr>
                <w:rFonts w:cs="Times New Roman"/>
                <w:szCs w:val="21"/>
              </w:rPr>
            </w:pPr>
            <w:r>
              <w:rPr>
                <w:rFonts w:cs="Times New Roman"/>
                <w:szCs w:val="21"/>
              </w:rPr>
              <w:t>45</w:t>
            </w:r>
          </w:p>
        </w:tc>
        <w:tc>
          <w:tcPr>
            <w:tcW w:w="3166" w:type="dxa"/>
            <w:vAlign w:val="center"/>
          </w:tcPr>
          <w:p>
            <w:pPr>
              <w:pStyle w:val="1143"/>
              <w:adjustRightInd w:val="0"/>
              <w:snapToGrid w:val="0"/>
              <w:rPr>
                <w:rFonts w:cs="Times New Roman"/>
                <w:szCs w:val="21"/>
              </w:rPr>
            </w:pPr>
            <w:r>
              <w:rPr>
                <w:rFonts w:hAnsi="宋体" w:cs="Times New Roman"/>
                <w:szCs w:val="21"/>
              </w:rPr>
              <w:t>上下库连接路渣场用地</w:t>
            </w:r>
          </w:p>
        </w:tc>
        <w:tc>
          <w:tcPr>
            <w:tcW w:w="1410" w:type="dxa"/>
            <w:vAlign w:val="center"/>
          </w:tcPr>
          <w:p>
            <w:pPr>
              <w:pStyle w:val="1143"/>
              <w:adjustRightInd w:val="0"/>
              <w:snapToGrid w:val="0"/>
              <w:rPr>
                <w:rFonts w:cs="Times New Roman"/>
                <w:szCs w:val="21"/>
              </w:rPr>
            </w:pPr>
            <w:r>
              <w:rPr>
                <w:rFonts w:cs="Times New Roman"/>
                <w:szCs w:val="21"/>
              </w:rPr>
              <w:t>19.81</w:t>
            </w:r>
          </w:p>
        </w:tc>
        <w:tc>
          <w:tcPr>
            <w:tcW w:w="1270" w:type="dxa"/>
            <w:vAlign w:val="center"/>
          </w:tcPr>
          <w:p>
            <w:pPr>
              <w:pStyle w:val="1143"/>
              <w:adjustRightInd w:val="0"/>
              <w:snapToGrid w:val="0"/>
              <w:rPr>
                <w:rFonts w:cs="Times New Roman"/>
                <w:szCs w:val="21"/>
              </w:rPr>
            </w:pPr>
            <w:r>
              <w:rPr>
                <w:rFonts w:hAnsi="宋体" w:cs="Times New Roman"/>
                <w:szCs w:val="21"/>
              </w:rPr>
              <w:t>挖损、压占</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6</w:t>
            </w:r>
          </w:p>
        </w:tc>
        <w:tc>
          <w:tcPr>
            <w:tcW w:w="638" w:type="dxa"/>
            <w:vAlign w:val="center"/>
          </w:tcPr>
          <w:p>
            <w:pPr>
              <w:pStyle w:val="1143"/>
              <w:adjustRightInd w:val="0"/>
              <w:snapToGrid w:val="0"/>
              <w:rPr>
                <w:rFonts w:cs="Times New Roman"/>
                <w:szCs w:val="21"/>
              </w:rPr>
            </w:pPr>
            <w:r>
              <w:rPr>
                <w:rFonts w:cs="Times New Roman"/>
                <w:szCs w:val="21"/>
              </w:rPr>
              <w:t>46</w:t>
            </w:r>
          </w:p>
        </w:tc>
        <w:tc>
          <w:tcPr>
            <w:tcW w:w="3166" w:type="dxa"/>
            <w:vAlign w:val="center"/>
          </w:tcPr>
          <w:p>
            <w:pPr>
              <w:pStyle w:val="1143"/>
              <w:adjustRightInd w:val="0"/>
              <w:snapToGrid w:val="0"/>
              <w:rPr>
                <w:rFonts w:cs="Times New Roman"/>
                <w:szCs w:val="21"/>
              </w:rPr>
            </w:pPr>
            <w:r>
              <w:rPr>
                <w:rFonts w:hAnsi="宋体" w:cs="Times New Roman"/>
                <w:szCs w:val="21"/>
              </w:rPr>
              <w:t>中平洞施工场地用地</w:t>
            </w:r>
          </w:p>
        </w:tc>
        <w:tc>
          <w:tcPr>
            <w:tcW w:w="1410" w:type="dxa"/>
            <w:vAlign w:val="center"/>
          </w:tcPr>
          <w:p>
            <w:pPr>
              <w:pStyle w:val="1143"/>
              <w:adjustRightInd w:val="0"/>
              <w:snapToGrid w:val="0"/>
              <w:rPr>
                <w:rFonts w:cs="Times New Roman"/>
                <w:szCs w:val="21"/>
              </w:rPr>
            </w:pPr>
            <w:r>
              <w:rPr>
                <w:rFonts w:cs="Times New Roman"/>
                <w:szCs w:val="21"/>
              </w:rPr>
              <w:t>5.15</w:t>
            </w:r>
          </w:p>
        </w:tc>
        <w:tc>
          <w:tcPr>
            <w:tcW w:w="1270" w:type="dxa"/>
            <w:vAlign w:val="center"/>
          </w:tcPr>
          <w:p>
            <w:pPr>
              <w:pStyle w:val="1143"/>
              <w:adjustRightInd w:val="0"/>
              <w:snapToGrid w:val="0"/>
              <w:rPr>
                <w:rFonts w:cs="Times New Roman"/>
                <w:szCs w:val="21"/>
              </w:rPr>
            </w:pPr>
            <w:r>
              <w:rPr>
                <w:rFonts w:hAnsi="宋体" w:cs="Times New Roman"/>
                <w:szCs w:val="21"/>
              </w:rPr>
              <w:t>挖损、压占</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7</w:t>
            </w:r>
          </w:p>
        </w:tc>
        <w:tc>
          <w:tcPr>
            <w:tcW w:w="638" w:type="dxa"/>
            <w:vAlign w:val="center"/>
          </w:tcPr>
          <w:p>
            <w:pPr>
              <w:pStyle w:val="1143"/>
              <w:adjustRightInd w:val="0"/>
              <w:snapToGrid w:val="0"/>
              <w:rPr>
                <w:rFonts w:cs="Times New Roman"/>
                <w:szCs w:val="21"/>
              </w:rPr>
            </w:pPr>
            <w:r>
              <w:rPr>
                <w:rFonts w:cs="Times New Roman"/>
                <w:szCs w:val="21"/>
              </w:rPr>
              <w:t>47</w:t>
            </w:r>
          </w:p>
        </w:tc>
        <w:tc>
          <w:tcPr>
            <w:tcW w:w="3166" w:type="dxa"/>
            <w:vAlign w:val="center"/>
          </w:tcPr>
          <w:p>
            <w:pPr>
              <w:pStyle w:val="1143"/>
              <w:adjustRightInd w:val="0"/>
              <w:snapToGrid w:val="0"/>
              <w:rPr>
                <w:rFonts w:cs="Times New Roman"/>
                <w:szCs w:val="21"/>
              </w:rPr>
            </w:pPr>
            <w:r>
              <w:rPr>
                <w:rFonts w:hAnsi="宋体" w:cs="Times New Roman"/>
                <w:szCs w:val="21"/>
              </w:rPr>
              <w:t>下库弃渣场</w:t>
            </w:r>
          </w:p>
        </w:tc>
        <w:tc>
          <w:tcPr>
            <w:tcW w:w="1410" w:type="dxa"/>
            <w:vAlign w:val="center"/>
          </w:tcPr>
          <w:p>
            <w:pPr>
              <w:pStyle w:val="1143"/>
              <w:adjustRightInd w:val="0"/>
              <w:snapToGrid w:val="0"/>
              <w:rPr>
                <w:rFonts w:cs="Times New Roman"/>
                <w:szCs w:val="21"/>
              </w:rPr>
            </w:pPr>
            <w:r>
              <w:rPr>
                <w:rFonts w:cs="Times New Roman"/>
                <w:szCs w:val="21"/>
              </w:rPr>
              <w:t>307.13</w:t>
            </w:r>
          </w:p>
        </w:tc>
        <w:tc>
          <w:tcPr>
            <w:tcW w:w="1270" w:type="dxa"/>
            <w:vAlign w:val="center"/>
          </w:tcPr>
          <w:p>
            <w:pPr>
              <w:pStyle w:val="1143"/>
              <w:adjustRightInd w:val="0"/>
              <w:snapToGrid w:val="0"/>
              <w:rPr>
                <w:rFonts w:cs="Times New Roman"/>
                <w:szCs w:val="21"/>
              </w:rPr>
            </w:pPr>
            <w:r>
              <w:rPr>
                <w:rFonts w:hAnsi="宋体" w:cs="Times New Roman"/>
                <w:szCs w:val="21"/>
              </w:rPr>
              <w:t>压占</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8</w:t>
            </w:r>
          </w:p>
        </w:tc>
        <w:tc>
          <w:tcPr>
            <w:tcW w:w="638" w:type="dxa"/>
            <w:vAlign w:val="center"/>
          </w:tcPr>
          <w:p>
            <w:pPr>
              <w:pStyle w:val="1143"/>
              <w:adjustRightInd w:val="0"/>
              <w:snapToGrid w:val="0"/>
              <w:rPr>
                <w:rFonts w:cs="Times New Roman"/>
                <w:szCs w:val="21"/>
              </w:rPr>
            </w:pPr>
            <w:r>
              <w:rPr>
                <w:rFonts w:cs="Times New Roman"/>
                <w:szCs w:val="21"/>
              </w:rPr>
              <w:t>48</w:t>
            </w:r>
          </w:p>
        </w:tc>
        <w:tc>
          <w:tcPr>
            <w:tcW w:w="3166" w:type="dxa"/>
            <w:vAlign w:val="center"/>
          </w:tcPr>
          <w:p>
            <w:pPr>
              <w:pStyle w:val="1143"/>
              <w:adjustRightInd w:val="0"/>
              <w:snapToGrid w:val="0"/>
              <w:rPr>
                <w:rFonts w:cs="Times New Roman"/>
                <w:szCs w:val="21"/>
              </w:rPr>
            </w:pPr>
            <w:r>
              <w:rPr>
                <w:rFonts w:hAnsi="宋体" w:cs="Times New Roman"/>
                <w:szCs w:val="21"/>
              </w:rPr>
              <w:t>下库坝后施工场地</w:t>
            </w:r>
          </w:p>
        </w:tc>
        <w:tc>
          <w:tcPr>
            <w:tcW w:w="1410" w:type="dxa"/>
            <w:vAlign w:val="center"/>
          </w:tcPr>
          <w:p>
            <w:pPr>
              <w:pStyle w:val="1143"/>
              <w:adjustRightInd w:val="0"/>
              <w:snapToGrid w:val="0"/>
              <w:rPr>
                <w:rFonts w:cs="Times New Roman"/>
                <w:szCs w:val="21"/>
              </w:rPr>
            </w:pPr>
            <w:r>
              <w:rPr>
                <w:rFonts w:cs="Times New Roman"/>
                <w:szCs w:val="21"/>
              </w:rPr>
              <w:t>20.53</w:t>
            </w:r>
          </w:p>
        </w:tc>
        <w:tc>
          <w:tcPr>
            <w:tcW w:w="1270" w:type="dxa"/>
            <w:vAlign w:val="center"/>
          </w:tcPr>
          <w:p>
            <w:pPr>
              <w:pStyle w:val="1143"/>
              <w:adjustRightInd w:val="0"/>
              <w:snapToGrid w:val="0"/>
              <w:rPr>
                <w:rFonts w:cs="Times New Roman"/>
                <w:szCs w:val="21"/>
              </w:rPr>
            </w:pPr>
            <w:r>
              <w:rPr>
                <w:rFonts w:hAnsi="宋体" w:cs="Times New Roman"/>
                <w:szCs w:val="21"/>
              </w:rPr>
              <w:t>挖损、压占</w:t>
            </w:r>
          </w:p>
        </w:tc>
        <w:tc>
          <w:tcPr>
            <w:tcW w:w="1691" w:type="dxa"/>
            <w:vAlign w:val="center"/>
          </w:tcPr>
          <w:p>
            <w:pPr>
              <w:pStyle w:val="1143"/>
              <w:adjustRightInd w:val="0"/>
              <w:snapToGrid w:val="0"/>
              <w:rPr>
                <w:rFonts w:cs="Times New Roman"/>
                <w:szCs w:val="21"/>
              </w:rPr>
            </w:pPr>
            <w:r>
              <w:rPr>
                <w:rFonts w:hAnsi="宋体" w:cs="Times New Roman"/>
                <w:szCs w:val="21"/>
              </w:rPr>
              <w:t>园地、林地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9</w:t>
            </w:r>
          </w:p>
        </w:tc>
        <w:tc>
          <w:tcPr>
            <w:tcW w:w="638" w:type="dxa"/>
            <w:vAlign w:val="center"/>
          </w:tcPr>
          <w:p>
            <w:pPr>
              <w:pStyle w:val="1143"/>
              <w:adjustRightInd w:val="0"/>
              <w:snapToGrid w:val="0"/>
              <w:rPr>
                <w:rFonts w:cs="Times New Roman"/>
                <w:szCs w:val="21"/>
              </w:rPr>
            </w:pPr>
            <w:r>
              <w:rPr>
                <w:rFonts w:cs="Times New Roman"/>
                <w:szCs w:val="21"/>
              </w:rPr>
              <w:t>49</w:t>
            </w:r>
          </w:p>
        </w:tc>
        <w:tc>
          <w:tcPr>
            <w:tcW w:w="3166" w:type="dxa"/>
            <w:vAlign w:val="center"/>
          </w:tcPr>
          <w:p>
            <w:pPr>
              <w:pStyle w:val="1143"/>
              <w:adjustRightInd w:val="0"/>
              <w:snapToGrid w:val="0"/>
              <w:rPr>
                <w:rFonts w:cs="Times New Roman"/>
                <w:szCs w:val="21"/>
              </w:rPr>
            </w:pPr>
            <w:r>
              <w:rPr>
                <w:rFonts w:hAnsi="宋体" w:cs="Times New Roman"/>
                <w:szCs w:val="21"/>
              </w:rPr>
              <w:t>下库坝后道路及大坝标场地用地</w:t>
            </w:r>
          </w:p>
        </w:tc>
        <w:tc>
          <w:tcPr>
            <w:tcW w:w="1410" w:type="dxa"/>
            <w:vAlign w:val="center"/>
          </w:tcPr>
          <w:p>
            <w:pPr>
              <w:pStyle w:val="1143"/>
              <w:adjustRightInd w:val="0"/>
              <w:snapToGrid w:val="0"/>
              <w:rPr>
                <w:rFonts w:cs="Times New Roman"/>
                <w:szCs w:val="21"/>
              </w:rPr>
            </w:pPr>
            <w:r>
              <w:rPr>
                <w:rFonts w:cs="Times New Roman"/>
                <w:szCs w:val="21"/>
              </w:rPr>
              <w:t>67.09</w:t>
            </w:r>
          </w:p>
        </w:tc>
        <w:tc>
          <w:tcPr>
            <w:tcW w:w="1270" w:type="dxa"/>
            <w:vAlign w:val="center"/>
          </w:tcPr>
          <w:p>
            <w:pPr>
              <w:pStyle w:val="1143"/>
              <w:adjustRightInd w:val="0"/>
              <w:snapToGrid w:val="0"/>
              <w:rPr>
                <w:rFonts w:cs="Times New Roman"/>
                <w:szCs w:val="21"/>
              </w:rPr>
            </w:pPr>
            <w:r>
              <w:rPr>
                <w:rFonts w:hAnsi="宋体" w:cs="Times New Roman"/>
                <w:szCs w:val="21"/>
              </w:rPr>
              <w:t>挖损、压占</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8" w:type="dxa"/>
            <w:vAlign w:val="center"/>
          </w:tcPr>
          <w:p>
            <w:pPr>
              <w:pStyle w:val="1143"/>
              <w:adjustRightInd w:val="0"/>
              <w:snapToGrid w:val="0"/>
              <w:rPr>
                <w:rFonts w:cs="Times New Roman"/>
                <w:szCs w:val="21"/>
              </w:rPr>
            </w:pPr>
            <w:r>
              <w:rPr>
                <w:rFonts w:cs="Times New Roman"/>
                <w:szCs w:val="21"/>
              </w:rPr>
              <w:t>10</w:t>
            </w:r>
          </w:p>
        </w:tc>
        <w:tc>
          <w:tcPr>
            <w:tcW w:w="638" w:type="dxa"/>
            <w:vAlign w:val="center"/>
          </w:tcPr>
          <w:p>
            <w:pPr>
              <w:pStyle w:val="1143"/>
              <w:adjustRightInd w:val="0"/>
              <w:snapToGrid w:val="0"/>
              <w:rPr>
                <w:rFonts w:cs="Times New Roman"/>
                <w:szCs w:val="21"/>
              </w:rPr>
            </w:pPr>
            <w:r>
              <w:rPr>
                <w:rFonts w:cs="Times New Roman"/>
                <w:szCs w:val="21"/>
              </w:rPr>
              <w:t>50</w:t>
            </w:r>
          </w:p>
        </w:tc>
        <w:tc>
          <w:tcPr>
            <w:tcW w:w="3166" w:type="dxa"/>
            <w:vAlign w:val="center"/>
          </w:tcPr>
          <w:p>
            <w:pPr>
              <w:pStyle w:val="1143"/>
              <w:adjustRightInd w:val="0"/>
              <w:snapToGrid w:val="0"/>
              <w:rPr>
                <w:rFonts w:cs="Times New Roman"/>
                <w:szCs w:val="21"/>
              </w:rPr>
            </w:pPr>
            <w:r>
              <w:rPr>
                <w:rFonts w:hAnsi="宋体" w:cs="Times New Roman"/>
                <w:szCs w:val="21"/>
              </w:rPr>
              <w:t>下库大坝标施工营地用地</w:t>
            </w:r>
          </w:p>
        </w:tc>
        <w:tc>
          <w:tcPr>
            <w:tcW w:w="1410" w:type="dxa"/>
            <w:vAlign w:val="center"/>
          </w:tcPr>
          <w:p>
            <w:pPr>
              <w:pStyle w:val="1143"/>
              <w:adjustRightInd w:val="0"/>
              <w:snapToGrid w:val="0"/>
              <w:rPr>
                <w:rFonts w:cs="Times New Roman"/>
                <w:szCs w:val="21"/>
              </w:rPr>
            </w:pPr>
            <w:r>
              <w:rPr>
                <w:rFonts w:cs="Times New Roman"/>
                <w:szCs w:val="21"/>
              </w:rPr>
              <w:t>33.16</w:t>
            </w:r>
          </w:p>
        </w:tc>
        <w:tc>
          <w:tcPr>
            <w:tcW w:w="1270" w:type="dxa"/>
            <w:vAlign w:val="center"/>
          </w:tcPr>
          <w:p>
            <w:pPr>
              <w:pStyle w:val="1143"/>
              <w:adjustRightInd w:val="0"/>
              <w:snapToGrid w:val="0"/>
              <w:rPr>
                <w:rFonts w:cs="Times New Roman"/>
                <w:szCs w:val="21"/>
              </w:rPr>
            </w:pPr>
            <w:r>
              <w:rPr>
                <w:rFonts w:hAnsi="宋体" w:cs="Times New Roman"/>
                <w:szCs w:val="21"/>
              </w:rPr>
              <w:t>压占</w:t>
            </w:r>
          </w:p>
        </w:tc>
        <w:tc>
          <w:tcPr>
            <w:tcW w:w="1691" w:type="dxa"/>
            <w:vAlign w:val="center"/>
          </w:tcPr>
          <w:p>
            <w:pPr>
              <w:pStyle w:val="1143"/>
              <w:adjustRightInd w:val="0"/>
              <w:snapToGrid w:val="0"/>
              <w:rPr>
                <w:rFonts w:cs="Times New Roman"/>
                <w:szCs w:val="21"/>
              </w:rPr>
            </w:pPr>
            <w:r>
              <w:rPr>
                <w:rFonts w:hAnsi="宋体" w:cs="Times New Roman"/>
                <w:szCs w:val="21"/>
              </w:rPr>
              <w:t>林地</w:t>
            </w:r>
          </w:p>
        </w:tc>
      </w:tr>
    </w:tbl>
    <w:p>
      <w:pPr>
        <w:keepNext/>
        <w:keepLines/>
        <w:spacing w:line="460" w:lineRule="exact"/>
        <w:outlineLvl w:val="3"/>
        <w:rPr>
          <w:rFonts w:cs="Times New Roman"/>
          <w:bCs/>
          <w:sz w:val="24"/>
          <w:szCs w:val="28"/>
        </w:rPr>
      </w:pPr>
      <w:r>
        <w:rPr>
          <w:rFonts w:hint="eastAsia" w:cs="Times New Roman"/>
          <w:bCs/>
          <w:sz w:val="24"/>
          <w:szCs w:val="28"/>
        </w:rPr>
        <w:t>6.5</w:t>
      </w:r>
      <w:r>
        <w:rPr>
          <w:rFonts w:cs="Times New Roman"/>
          <w:bCs/>
          <w:sz w:val="24"/>
          <w:szCs w:val="28"/>
        </w:rPr>
        <w:t>.2.2</w:t>
      </w:r>
      <w:r>
        <w:rPr>
          <w:rFonts w:hint="eastAsia" w:cs="Times New Roman"/>
          <w:bCs/>
          <w:sz w:val="24"/>
          <w:szCs w:val="28"/>
        </w:rPr>
        <w:t xml:space="preserve"> </w:t>
      </w:r>
      <w:r>
        <w:rPr>
          <w:rFonts w:cs="Times New Roman"/>
          <w:bCs/>
          <w:sz w:val="24"/>
          <w:szCs w:val="28"/>
        </w:rPr>
        <w:t xml:space="preserve"> </w:t>
      </w:r>
      <w:r>
        <w:rPr>
          <w:rFonts w:hint="eastAsia" w:cs="Times New Roman"/>
          <w:bCs/>
          <w:sz w:val="24"/>
          <w:szCs w:val="28"/>
        </w:rPr>
        <w:t>复垦可行性评价</w:t>
      </w:r>
    </w:p>
    <w:p>
      <w:pPr>
        <w:spacing w:line="460" w:lineRule="exact"/>
        <w:ind w:firstLine="480" w:firstLineChars="200"/>
        <w:rPr>
          <w:rFonts w:cs="Times New Roman"/>
          <w:sz w:val="24"/>
        </w:rPr>
      </w:pPr>
      <w:r>
        <w:rPr>
          <w:rFonts w:cs="Times New Roman"/>
          <w:sz w:val="24"/>
        </w:rPr>
        <w:t>参评单元前后特征是根据对各参评单元现状踏勘资料，并结合电站后期的建设方案进行预测，各参评单元的开采前后特征分析如表</w:t>
      </w:r>
      <w:r>
        <w:rPr>
          <w:rFonts w:hint="eastAsia" w:cs="Times New Roman"/>
          <w:sz w:val="24"/>
        </w:rPr>
        <w:t>6.5</w:t>
      </w:r>
      <w:r>
        <w:rPr>
          <w:rFonts w:cs="Times New Roman"/>
          <w:sz w:val="24"/>
        </w:rPr>
        <w:t>-</w:t>
      </w:r>
      <w:r>
        <w:rPr>
          <w:rFonts w:hint="eastAsia" w:cs="Times New Roman"/>
          <w:sz w:val="24"/>
        </w:rPr>
        <w:t>2</w:t>
      </w:r>
      <w:r>
        <w:rPr>
          <w:rFonts w:cs="Times New Roman"/>
          <w:sz w:val="24"/>
        </w:rPr>
        <w:t>。</w:t>
      </w:r>
    </w:p>
    <w:p>
      <w:pPr>
        <w:spacing w:line="460" w:lineRule="exact"/>
        <w:jc w:val="center"/>
        <w:textAlignment w:val="baseline"/>
        <w:rPr>
          <w:rFonts w:eastAsia="黑体" w:cs="Times New Roman"/>
          <w:kern w:val="0"/>
          <w:sz w:val="24"/>
        </w:rPr>
      </w:pPr>
      <w:r>
        <w:rPr>
          <w:rFonts w:eastAsia="黑体" w:cs="Times New Roman"/>
          <w:kern w:val="0"/>
          <w:sz w:val="24"/>
        </w:rPr>
        <w:br w:type="page"/>
      </w:r>
      <w:r>
        <w:rPr>
          <w:rFonts w:eastAsia="黑体" w:cs="Times New Roman"/>
          <w:kern w:val="0"/>
          <w:sz w:val="24"/>
        </w:rPr>
        <w:t>表</w:t>
      </w:r>
      <w:r>
        <w:rPr>
          <w:rFonts w:hint="eastAsia" w:eastAsia="黑体" w:cs="Times New Roman"/>
          <w:kern w:val="0"/>
          <w:sz w:val="24"/>
        </w:rPr>
        <w:t>6.5</w:t>
      </w:r>
      <w:r>
        <w:rPr>
          <w:rFonts w:eastAsia="黑体" w:cs="Times New Roman"/>
          <w:kern w:val="0"/>
          <w:sz w:val="24"/>
        </w:rPr>
        <w:t>-</w:t>
      </w:r>
      <w:r>
        <w:rPr>
          <w:rFonts w:hint="eastAsia" w:eastAsia="黑体" w:cs="Times New Roman"/>
          <w:kern w:val="0"/>
          <w:sz w:val="24"/>
        </w:rPr>
        <w:t>2</w:t>
      </w:r>
      <w:r>
        <w:rPr>
          <w:rFonts w:eastAsia="黑体" w:cs="Times New Roman"/>
          <w:kern w:val="0"/>
          <w:sz w:val="24"/>
        </w:rPr>
        <w:t xml:space="preserve">  各参评单元开采前后特征分析</w:t>
      </w:r>
    </w:p>
    <w:tbl>
      <w:tblPr>
        <w:tblStyle w:val="79"/>
        <w:tblW w:w="88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67"/>
        <w:gridCol w:w="3038"/>
        <w:gridCol w:w="3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hAnsi="宋体" w:cs="Times New Roman"/>
                <w:szCs w:val="21"/>
              </w:rPr>
              <w:t>编号</w:t>
            </w:r>
          </w:p>
        </w:tc>
        <w:tc>
          <w:tcPr>
            <w:tcW w:w="1567" w:type="dxa"/>
            <w:vAlign w:val="center"/>
          </w:tcPr>
          <w:p>
            <w:pPr>
              <w:pStyle w:val="1143"/>
              <w:adjustRightInd w:val="0"/>
              <w:snapToGrid w:val="0"/>
              <w:rPr>
                <w:rFonts w:cs="Times New Roman"/>
                <w:szCs w:val="21"/>
              </w:rPr>
            </w:pPr>
            <w:r>
              <w:rPr>
                <w:rFonts w:hAnsi="宋体" w:cs="Times New Roman"/>
                <w:szCs w:val="21"/>
              </w:rPr>
              <w:t>施工区域名称</w:t>
            </w:r>
          </w:p>
        </w:tc>
        <w:tc>
          <w:tcPr>
            <w:tcW w:w="3038" w:type="dxa"/>
            <w:vAlign w:val="center"/>
          </w:tcPr>
          <w:p>
            <w:pPr>
              <w:pStyle w:val="1143"/>
              <w:adjustRightInd w:val="0"/>
              <w:snapToGrid w:val="0"/>
              <w:rPr>
                <w:rFonts w:cs="Times New Roman"/>
                <w:szCs w:val="21"/>
              </w:rPr>
            </w:pPr>
            <w:r>
              <w:rPr>
                <w:rFonts w:hAnsi="宋体" w:cs="Times New Roman"/>
                <w:szCs w:val="21"/>
              </w:rPr>
              <w:t>使用前特征</w:t>
            </w:r>
          </w:p>
        </w:tc>
        <w:tc>
          <w:tcPr>
            <w:tcW w:w="3782" w:type="dxa"/>
            <w:vAlign w:val="center"/>
          </w:tcPr>
          <w:p>
            <w:pPr>
              <w:pStyle w:val="1143"/>
              <w:adjustRightInd w:val="0"/>
              <w:snapToGrid w:val="0"/>
              <w:rPr>
                <w:rFonts w:cs="Times New Roman"/>
                <w:szCs w:val="21"/>
              </w:rPr>
            </w:pPr>
            <w:r>
              <w:rPr>
                <w:rFonts w:hAnsi="宋体" w:cs="Times New Roman"/>
                <w:szCs w:val="21"/>
              </w:rPr>
              <w:t>使用后特征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41</w:t>
            </w:r>
          </w:p>
        </w:tc>
        <w:tc>
          <w:tcPr>
            <w:tcW w:w="1567" w:type="dxa"/>
            <w:vAlign w:val="center"/>
          </w:tcPr>
          <w:p>
            <w:pPr>
              <w:pStyle w:val="1143"/>
              <w:adjustRightInd w:val="0"/>
              <w:snapToGrid w:val="0"/>
              <w:rPr>
                <w:rFonts w:hAnsi="宋体" w:cs="Times New Roman"/>
                <w:szCs w:val="21"/>
              </w:rPr>
            </w:pPr>
            <w:r>
              <w:rPr>
                <w:rFonts w:hAnsi="宋体" w:cs="Times New Roman"/>
                <w:szCs w:val="21"/>
              </w:rPr>
              <w:t>上库表土堆</w:t>
            </w:r>
          </w:p>
          <w:p>
            <w:pPr>
              <w:pStyle w:val="1143"/>
              <w:adjustRightInd w:val="0"/>
              <w:snapToGrid w:val="0"/>
              <w:rPr>
                <w:rFonts w:cs="Times New Roman"/>
                <w:szCs w:val="21"/>
              </w:rPr>
            </w:pPr>
            <w:r>
              <w:rPr>
                <w:rFonts w:hAnsi="宋体" w:cs="Times New Roman"/>
                <w:szCs w:val="21"/>
              </w:rPr>
              <w:t>存场用地</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noWrap/>
            <w:vAlign w:val="center"/>
          </w:tcPr>
          <w:p>
            <w:pPr>
              <w:pStyle w:val="1143"/>
              <w:adjustRightInd w:val="0"/>
              <w:snapToGrid w:val="0"/>
              <w:jc w:val="left"/>
              <w:rPr>
                <w:rFonts w:cs="Times New Roman"/>
                <w:szCs w:val="21"/>
              </w:rPr>
            </w:pPr>
            <w:r>
              <w:rPr>
                <w:rFonts w:hAnsi="宋体" w:cs="Times New Roman"/>
                <w:szCs w:val="21"/>
              </w:rPr>
              <w:t>整体坡度较缓，部分场地平整，地面板结。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42</w:t>
            </w:r>
          </w:p>
        </w:tc>
        <w:tc>
          <w:tcPr>
            <w:tcW w:w="1567" w:type="dxa"/>
            <w:vAlign w:val="center"/>
          </w:tcPr>
          <w:p>
            <w:pPr>
              <w:pStyle w:val="1143"/>
              <w:adjustRightInd w:val="0"/>
              <w:snapToGrid w:val="0"/>
              <w:rPr>
                <w:rFonts w:cs="Times New Roman"/>
                <w:szCs w:val="21"/>
              </w:rPr>
            </w:pPr>
            <w:r>
              <w:rPr>
                <w:rFonts w:hAnsi="宋体" w:cs="Times New Roman"/>
                <w:szCs w:val="21"/>
              </w:rPr>
              <w:t>上库弃渣场</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noWrap/>
            <w:vAlign w:val="center"/>
          </w:tcPr>
          <w:p>
            <w:pPr>
              <w:pStyle w:val="1143"/>
              <w:adjustRightInd w:val="0"/>
              <w:snapToGrid w:val="0"/>
              <w:jc w:val="left"/>
              <w:rPr>
                <w:rFonts w:cs="Times New Roman"/>
                <w:szCs w:val="21"/>
              </w:rPr>
            </w:pPr>
            <w:r>
              <w:rPr>
                <w:rFonts w:hAnsi="宋体" w:cs="Times New Roman"/>
                <w:szCs w:val="21"/>
              </w:rPr>
              <w:t>表土被清理，整体坡度较缓，部分场地平整，地面板结。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43</w:t>
            </w:r>
          </w:p>
        </w:tc>
        <w:tc>
          <w:tcPr>
            <w:tcW w:w="1567" w:type="dxa"/>
            <w:vAlign w:val="center"/>
          </w:tcPr>
          <w:p>
            <w:pPr>
              <w:pStyle w:val="1143"/>
              <w:adjustRightInd w:val="0"/>
              <w:snapToGrid w:val="0"/>
              <w:rPr>
                <w:rFonts w:cs="Times New Roman"/>
                <w:szCs w:val="21"/>
              </w:rPr>
            </w:pPr>
            <w:r>
              <w:rPr>
                <w:rFonts w:hAnsi="宋体" w:cs="Times New Roman"/>
                <w:szCs w:val="21"/>
              </w:rPr>
              <w:t>上库石料场</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noWrap/>
            <w:vAlign w:val="center"/>
          </w:tcPr>
          <w:p>
            <w:pPr>
              <w:pStyle w:val="1143"/>
              <w:adjustRightInd w:val="0"/>
              <w:snapToGrid w:val="0"/>
              <w:jc w:val="left"/>
              <w:rPr>
                <w:rFonts w:cs="Times New Roman"/>
                <w:szCs w:val="21"/>
              </w:rPr>
            </w:pPr>
            <w:r>
              <w:rPr>
                <w:rFonts w:hAnsi="宋体" w:cs="Times New Roman"/>
                <w:szCs w:val="21"/>
              </w:rPr>
              <w:t>区域内植被被破坏，挖损严重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44</w:t>
            </w:r>
          </w:p>
        </w:tc>
        <w:tc>
          <w:tcPr>
            <w:tcW w:w="1567" w:type="dxa"/>
            <w:vAlign w:val="center"/>
          </w:tcPr>
          <w:p>
            <w:pPr>
              <w:pStyle w:val="1143"/>
              <w:adjustRightInd w:val="0"/>
              <w:snapToGrid w:val="0"/>
              <w:rPr>
                <w:rFonts w:hAnsi="宋体" w:cs="Times New Roman"/>
                <w:szCs w:val="21"/>
              </w:rPr>
            </w:pPr>
            <w:r>
              <w:rPr>
                <w:rFonts w:hAnsi="宋体" w:cs="Times New Roman"/>
                <w:szCs w:val="21"/>
              </w:rPr>
              <w:t>上库输水发电标施工用地</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vAlign w:val="center"/>
          </w:tcPr>
          <w:p>
            <w:pPr>
              <w:pStyle w:val="1143"/>
              <w:adjustRightInd w:val="0"/>
              <w:snapToGrid w:val="0"/>
              <w:jc w:val="left"/>
              <w:rPr>
                <w:rFonts w:cs="Times New Roman"/>
                <w:szCs w:val="21"/>
              </w:rPr>
            </w:pPr>
            <w:r>
              <w:rPr>
                <w:rFonts w:hAnsi="宋体" w:cs="Times New Roman"/>
                <w:szCs w:val="21"/>
              </w:rPr>
              <w:t>表土被清理，生产区内建设有部分建筑，部分场地平整，地面板结。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45</w:t>
            </w:r>
          </w:p>
        </w:tc>
        <w:tc>
          <w:tcPr>
            <w:tcW w:w="1567" w:type="dxa"/>
            <w:vAlign w:val="center"/>
          </w:tcPr>
          <w:p>
            <w:pPr>
              <w:pStyle w:val="1143"/>
              <w:adjustRightInd w:val="0"/>
              <w:snapToGrid w:val="0"/>
              <w:rPr>
                <w:rFonts w:cs="Times New Roman"/>
                <w:szCs w:val="21"/>
              </w:rPr>
            </w:pPr>
            <w:r>
              <w:rPr>
                <w:rFonts w:hAnsi="宋体" w:cs="Times New Roman"/>
                <w:szCs w:val="21"/>
              </w:rPr>
              <w:t>上下库连接路渣场用地</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noWrap/>
            <w:vAlign w:val="center"/>
          </w:tcPr>
          <w:p>
            <w:pPr>
              <w:pStyle w:val="1143"/>
              <w:adjustRightInd w:val="0"/>
              <w:snapToGrid w:val="0"/>
              <w:jc w:val="left"/>
              <w:rPr>
                <w:rFonts w:cs="Times New Roman"/>
                <w:szCs w:val="21"/>
              </w:rPr>
            </w:pPr>
            <w:r>
              <w:rPr>
                <w:rFonts w:hAnsi="宋体" w:cs="Times New Roman"/>
                <w:szCs w:val="21"/>
              </w:rPr>
              <w:t>场地平整，地面板结。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46</w:t>
            </w:r>
          </w:p>
        </w:tc>
        <w:tc>
          <w:tcPr>
            <w:tcW w:w="1567" w:type="dxa"/>
            <w:vAlign w:val="center"/>
          </w:tcPr>
          <w:p>
            <w:pPr>
              <w:pStyle w:val="1143"/>
              <w:adjustRightInd w:val="0"/>
              <w:snapToGrid w:val="0"/>
              <w:rPr>
                <w:rFonts w:hAnsi="宋体" w:cs="Times New Roman"/>
                <w:szCs w:val="21"/>
              </w:rPr>
            </w:pPr>
            <w:r>
              <w:rPr>
                <w:rFonts w:hAnsi="宋体" w:cs="Times New Roman"/>
                <w:szCs w:val="21"/>
              </w:rPr>
              <w:t>中平洞施工</w:t>
            </w:r>
          </w:p>
          <w:p>
            <w:pPr>
              <w:pStyle w:val="1143"/>
              <w:adjustRightInd w:val="0"/>
              <w:snapToGrid w:val="0"/>
              <w:rPr>
                <w:rFonts w:cs="Times New Roman"/>
                <w:szCs w:val="21"/>
              </w:rPr>
            </w:pPr>
            <w:r>
              <w:rPr>
                <w:rFonts w:hAnsi="宋体" w:cs="Times New Roman"/>
                <w:szCs w:val="21"/>
              </w:rPr>
              <w:t>场地用地</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vAlign w:val="center"/>
          </w:tcPr>
          <w:p>
            <w:pPr>
              <w:pStyle w:val="1143"/>
              <w:adjustRightInd w:val="0"/>
              <w:snapToGrid w:val="0"/>
              <w:jc w:val="left"/>
              <w:rPr>
                <w:rFonts w:cs="Times New Roman"/>
                <w:szCs w:val="21"/>
              </w:rPr>
            </w:pPr>
            <w:r>
              <w:rPr>
                <w:rFonts w:hAnsi="宋体" w:cs="Times New Roman"/>
                <w:szCs w:val="21"/>
              </w:rPr>
              <w:t>表土被清理，生产区内建设有部分建筑，部分场地平整，地面板结。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47</w:t>
            </w:r>
          </w:p>
        </w:tc>
        <w:tc>
          <w:tcPr>
            <w:tcW w:w="1567" w:type="dxa"/>
            <w:vAlign w:val="center"/>
          </w:tcPr>
          <w:p>
            <w:pPr>
              <w:pStyle w:val="1143"/>
              <w:adjustRightInd w:val="0"/>
              <w:snapToGrid w:val="0"/>
              <w:rPr>
                <w:rFonts w:cs="Times New Roman"/>
                <w:szCs w:val="21"/>
              </w:rPr>
            </w:pPr>
            <w:r>
              <w:rPr>
                <w:rFonts w:hAnsi="宋体" w:cs="Times New Roman"/>
                <w:szCs w:val="21"/>
              </w:rPr>
              <w:t>下库弃渣场</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noWrap/>
            <w:vAlign w:val="center"/>
          </w:tcPr>
          <w:p>
            <w:pPr>
              <w:pStyle w:val="1143"/>
              <w:adjustRightInd w:val="0"/>
              <w:snapToGrid w:val="0"/>
              <w:jc w:val="left"/>
              <w:rPr>
                <w:rFonts w:cs="Times New Roman"/>
                <w:szCs w:val="21"/>
              </w:rPr>
            </w:pPr>
            <w:r>
              <w:rPr>
                <w:rFonts w:hAnsi="宋体" w:cs="Times New Roman"/>
                <w:szCs w:val="21"/>
              </w:rPr>
              <w:t>表土被清理，整体坡度较缓，部分场地平整，地面板结。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48</w:t>
            </w:r>
          </w:p>
        </w:tc>
        <w:tc>
          <w:tcPr>
            <w:tcW w:w="1567" w:type="dxa"/>
            <w:vAlign w:val="center"/>
          </w:tcPr>
          <w:p>
            <w:pPr>
              <w:pStyle w:val="1143"/>
              <w:adjustRightInd w:val="0"/>
              <w:snapToGrid w:val="0"/>
              <w:rPr>
                <w:rFonts w:cs="Times New Roman"/>
                <w:szCs w:val="21"/>
              </w:rPr>
            </w:pPr>
            <w:r>
              <w:rPr>
                <w:rFonts w:hAnsi="宋体" w:cs="Times New Roman"/>
                <w:szCs w:val="21"/>
              </w:rPr>
              <w:t>下库坝后施工场地</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vAlign w:val="center"/>
          </w:tcPr>
          <w:p>
            <w:pPr>
              <w:pStyle w:val="1143"/>
              <w:adjustRightInd w:val="0"/>
              <w:snapToGrid w:val="0"/>
              <w:jc w:val="left"/>
              <w:rPr>
                <w:rFonts w:cs="Times New Roman"/>
                <w:szCs w:val="21"/>
              </w:rPr>
            </w:pPr>
            <w:r>
              <w:rPr>
                <w:rFonts w:hAnsi="宋体" w:cs="Times New Roman"/>
                <w:szCs w:val="21"/>
              </w:rPr>
              <w:t>表土被清理，生产区内建设有部分建筑，部分场地平整，地面板结。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49</w:t>
            </w:r>
          </w:p>
        </w:tc>
        <w:tc>
          <w:tcPr>
            <w:tcW w:w="1567" w:type="dxa"/>
            <w:vAlign w:val="center"/>
          </w:tcPr>
          <w:p>
            <w:pPr>
              <w:pStyle w:val="1143"/>
              <w:adjustRightInd w:val="0"/>
              <w:snapToGrid w:val="0"/>
              <w:rPr>
                <w:rFonts w:hAnsi="宋体" w:cs="Times New Roman"/>
                <w:szCs w:val="21"/>
              </w:rPr>
            </w:pPr>
            <w:r>
              <w:rPr>
                <w:rFonts w:hAnsi="宋体" w:cs="Times New Roman"/>
                <w:szCs w:val="21"/>
              </w:rPr>
              <w:t>下库坝后道路及大坝标</w:t>
            </w:r>
          </w:p>
          <w:p>
            <w:pPr>
              <w:pStyle w:val="1143"/>
              <w:adjustRightInd w:val="0"/>
              <w:snapToGrid w:val="0"/>
              <w:rPr>
                <w:rFonts w:cs="Times New Roman"/>
                <w:szCs w:val="21"/>
              </w:rPr>
            </w:pPr>
            <w:r>
              <w:rPr>
                <w:rFonts w:hAnsi="宋体" w:cs="Times New Roman"/>
                <w:szCs w:val="21"/>
              </w:rPr>
              <w:t>场地用地</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noWrap/>
            <w:vAlign w:val="center"/>
          </w:tcPr>
          <w:p>
            <w:pPr>
              <w:pStyle w:val="1143"/>
              <w:adjustRightInd w:val="0"/>
              <w:snapToGrid w:val="0"/>
              <w:jc w:val="left"/>
              <w:rPr>
                <w:rFonts w:cs="Times New Roman"/>
                <w:szCs w:val="21"/>
              </w:rPr>
            </w:pPr>
            <w:r>
              <w:rPr>
                <w:rFonts w:hAnsi="宋体" w:cs="Times New Roman"/>
                <w:szCs w:val="21"/>
              </w:rPr>
              <w:t>场地平整，地面板结。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6" w:type="dxa"/>
            <w:vAlign w:val="center"/>
          </w:tcPr>
          <w:p>
            <w:pPr>
              <w:pStyle w:val="1143"/>
              <w:adjustRightInd w:val="0"/>
              <w:snapToGrid w:val="0"/>
              <w:rPr>
                <w:rFonts w:cs="Times New Roman"/>
                <w:szCs w:val="21"/>
              </w:rPr>
            </w:pPr>
            <w:r>
              <w:rPr>
                <w:rFonts w:cs="Times New Roman"/>
                <w:szCs w:val="21"/>
              </w:rPr>
              <w:t>50</w:t>
            </w:r>
          </w:p>
        </w:tc>
        <w:tc>
          <w:tcPr>
            <w:tcW w:w="1567" w:type="dxa"/>
            <w:vAlign w:val="center"/>
          </w:tcPr>
          <w:p>
            <w:pPr>
              <w:pStyle w:val="1143"/>
              <w:adjustRightInd w:val="0"/>
              <w:snapToGrid w:val="0"/>
              <w:rPr>
                <w:rFonts w:cs="Times New Roman"/>
                <w:szCs w:val="21"/>
              </w:rPr>
            </w:pPr>
            <w:r>
              <w:rPr>
                <w:rFonts w:hAnsi="宋体" w:cs="Times New Roman"/>
                <w:szCs w:val="21"/>
              </w:rPr>
              <w:t>下库大坝标施工营地用地</w:t>
            </w:r>
          </w:p>
        </w:tc>
        <w:tc>
          <w:tcPr>
            <w:tcW w:w="3038" w:type="dxa"/>
            <w:vAlign w:val="center"/>
          </w:tcPr>
          <w:p>
            <w:pPr>
              <w:pStyle w:val="1143"/>
              <w:adjustRightInd w:val="0"/>
              <w:snapToGrid w:val="0"/>
              <w:rPr>
                <w:rFonts w:cs="Times New Roman"/>
                <w:szCs w:val="21"/>
              </w:rPr>
            </w:pPr>
            <w:r>
              <w:rPr>
                <w:rFonts w:hAnsi="宋体" w:cs="Times New Roman"/>
                <w:szCs w:val="21"/>
              </w:rPr>
              <w:t>以林地为主，坡度在</w:t>
            </w:r>
            <w:r>
              <w:rPr>
                <w:rFonts w:cs="Times New Roman"/>
                <w:szCs w:val="21"/>
              </w:rPr>
              <w:t>20°</w:t>
            </w:r>
            <w:r>
              <w:rPr>
                <w:rFonts w:hAnsi="宋体" w:cs="Times New Roman"/>
                <w:szCs w:val="21"/>
              </w:rPr>
              <w:t>~</w:t>
            </w:r>
            <w:r>
              <w:rPr>
                <w:rFonts w:cs="Times New Roman"/>
                <w:szCs w:val="21"/>
              </w:rPr>
              <w:t>25°</w:t>
            </w:r>
            <w:r>
              <w:rPr>
                <w:rFonts w:hAnsi="宋体" w:cs="Times New Roman"/>
                <w:szCs w:val="21"/>
              </w:rPr>
              <w:t>，植被覆盖较好。</w:t>
            </w:r>
          </w:p>
        </w:tc>
        <w:tc>
          <w:tcPr>
            <w:tcW w:w="3782" w:type="dxa"/>
            <w:noWrap/>
            <w:vAlign w:val="center"/>
          </w:tcPr>
          <w:p>
            <w:pPr>
              <w:pStyle w:val="1143"/>
              <w:adjustRightInd w:val="0"/>
              <w:snapToGrid w:val="0"/>
              <w:jc w:val="left"/>
              <w:rPr>
                <w:rFonts w:cs="Times New Roman"/>
                <w:szCs w:val="21"/>
              </w:rPr>
            </w:pPr>
            <w:r>
              <w:rPr>
                <w:rFonts w:hAnsi="宋体" w:cs="Times New Roman"/>
                <w:szCs w:val="21"/>
              </w:rPr>
              <w:t>区域内建设以建筑为主，场地平整，地面板结。</w:t>
            </w:r>
          </w:p>
        </w:tc>
      </w:tr>
    </w:tbl>
    <w:p>
      <w:pPr>
        <w:spacing w:line="460" w:lineRule="exact"/>
        <w:ind w:firstLine="480" w:firstLineChars="200"/>
        <w:rPr>
          <w:rFonts w:cs="Times New Roman"/>
          <w:snapToGrid w:val="0"/>
          <w:kern w:val="0"/>
          <w:sz w:val="24"/>
          <w:szCs w:val="24"/>
        </w:rPr>
      </w:pPr>
      <w:r>
        <w:rPr>
          <w:rFonts w:cs="Times New Roman"/>
          <w:snapToGrid w:val="0"/>
          <w:kern w:val="0"/>
          <w:sz w:val="24"/>
          <w:szCs w:val="24"/>
        </w:rPr>
        <w:t>根据参评单元土地性质，特点，结合施工总布置情况以及原用地地类、耕作距离等综合确定各评价单元复垦方向，见表</w:t>
      </w:r>
      <w:r>
        <w:rPr>
          <w:rFonts w:hint="eastAsia" w:cs="Times New Roman"/>
          <w:snapToGrid w:val="0"/>
          <w:kern w:val="0"/>
          <w:sz w:val="24"/>
          <w:szCs w:val="24"/>
        </w:rPr>
        <w:t>6.5</w:t>
      </w:r>
      <w:r>
        <w:rPr>
          <w:rFonts w:cs="Times New Roman"/>
          <w:snapToGrid w:val="0"/>
          <w:kern w:val="0"/>
          <w:sz w:val="24"/>
          <w:szCs w:val="24"/>
        </w:rPr>
        <w:t>-</w:t>
      </w:r>
      <w:r>
        <w:rPr>
          <w:rFonts w:hint="eastAsia" w:cs="Times New Roman"/>
          <w:snapToGrid w:val="0"/>
          <w:kern w:val="0"/>
          <w:sz w:val="24"/>
          <w:szCs w:val="24"/>
        </w:rPr>
        <w:t>3</w:t>
      </w:r>
      <w:r>
        <w:rPr>
          <w:rFonts w:cs="Times New Roman"/>
          <w:snapToGrid w:val="0"/>
          <w:kern w:val="0"/>
          <w:sz w:val="24"/>
          <w:szCs w:val="24"/>
        </w:rPr>
        <w:t>。</w:t>
      </w:r>
    </w:p>
    <w:p>
      <w:pPr>
        <w:spacing w:line="460" w:lineRule="exact"/>
        <w:jc w:val="center"/>
        <w:textAlignment w:val="baseline"/>
        <w:rPr>
          <w:rFonts w:eastAsia="黑体" w:cs="Times New Roman"/>
          <w:kern w:val="0"/>
          <w:sz w:val="24"/>
        </w:rPr>
      </w:pPr>
      <w:r>
        <w:rPr>
          <w:rFonts w:eastAsia="黑体" w:cs="Times New Roman"/>
          <w:kern w:val="0"/>
          <w:sz w:val="24"/>
        </w:rPr>
        <w:t>表</w:t>
      </w:r>
      <w:r>
        <w:rPr>
          <w:rFonts w:hint="eastAsia" w:eastAsia="黑体" w:cs="Times New Roman"/>
          <w:kern w:val="0"/>
          <w:sz w:val="24"/>
        </w:rPr>
        <w:t>6.5</w:t>
      </w:r>
      <w:r>
        <w:rPr>
          <w:rFonts w:eastAsia="黑体" w:cs="Times New Roman"/>
          <w:kern w:val="0"/>
          <w:sz w:val="24"/>
        </w:rPr>
        <w:t>-</w:t>
      </w:r>
      <w:r>
        <w:rPr>
          <w:rFonts w:hint="eastAsia" w:eastAsia="黑体" w:cs="Times New Roman"/>
          <w:kern w:val="0"/>
          <w:sz w:val="24"/>
        </w:rPr>
        <w:t>3</w:t>
      </w:r>
      <w:r>
        <w:rPr>
          <w:rFonts w:eastAsia="黑体" w:cs="Times New Roman"/>
          <w:kern w:val="0"/>
          <w:sz w:val="24"/>
        </w:rPr>
        <w:t xml:space="preserve">  各评价单元复垦方向</w:t>
      </w:r>
    </w:p>
    <w:tbl>
      <w:tblPr>
        <w:tblStyle w:val="79"/>
        <w:tblW w:w="88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4"/>
        <w:gridCol w:w="4391"/>
        <w:gridCol w:w="885"/>
        <w:gridCol w:w="885"/>
        <w:gridCol w:w="885"/>
        <w:gridCol w:w="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Merge w:val="restart"/>
            <w:shd w:val="clear" w:color="000000" w:fill="FFFFFF"/>
            <w:vAlign w:val="center"/>
          </w:tcPr>
          <w:p>
            <w:pPr>
              <w:pStyle w:val="1143"/>
              <w:adjustRightInd w:val="0"/>
              <w:snapToGrid w:val="0"/>
              <w:rPr>
                <w:rFonts w:cs="Times New Roman"/>
                <w:szCs w:val="21"/>
              </w:rPr>
            </w:pPr>
            <w:r>
              <w:rPr>
                <w:rFonts w:hAnsi="宋体" w:cs="Times New Roman"/>
                <w:szCs w:val="21"/>
              </w:rPr>
              <w:t>编号</w:t>
            </w:r>
          </w:p>
        </w:tc>
        <w:tc>
          <w:tcPr>
            <w:tcW w:w="4391" w:type="dxa"/>
            <w:vMerge w:val="restart"/>
            <w:shd w:val="clear" w:color="000000" w:fill="FFFFFF"/>
            <w:vAlign w:val="center"/>
          </w:tcPr>
          <w:p>
            <w:pPr>
              <w:pStyle w:val="1143"/>
              <w:adjustRightInd w:val="0"/>
              <w:snapToGrid w:val="0"/>
              <w:rPr>
                <w:rFonts w:cs="Times New Roman"/>
                <w:szCs w:val="21"/>
              </w:rPr>
            </w:pPr>
            <w:r>
              <w:rPr>
                <w:rFonts w:hAnsi="宋体" w:cs="Times New Roman"/>
                <w:szCs w:val="21"/>
              </w:rPr>
              <w:t>施工区域名称</w:t>
            </w:r>
          </w:p>
        </w:tc>
        <w:tc>
          <w:tcPr>
            <w:tcW w:w="3538" w:type="dxa"/>
            <w:gridSpan w:val="4"/>
            <w:shd w:val="clear" w:color="000000" w:fill="FFFFFF"/>
            <w:vAlign w:val="center"/>
          </w:tcPr>
          <w:p>
            <w:pPr>
              <w:pStyle w:val="1143"/>
              <w:adjustRightInd w:val="0"/>
              <w:snapToGrid w:val="0"/>
              <w:rPr>
                <w:rFonts w:cs="Times New Roman"/>
                <w:szCs w:val="21"/>
              </w:rPr>
            </w:pPr>
            <w:r>
              <w:rPr>
                <w:rFonts w:hAnsi="宋体" w:cs="Times New Roman"/>
                <w:szCs w:val="21"/>
              </w:rPr>
              <w:t>复垦方向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Merge w:val="continue"/>
            <w:shd w:val="clear" w:color="auto" w:fill="auto"/>
            <w:vAlign w:val="center"/>
          </w:tcPr>
          <w:p>
            <w:pPr>
              <w:pStyle w:val="1143"/>
              <w:adjustRightInd w:val="0"/>
              <w:snapToGrid w:val="0"/>
              <w:jc w:val="left"/>
              <w:rPr>
                <w:rFonts w:cs="Times New Roman"/>
                <w:szCs w:val="21"/>
              </w:rPr>
            </w:pPr>
          </w:p>
        </w:tc>
        <w:tc>
          <w:tcPr>
            <w:tcW w:w="4391" w:type="dxa"/>
            <w:vMerge w:val="continue"/>
            <w:shd w:val="clear" w:color="auto" w:fill="auto"/>
            <w:vAlign w:val="center"/>
          </w:tcPr>
          <w:p>
            <w:pPr>
              <w:pStyle w:val="1143"/>
              <w:adjustRightInd w:val="0"/>
              <w:snapToGrid w:val="0"/>
              <w:jc w:val="left"/>
              <w:rPr>
                <w:rFonts w:cs="Times New Roman"/>
                <w:szCs w:val="21"/>
              </w:rPr>
            </w:pPr>
          </w:p>
        </w:tc>
        <w:tc>
          <w:tcPr>
            <w:tcW w:w="885" w:type="dxa"/>
            <w:shd w:val="clear" w:color="000000" w:fill="FFFFFF"/>
            <w:vAlign w:val="center"/>
          </w:tcPr>
          <w:p>
            <w:pPr>
              <w:pStyle w:val="1143"/>
              <w:adjustRightInd w:val="0"/>
              <w:snapToGrid w:val="0"/>
              <w:rPr>
                <w:rFonts w:cs="Times New Roman"/>
                <w:szCs w:val="21"/>
              </w:rPr>
            </w:pPr>
            <w:r>
              <w:rPr>
                <w:rFonts w:hAnsi="宋体" w:cs="Times New Roman"/>
                <w:szCs w:val="21"/>
              </w:rPr>
              <w:t>水田</w:t>
            </w:r>
          </w:p>
        </w:tc>
        <w:tc>
          <w:tcPr>
            <w:tcW w:w="885" w:type="dxa"/>
            <w:vAlign w:val="center"/>
          </w:tcPr>
          <w:p>
            <w:pPr>
              <w:pStyle w:val="1143"/>
              <w:adjustRightInd w:val="0"/>
              <w:snapToGrid w:val="0"/>
              <w:rPr>
                <w:rFonts w:cs="Times New Roman"/>
                <w:szCs w:val="21"/>
              </w:rPr>
            </w:pPr>
            <w:r>
              <w:rPr>
                <w:rFonts w:hAnsi="宋体" w:cs="Times New Roman"/>
                <w:szCs w:val="21"/>
              </w:rPr>
              <w:t>旱地</w:t>
            </w:r>
          </w:p>
        </w:tc>
        <w:tc>
          <w:tcPr>
            <w:tcW w:w="885" w:type="dxa"/>
            <w:vAlign w:val="center"/>
          </w:tcPr>
          <w:p>
            <w:pPr>
              <w:pStyle w:val="1143"/>
              <w:adjustRightInd w:val="0"/>
              <w:snapToGrid w:val="0"/>
              <w:rPr>
                <w:rFonts w:cs="Times New Roman"/>
                <w:szCs w:val="21"/>
              </w:rPr>
            </w:pPr>
            <w:r>
              <w:rPr>
                <w:rFonts w:hAnsi="宋体" w:cs="Times New Roman"/>
                <w:szCs w:val="21"/>
              </w:rPr>
              <w:t>园地</w:t>
            </w:r>
          </w:p>
        </w:tc>
        <w:tc>
          <w:tcPr>
            <w:tcW w:w="883" w:type="dxa"/>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41</w:t>
            </w:r>
          </w:p>
        </w:tc>
        <w:tc>
          <w:tcPr>
            <w:tcW w:w="4391" w:type="dxa"/>
            <w:vAlign w:val="center"/>
          </w:tcPr>
          <w:p>
            <w:pPr>
              <w:pStyle w:val="1143"/>
              <w:adjustRightInd w:val="0"/>
              <w:snapToGrid w:val="0"/>
              <w:rPr>
                <w:rFonts w:cs="Times New Roman"/>
                <w:szCs w:val="21"/>
              </w:rPr>
            </w:pPr>
            <w:r>
              <w:rPr>
                <w:rFonts w:hAnsi="宋体" w:cs="Times New Roman"/>
                <w:szCs w:val="21"/>
              </w:rPr>
              <w:t>上库表土堆存场用地</w:t>
            </w:r>
          </w:p>
        </w:tc>
        <w:tc>
          <w:tcPr>
            <w:tcW w:w="885" w:type="dxa"/>
            <w:vAlign w:val="center"/>
          </w:tcPr>
          <w:p>
            <w:pPr>
              <w:pStyle w:val="1143"/>
              <w:adjustRightInd w:val="0"/>
              <w:snapToGrid w:val="0"/>
              <w:rPr>
                <w:rFonts w:cs="Times New Roman"/>
                <w:szCs w:val="21"/>
              </w:rPr>
            </w:pPr>
            <w:r>
              <w:rPr>
                <w:rFonts w:cs="Times New Roman"/>
                <w:szCs w:val="21"/>
              </w:rPr>
              <w:t>√</w:t>
            </w:r>
          </w:p>
        </w:tc>
        <w:tc>
          <w:tcPr>
            <w:tcW w:w="885" w:type="dxa"/>
            <w:vAlign w:val="center"/>
          </w:tcPr>
          <w:p>
            <w:pPr>
              <w:pStyle w:val="1143"/>
              <w:adjustRightInd w:val="0"/>
              <w:snapToGrid w:val="0"/>
              <w:rPr>
                <w:rFonts w:cs="Times New Roman"/>
                <w:szCs w:val="21"/>
              </w:rPr>
            </w:pPr>
            <w:r>
              <w:rPr>
                <w:rFonts w:cs="Times New Roman"/>
                <w:szCs w:val="21"/>
              </w:rPr>
              <w:t>√</w:t>
            </w:r>
          </w:p>
        </w:tc>
        <w:tc>
          <w:tcPr>
            <w:tcW w:w="885" w:type="dxa"/>
            <w:vAlign w:val="center"/>
          </w:tcPr>
          <w:p>
            <w:pPr>
              <w:pStyle w:val="1143"/>
              <w:adjustRightInd w:val="0"/>
              <w:snapToGrid w:val="0"/>
              <w:rPr>
                <w:rFonts w:cs="Times New Roman"/>
                <w:szCs w:val="21"/>
              </w:rPr>
            </w:pPr>
            <w:r>
              <w:rPr>
                <w:rFonts w:cs="Times New Roman"/>
                <w:szCs w:val="21"/>
              </w:rPr>
              <w:t>√</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42</w:t>
            </w:r>
          </w:p>
        </w:tc>
        <w:tc>
          <w:tcPr>
            <w:tcW w:w="4391" w:type="dxa"/>
            <w:vAlign w:val="center"/>
          </w:tcPr>
          <w:p>
            <w:pPr>
              <w:pStyle w:val="1143"/>
              <w:adjustRightInd w:val="0"/>
              <w:snapToGrid w:val="0"/>
              <w:rPr>
                <w:rFonts w:cs="Times New Roman"/>
                <w:szCs w:val="21"/>
              </w:rPr>
            </w:pPr>
            <w:r>
              <w:rPr>
                <w:rFonts w:hAnsi="宋体" w:cs="Times New Roman"/>
                <w:szCs w:val="21"/>
              </w:rPr>
              <w:t>上库弃渣场</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43</w:t>
            </w:r>
          </w:p>
        </w:tc>
        <w:tc>
          <w:tcPr>
            <w:tcW w:w="4391" w:type="dxa"/>
            <w:vAlign w:val="center"/>
          </w:tcPr>
          <w:p>
            <w:pPr>
              <w:pStyle w:val="1143"/>
              <w:adjustRightInd w:val="0"/>
              <w:snapToGrid w:val="0"/>
              <w:rPr>
                <w:rFonts w:cs="Times New Roman"/>
                <w:szCs w:val="21"/>
              </w:rPr>
            </w:pPr>
            <w:r>
              <w:rPr>
                <w:rFonts w:hAnsi="宋体" w:cs="Times New Roman"/>
                <w:szCs w:val="21"/>
              </w:rPr>
              <w:t>上库石料场</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44</w:t>
            </w:r>
          </w:p>
        </w:tc>
        <w:tc>
          <w:tcPr>
            <w:tcW w:w="4391" w:type="dxa"/>
            <w:vAlign w:val="center"/>
          </w:tcPr>
          <w:p>
            <w:pPr>
              <w:pStyle w:val="1143"/>
              <w:adjustRightInd w:val="0"/>
              <w:snapToGrid w:val="0"/>
              <w:rPr>
                <w:rFonts w:cs="Times New Roman"/>
                <w:szCs w:val="21"/>
              </w:rPr>
            </w:pPr>
            <w:r>
              <w:rPr>
                <w:rFonts w:hAnsi="宋体" w:cs="Times New Roman"/>
                <w:szCs w:val="21"/>
              </w:rPr>
              <w:t>上库输水发电标施工用地</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45</w:t>
            </w:r>
          </w:p>
        </w:tc>
        <w:tc>
          <w:tcPr>
            <w:tcW w:w="4391" w:type="dxa"/>
            <w:vAlign w:val="center"/>
          </w:tcPr>
          <w:p>
            <w:pPr>
              <w:pStyle w:val="1143"/>
              <w:adjustRightInd w:val="0"/>
              <w:snapToGrid w:val="0"/>
              <w:rPr>
                <w:rFonts w:cs="Times New Roman"/>
                <w:szCs w:val="21"/>
              </w:rPr>
            </w:pPr>
            <w:r>
              <w:rPr>
                <w:rFonts w:hAnsi="宋体" w:cs="Times New Roman"/>
                <w:szCs w:val="21"/>
              </w:rPr>
              <w:t>上下库连接路渣场用地</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46</w:t>
            </w:r>
          </w:p>
        </w:tc>
        <w:tc>
          <w:tcPr>
            <w:tcW w:w="4391" w:type="dxa"/>
            <w:vAlign w:val="center"/>
          </w:tcPr>
          <w:p>
            <w:pPr>
              <w:pStyle w:val="1143"/>
              <w:adjustRightInd w:val="0"/>
              <w:snapToGrid w:val="0"/>
              <w:rPr>
                <w:rFonts w:cs="Times New Roman"/>
                <w:szCs w:val="21"/>
              </w:rPr>
            </w:pPr>
            <w:r>
              <w:rPr>
                <w:rFonts w:hAnsi="宋体" w:cs="Times New Roman"/>
                <w:szCs w:val="21"/>
              </w:rPr>
              <w:t>中平洞施工场地用地</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47</w:t>
            </w:r>
          </w:p>
        </w:tc>
        <w:tc>
          <w:tcPr>
            <w:tcW w:w="4391" w:type="dxa"/>
            <w:vAlign w:val="center"/>
          </w:tcPr>
          <w:p>
            <w:pPr>
              <w:pStyle w:val="1143"/>
              <w:adjustRightInd w:val="0"/>
              <w:snapToGrid w:val="0"/>
              <w:rPr>
                <w:rFonts w:cs="Times New Roman"/>
                <w:szCs w:val="21"/>
              </w:rPr>
            </w:pPr>
            <w:r>
              <w:rPr>
                <w:rFonts w:hAnsi="宋体" w:cs="Times New Roman"/>
                <w:szCs w:val="21"/>
              </w:rPr>
              <w:t>下库弃渣场</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48</w:t>
            </w:r>
          </w:p>
        </w:tc>
        <w:tc>
          <w:tcPr>
            <w:tcW w:w="4391" w:type="dxa"/>
            <w:vAlign w:val="center"/>
          </w:tcPr>
          <w:p>
            <w:pPr>
              <w:pStyle w:val="1143"/>
              <w:adjustRightInd w:val="0"/>
              <w:snapToGrid w:val="0"/>
              <w:rPr>
                <w:rFonts w:cs="Times New Roman"/>
                <w:szCs w:val="21"/>
              </w:rPr>
            </w:pPr>
            <w:r>
              <w:rPr>
                <w:rFonts w:hAnsi="宋体" w:cs="Times New Roman"/>
                <w:szCs w:val="21"/>
              </w:rPr>
              <w:t>下库坝后施工场地</w:t>
            </w:r>
          </w:p>
        </w:tc>
        <w:tc>
          <w:tcPr>
            <w:tcW w:w="885" w:type="dxa"/>
            <w:vAlign w:val="center"/>
          </w:tcPr>
          <w:p>
            <w:pPr>
              <w:pStyle w:val="1143"/>
              <w:adjustRightInd w:val="0"/>
              <w:snapToGrid w:val="0"/>
              <w:rPr>
                <w:rFonts w:cs="Times New Roman"/>
                <w:szCs w:val="21"/>
              </w:rPr>
            </w:pPr>
            <w:r>
              <w:rPr>
                <w:rFonts w:cs="Times New Roman"/>
                <w:szCs w:val="21"/>
              </w:rPr>
              <w:t>√</w:t>
            </w:r>
          </w:p>
        </w:tc>
        <w:tc>
          <w:tcPr>
            <w:tcW w:w="885" w:type="dxa"/>
            <w:vAlign w:val="center"/>
          </w:tcPr>
          <w:p>
            <w:pPr>
              <w:pStyle w:val="1143"/>
              <w:adjustRightInd w:val="0"/>
              <w:snapToGrid w:val="0"/>
              <w:rPr>
                <w:rFonts w:cs="Times New Roman"/>
                <w:szCs w:val="21"/>
              </w:rPr>
            </w:pPr>
            <w:r>
              <w:rPr>
                <w:rFonts w:cs="Times New Roman"/>
                <w:szCs w:val="21"/>
              </w:rPr>
              <w:t>√</w:t>
            </w:r>
          </w:p>
        </w:tc>
        <w:tc>
          <w:tcPr>
            <w:tcW w:w="885" w:type="dxa"/>
            <w:vAlign w:val="center"/>
          </w:tcPr>
          <w:p>
            <w:pPr>
              <w:pStyle w:val="1143"/>
              <w:adjustRightInd w:val="0"/>
              <w:snapToGrid w:val="0"/>
              <w:rPr>
                <w:rFonts w:cs="Times New Roman"/>
                <w:szCs w:val="21"/>
              </w:rPr>
            </w:pPr>
            <w:r>
              <w:rPr>
                <w:rFonts w:cs="Times New Roman"/>
                <w:szCs w:val="21"/>
              </w:rPr>
              <w:t>√</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49</w:t>
            </w:r>
          </w:p>
        </w:tc>
        <w:tc>
          <w:tcPr>
            <w:tcW w:w="4391" w:type="dxa"/>
            <w:vAlign w:val="center"/>
          </w:tcPr>
          <w:p>
            <w:pPr>
              <w:pStyle w:val="1143"/>
              <w:adjustRightInd w:val="0"/>
              <w:snapToGrid w:val="0"/>
              <w:rPr>
                <w:rFonts w:cs="Times New Roman"/>
                <w:szCs w:val="21"/>
              </w:rPr>
            </w:pPr>
            <w:r>
              <w:rPr>
                <w:rFonts w:hAnsi="宋体" w:cs="Times New Roman"/>
                <w:szCs w:val="21"/>
              </w:rPr>
              <w:t>下库坝后道路及大坝标场地用地</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3" w:type="dxa"/>
            <w:vAlign w:val="center"/>
          </w:tcPr>
          <w:p>
            <w:pPr>
              <w:pStyle w:val="1143"/>
              <w:adjustRightInd w:val="0"/>
              <w:snapToGrid w:val="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pPr>
              <w:pStyle w:val="1143"/>
              <w:adjustRightInd w:val="0"/>
              <w:snapToGrid w:val="0"/>
              <w:rPr>
                <w:rFonts w:cs="Times New Roman"/>
                <w:szCs w:val="21"/>
              </w:rPr>
            </w:pPr>
            <w:r>
              <w:rPr>
                <w:rFonts w:cs="Times New Roman"/>
                <w:szCs w:val="21"/>
              </w:rPr>
              <w:t>50</w:t>
            </w:r>
          </w:p>
        </w:tc>
        <w:tc>
          <w:tcPr>
            <w:tcW w:w="4391" w:type="dxa"/>
            <w:vAlign w:val="center"/>
          </w:tcPr>
          <w:p>
            <w:pPr>
              <w:pStyle w:val="1143"/>
              <w:adjustRightInd w:val="0"/>
              <w:snapToGrid w:val="0"/>
              <w:rPr>
                <w:rFonts w:cs="Times New Roman"/>
                <w:szCs w:val="21"/>
              </w:rPr>
            </w:pPr>
            <w:r>
              <w:rPr>
                <w:rFonts w:hAnsi="宋体" w:cs="Times New Roman"/>
                <w:szCs w:val="21"/>
              </w:rPr>
              <w:t>下库大坝标施工营地用地</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5" w:type="dxa"/>
            <w:vAlign w:val="center"/>
          </w:tcPr>
          <w:p>
            <w:pPr>
              <w:pStyle w:val="1143"/>
              <w:adjustRightInd w:val="0"/>
              <w:snapToGrid w:val="0"/>
              <w:rPr>
                <w:rFonts w:cs="Times New Roman"/>
                <w:szCs w:val="21"/>
              </w:rPr>
            </w:pPr>
            <w:r>
              <w:rPr>
                <w:rFonts w:hAnsi="宋体" w:cs="Times New Roman"/>
                <w:szCs w:val="21"/>
              </w:rPr>
              <w:t>　</w:t>
            </w:r>
          </w:p>
        </w:tc>
        <w:tc>
          <w:tcPr>
            <w:tcW w:w="883" w:type="dxa"/>
            <w:vAlign w:val="center"/>
          </w:tcPr>
          <w:p>
            <w:pPr>
              <w:pStyle w:val="1143"/>
              <w:adjustRightInd w:val="0"/>
              <w:snapToGrid w:val="0"/>
              <w:rPr>
                <w:rFonts w:cs="Times New Roman"/>
                <w:szCs w:val="21"/>
              </w:rPr>
            </w:pPr>
            <w:r>
              <w:rPr>
                <w:rFonts w:cs="Times New Roman"/>
                <w:szCs w:val="21"/>
              </w:rPr>
              <w:t>√</w:t>
            </w:r>
          </w:p>
        </w:tc>
      </w:tr>
    </w:tbl>
    <w:p>
      <w:pPr>
        <w:pStyle w:val="18"/>
        <w:ind w:firstLine="480"/>
        <w:rPr>
          <w:rFonts w:ascii="Tahoma" w:hAnsi="Tahoma" w:cs="Tahoma"/>
          <w:sz w:val="24"/>
        </w:rPr>
      </w:pPr>
    </w:p>
    <w:p>
      <w:pPr>
        <w:pStyle w:val="4"/>
        <w:rPr>
          <w:rFonts w:cs="Times New Roman"/>
        </w:rPr>
      </w:pPr>
      <w:bookmarkStart w:id="242" w:name="_Toc85660257"/>
      <w:bookmarkStart w:id="243" w:name="_Toc85632489"/>
      <w:bookmarkStart w:id="244" w:name="_Toc85487723"/>
      <w:r>
        <w:rPr>
          <w:rFonts w:hint="eastAsia" w:cs="Times New Roman"/>
        </w:rPr>
        <w:t>6.5</w:t>
      </w:r>
      <w:r>
        <w:rPr>
          <w:rFonts w:cs="Times New Roman"/>
        </w:rPr>
        <w:t>.3  复垦总体规划</w:t>
      </w:r>
      <w:bookmarkEnd w:id="242"/>
      <w:bookmarkEnd w:id="243"/>
    </w:p>
    <w:p>
      <w:pPr>
        <w:keepNext/>
        <w:keepLines/>
        <w:spacing w:line="460" w:lineRule="exact"/>
        <w:outlineLvl w:val="3"/>
        <w:rPr>
          <w:rFonts w:cs="Times New Roman"/>
          <w:bCs/>
          <w:sz w:val="24"/>
          <w:szCs w:val="28"/>
        </w:rPr>
      </w:pPr>
      <w:r>
        <w:rPr>
          <w:rFonts w:hint="eastAsia" w:cs="Times New Roman"/>
          <w:bCs/>
          <w:sz w:val="24"/>
          <w:szCs w:val="28"/>
        </w:rPr>
        <w:t>6.5</w:t>
      </w:r>
      <w:r>
        <w:rPr>
          <w:rFonts w:cs="Times New Roman"/>
          <w:bCs/>
          <w:sz w:val="24"/>
          <w:szCs w:val="28"/>
        </w:rPr>
        <w:t>.3.1  复垦目标</w:t>
      </w:r>
    </w:p>
    <w:p>
      <w:pPr>
        <w:spacing w:line="460" w:lineRule="exact"/>
        <w:ind w:firstLine="480" w:firstLineChars="200"/>
        <w:rPr>
          <w:rFonts w:cs="Times New Roman"/>
          <w:snapToGrid w:val="0"/>
          <w:kern w:val="0"/>
          <w:sz w:val="24"/>
          <w:szCs w:val="24"/>
        </w:rPr>
      </w:pPr>
      <w:r>
        <w:rPr>
          <w:rFonts w:hint="eastAsia" w:cs="Times New Roman"/>
          <w:snapToGrid w:val="0"/>
          <w:kern w:val="0"/>
          <w:sz w:val="24"/>
          <w:szCs w:val="24"/>
        </w:rPr>
        <w:t>通过复垦设计，本工程临时征用的农用地耕作条件可以全部得到恢复。经统计复垦耕地面积</w:t>
      </w:r>
      <w:r>
        <w:rPr>
          <w:rFonts w:cs="Times New Roman"/>
          <w:snapToGrid w:val="0"/>
          <w:kern w:val="0"/>
          <w:sz w:val="24"/>
          <w:szCs w:val="24"/>
        </w:rPr>
        <w:t>15.55亩，</w:t>
      </w:r>
      <w:r>
        <w:rPr>
          <w:rFonts w:hint="eastAsia" w:cs="Times New Roman"/>
          <w:snapToGrid w:val="0"/>
          <w:kern w:val="0"/>
          <w:sz w:val="24"/>
          <w:szCs w:val="24"/>
        </w:rPr>
        <w:t>全部为水田</w:t>
      </w:r>
      <w:r>
        <w:rPr>
          <w:rFonts w:cs="Times New Roman"/>
          <w:snapToGrid w:val="0"/>
          <w:kern w:val="0"/>
          <w:sz w:val="24"/>
          <w:szCs w:val="24"/>
        </w:rPr>
        <w:t>；复垦园地面积3.68亩；复垦林地面积942.59亩。各村组复垦前后总面积不变，且农用地面积不少于工程征用临时用地中农用地面积，按村组统计复垦结果见</w:t>
      </w:r>
      <w:r>
        <w:rPr>
          <w:rFonts w:hint="eastAsia" w:cs="Times New Roman"/>
          <w:snapToGrid w:val="0"/>
          <w:kern w:val="0"/>
          <w:sz w:val="24"/>
          <w:szCs w:val="24"/>
        </w:rPr>
        <w:t>6.5</w:t>
      </w:r>
      <w:r>
        <w:rPr>
          <w:rFonts w:cs="Times New Roman"/>
          <w:snapToGrid w:val="0"/>
          <w:kern w:val="0"/>
          <w:sz w:val="24"/>
          <w:szCs w:val="24"/>
        </w:rPr>
        <w:t>-</w:t>
      </w:r>
      <w:r>
        <w:rPr>
          <w:rFonts w:hint="eastAsia" w:cs="Times New Roman"/>
          <w:snapToGrid w:val="0"/>
          <w:kern w:val="0"/>
          <w:sz w:val="24"/>
          <w:szCs w:val="24"/>
        </w:rPr>
        <w:t>4</w:t>
      </w:r>
      <w:r>
        <w:rPr>
          <w:rFonts w:cs="Times New Roman"/>
          <w:snapToGrid w:val="0"/>
          <w:kern w:val="0"/>
          <w:sz w:val="24"/>
          <w:szCs w:val="24"/>
        </w:rPr>
        <w:t>。</w:t>
      </w:r>
    </w:p>
    <w:p>
      <w:pPr>
        <w:ind w:firstLine="480"/>
        <w:rPr>
          <w:rFonts w:ascii="Tahoma" w:hAnsi="Tahoma" w:cs="Tahoma"/>
        </w:rPr>
        <w:sectPr>
          <w:footerReference r:id="rId18" w:type="default"/>
          <w:pgSz w:w="11907" w:h="16840"/>
          <w:pgMar w:top="1588" w:right="1565" w:bottom="1531" w:left="1565" w:header="1134" w:footer="1247" w:gutter="0"/>
          <w:cols w:space="720" w:num="1"/>
          <w:docGrid w:linePitch="326" w:charSpace="0"/>
        </w:sectPr>
      </w:pPr>
    </w:p>
    <w:p>
      <w:pPr>
        <w:tabs>
          <w:tab w:val="left" w:pos="3240"/>
        </w:tabs>
        <w:spacing w:before="120" w:beforeLines="50" w:line="460" w:lineRule="exact"/>
        <w:ind w:firstLine="480"/>
        <w:jc w:val="center"/>
        <w:rPr>
          <w:rFonts w:eastAsia="黑体" w:cs="Times New Roman"/>
          <w:sz w:val="24"/>
          <w:szCs w:val="24"/>
        </w:rPr>
      </w:pPr>
      <w:r>
        <w:rPr>
          <w:rFonts w:hint="eastAsia" w:eastAsia="黑体" w:cs="Times New Roman"/>
          <w:sz w:val="24"/>
          <w:szCs w:val="24"/>
        </w:rPr>
        <w:t>表</w:t>
      </w:r>
      <w:r>
        <w:rPr>
          <w:rFonts w:eastAsia="黑体" w:cs="Times New Roman"/>
          <w:sz w:val="24"/>
          <w:szCs w:val="24"/>
        </w:rPr>
        <w:t xml:space="preserve">6.5-4  </w:t>
      </w:r>
      <w:r>
        <w:rPr>
          <w:rFonts w:hint="eastAsia" w:eastAsia="黑体" w:cs="Times New Roman"/>
          <w:sz w:val="24"/>
          <w:szCs w:val="24"/>
        </w:rPr>
        <w:t>临时用地复垦前后按村组对比表</w:t>
      </w:r>
    </w:p>
    <w:tbl>
      <w:tblPr>
        <w:tblStyle w:val="79"/>
        <w:tblW w:w="139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03"/>
        <w:gridCol w:w="1112"/>
        <w:gridCol w:w="690"/>
        <w:gridCol w:w="690"/>
        <w:gridCol w:w="690"/>
        <w:gridCol w:w="903"/>
        <w:gridCol w:w="690"/>
        <w:gridCol w:w="687"/>
        <w:gridCol w:w="903"/>
        <w:gridCol w:w="866"/>
        <w:gridCol w:w="690"/>
        <w:gridCol w:w="690"/>
        <w:gridCol w:w="690"/>
        <w:gridCol w:w="903"/>
        <w:gridCol w:w="690"/>
        <w:gridCol w:w="637"/>
        <w:gridCol w:w="903"/>
        <w:gridCol w:w="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vMerge w:val="restart"/>
            <w:noWrap/>
            <w:vAlign w:val="center"/>
          </w:tcPr>
          <w:p>
            <w:pPr>
              <w:pStyle w:val="1143"/>
            </w:pPr>
            <w:r>
              <w:rPr>
                <w:rFonts w:hint="eastAsia"/>
              </w:rPr>
              <w:t>一级地类</w:t>
            </w:r>
          </w:p>
        </w:tc>
        <w:tc>
          <w:tcPr>
            <w:tcW w:w="1112" w:type="dxa"/>
            <w:vMerge w:val="restart"/>
            <w:noWrap/>
            <w:vAlign w:val="center"/>
          </w:tcPr>
          <w:p>
            <w:pPr>
              <w:pStyle w:val="1143"/>
            </w:pPr>
            <w:r>
              <w:rPr>
                <w:rFonts w:hint="eastAsia"/>
              </w:rPr>
              <w:t>二级地类</w:t>
            </w:r>
          </w:p>
        </w:tc>
        <w:tc>
          <w:tcPr>
            <w:tcW w:w="6119" w:type="dxa"/>
            <w:gridSpan w:val="8"/>
            <w:noWrap/>
            <w:vAlign w:val="center"/>
          </w:tcPr>
          <w:p>
            <w:pPr>
              <w:pStyle w:val="1143"/>
            </w:pPr>
            <w:r>
              <w:rPr>
                <w:rFonts w:hint="eastAsia"/>
              </w:rPr>
              <w:t>复垦前</w:t>
            </w:r>
          </w:p>
        </w:tc>
        <w:tc>
          <w:tcPr>
            <w:tcW w:w="5838" w:type="dxa"/>
            <w:gridSpan w:val="8"/>
            <w:noWrap/>
            <w:vAlign w:val="center"/>
          </w:tcPr>
          <w:p>
            <w:pPr>
              <w:pStyle w:val="1143"/>
            </w:pPr>
            <w:r>
              <w:rPr>
                <w:rFonts w:hint="eastAsia"/>
              </w:rPr>
              <w:t>复垦后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vMerge w:val="continue"/>
            <w:vAlign w:val="center"/>
          </w:tcPr>
          <w:p>
            <w:pPr>
              <w:pStyle w:val="1143"/>
            </w:pPr>
          </w:p>
        </w:tc>
        <w:tc>
          <w:tcPr>
            <w:tcW w:w="1112" w:type="dxa"/>
            <w:vMerge w:val="continue"/>
            <w:vAlign w:val="center"/>
          </w:tcPr>
          <w:p>
            <w:pPr>
              <w:pStyle w:val="1143"/>
            </w:pPr>
          </w:p>
        </w:tc>
        <w:tc>
          <w:tcPr>
            <w:tcW w:w="4350" w:type="dxa"/>
            <w:gridSpan w:val="6"/>
            <w:noWrap/>
            <w:vAlign w:val="center"/>
          </w:tcPr>
          <w:p>
            <w:pPr>
              <w:pStyle w:val="1143"/>
            </w:pPr>
            <w:r>
              <w:rPr>
                <w:rFonts w:hint="eastAsia"/>
              </w:rPr>
              <w:t>激石溪村</w:t>
            </w:r>
          </w:p>
        </w:tc>
        <w:tc>
          <w:tcPr>
            <w:tcW w:w="903" w:type="dxa"/>
            <w:noWrap/>
            <w:vAlign w:val="center"/>
          </w:tcPr>
          <w:p>
            <w:pPr>
              <w:pStyle w:val="1143"/>
            </w:pPr>
            <w:r>
              <w:rPr>
                <w:rFonts w:hint="eastAsia"/>
              </w:rPr>
              <w:t>吉溪林场</w:t>
            </w:r>
          </w:p>
        </w:tc>
        <w:tc>
          <w:tcPr>
            <w:tcW w:w="866" w:type="dxa"/>
            <w:vMerge w:val="restart"/>
            <w:noWrap/>
            <w:vAlign w:val="center"/>
          </w:tcPr>
          <w:p>
            <w:pPr>
              <w:pStyle w:val="1143"/>
            </w:pPr>
            <w:r>
              <w:rPr>
                <w:rFonts w:hint="eastAsia"/>
              </w:rPr>
              <w:t>总计</w:t>
            </w:r>
          </w:p>
        </w:tc>
        <w:tc>
          <w:tcPr>
            <w:tcW w:w="4300" w:type="dxa"/>
            <w:gridSpan w:val="6"/>
            <w:noWrap/>
            <w:vAlign w:val="center"/>
          </w:tcPr>
          <w:p>
            <w:pPr>
              <w:pStyle w:val="1143"/>
            </w:pPr>
            <w:r>
              <w:rPr>
                <w:rFonts w:hint="eastAsia"/>
              </w:rPr>
              <w:t>激石溪村</w:t>
            </w:r>
          </w:p>
        </w:tc>
        <w:tc>
          <w:tcPr>
            <w:tcW w:w="903" w:type="dxa"/>
            <w:noWrap/>
            <w:vAlign w:val="center"/>
          </w:tcPr>
          <w:p>
            <w:pPr>
              <w:pStyle w:val="1143"/>
            </w:pPr>
            <w:r>
              <w:rPr>
                <w:rFonts w:hint="eastAsia"/>
              </w:rPr>
              <w:t>吉溪林场</w:t>
            </w:r>
          </w:p>
        </w:tc>
        <w:tc>
          <w:tcPr>
            <w:tcW w:w="635" w:type="dxa"/>
            <w:vMerge w:val="restart"/>
            <w:noWrap/>
            <w:vAlign w:val="center"/>
          </w:tcPr>
          <w:p>
            <w:pPr>
              <w:pStyle w:val="1143"/>
            </w:pPr>
            <w:r>
              <w:rPr>
                <w:rFonts w:hint="eastAsia"/>
              </w:rPr>
              <w:t>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vMerge w:val="continue"/>
            <w:vAlign w:val="center"/>
          </w:tcPr>
          <w:p>
            <w:pPr>
              <w:pStyle w:val="1143"/>
            </w:pPr>
          </w:p>
        </w:tc>
        <w:tc>
          <w:tcPr>
            <w:tcW w:w="1112" w:type="dxa"/>
            <w:vMerge w:val="continue"/>
            <w:vAlign w:val="center"/>
          </w:tcPr>
          <w:p>
            <w:pPr>
              <w:pStyle w:val="1143"/>
            </w:pPr>
          </w:p>
        </w:tc>
        <w:tc>
          <w:tcPr>
            <w:tcW w:w="690" w:type="dxa"/>
            <w:noWrap/>
            <w:vAlign w:val="center"/>
          </w:tcPr>
          <w:p>
            <w:pPr>
              <w:pStyle w:val="1143"/>
            </w:pPr>
            <w:r>
              <w:rPr>
                <w:rFonts w:hint="eastAsia"/>
              </w:rPr>
              <w:t>坝仔组</w:t>
            </w:r>
          </w:p>
        </w:tc>
        <w:tc>
          <w:tcPr>
            <w:tcW w:w="690" w:type="dxa"/>
            <w:noWrap/>
            <w:vAlign w:val="center"/>
          </w:tcPr>
          <w:p>
            <w:pPr>
              <w:pStyle w:val="1143"/>
            </w:pPr>
            <w:r>
              <w:rPr>
                <w:rFonts w:hint="eastAsia"/>
              </w:rPr>
              <w:t>博背组</w:t>
            </w:r>
          </w:p>
        </w:tc>
        <w:tc>
          <w:tcPr>
            <w:tcW w:w="690" w:type="dxa"/>
            <w:noWrap/>
            <w:vAlign w:val="center"/>
          </w:tcPr>
          <w:p>
            <w:pPr>
              <w:pStyle w:val="1143"/>
            </w:pPr>
            <w:r>
              <w:rPr>
                <w:rFonts w:hint="eastAsia"/>
              </w:rPr>
              <w:t>村集体</w:t>
            </w:r>
          </w:p>
        </w:tc>
        <w:tc>
          <w:tcPr>
            <w:tcW w:w="903" w:type="dxa"/>
            <w:noWrap/>
            <w:vAlign w:val="center"/>
          </w:tcPr>
          <w:p>
            <w:pPr>
              <w:pStyle w:val="1143"/>
            </w:pPr>
            <w:r>
              <w:rPr>
                <w:rFonts w:hint="eastAsia"/>
              </w:rPr>
              <w:t>李梅章组</w:t>
            </w:r>
          </w:p>
        </w:tc>
        <w:tc>
          <w:tcPr>
            <w:tcW w:w="690" w:type="dxa"/>
            <w:noWrap/>
            <w:vAlign w:val="center"/>
          </w:tcPr>
          <w:p>
            <w:pPr>
              <w:pStyle w:val="1143"/>
            </w:pPr>
            <w:r>
              <w:rPr>
                <w:rFonts w:hint="eastAsia"/>
              </w:rPr>
              <w:t>上屋组</w:t>
            </w:r>
          </w:p>
        </w:tc>
        <w:tc>
          <w:tcPr>
            <w:tcW w:w="687" w:type="dxa"/>
            <w:noWrap/>
            <w:vAlign w:val="center"/>
          </w:tcPr>
          <w:p>
            <w:pPr>
              <w:pStyle w:val="1143"/>
            </w:pPr>
            <w:r>
              <w:rPr>
                <w:rFonts w:hint="eastAsia"/>
              </w:rPr>
              <w:t>小计</w:t>
            </w:r>
          </w:p>
        </w:tc>
        <w:tc>
          <w:tcPr>
            <w:tcW w:w="903" w:type="dxa"/>
            <w:noWrap/>
            <w:vAlign w:val="center"/>
          </w:tcPr>
          <w:p>
            <w:pPr>
              <w:pStyle w:val="1143"/>
            </w:pPr>
            <w:r>
              <w:rPr>
                <w:rFonts w:hint="eastAsia"/>
              </w:rPr>
              <w:t>小计</w:t>
            </w:r>
          </w:p>
        </w:tc>
        <w:tc>
          <w:tcPr>
            <w:tcW w:w="866" w:type="dxa"/>
            <w:vMerge w:val="continue"/>
            <w:vAlign w:val="center"/>
          </w:tcPr>
          <w:p>
            <w:pPr>
              <w:pStyle w:val="1143"/>
            </w:pPr>
          </w:p>
        </w:tc>
        <w:tc>
          <w:tcPr>
            <w:tcW w:w="690" w:type="dxa"/>
            <w:noWrap/>
            <w:vAlign w:val="center"/>
          </w:tcPr>
          <w:p>
            <w:pPr>
              <w:pStyle w:val="1143"/>
            </w:pPr>
            <w:r>
              <w:rPr>
                <w:rFonts w:hint="eastAsia"/>
              </w:rPr>
              <w:t>坝仔组</w:t>
            </w:r>
          </w:p>
        </w:tc>
        <w:tc>
          <w:tcPr>
            <w:tcW w:w="690" w:type="dxa"/>
            <w:noWrap/>
            <w:vAlign w:val="center"/>
          </w:tcPr>
          <w:p>
            <w:pPr>
              <w:pStyle w:val="1143"/>
            </w:pPr>
            <w:r>
              <w:rPr>
                <w:rFonts w:hint="eastAsia"/>
              </w:rPr>
              <w:t>博背组</w:t>
            </w:r>
          </w:p>
        </w:tc>
        <w:tc>
          <w:tcPr>
            <w:tcW w:w="690" w:type="dxa"/>
            <w:noWrap/>
            <w:vAlign w:val="center"/>
          </w:tcPr>
          <w:p>
            <w:pPr>
              <w:pStyle w:val="1143"/>
            </w:pPr>
            <w:r>
              <w:rPr>
                <w:rFonts w:hint="eastAsia"/>
              </w:rPr>
              <w:t>村集体</w:t>
            </w:r>
          </w:p>
        </w:tc>
        <w:tc>
          <w:tcPr>
            <w:tcW w:w="903" w:type="dxa"/>
            <w:noWrap/>
            <w:vAlign w:val="center"/>
          </w:tcPr>
          <w:p>
            <w:pPr>
              <w:pStyle w:val="1143"/>
            </w:pPr>
            <w:r>
              <w:rPr>
                <w:rFonts w:hint="eastAsia"/>
              </w:rPr>
              <w:t>李梅章组</w:t>
            </w:r>
          </w:p>
        </w:tc>
        <w:tc>
          <w:tcPr>
            <w:tcW w:w="690" w:type="dxa"/>
            <w:noWrap/>
            <w:vAlign w:val="center"/>
          </w:tcPr>
          <w:p>
            <w:pPr>
              <w:pStyle w:val="1143"/>
            </w:pPr>
            <w:r>
              <w:rPr>
                <w:rFonts w:hint="eastAsia"/>
              </w:rPr>
              <w:t>上屋组</w:t>
            </w:r>
          </w:p>
        </w:tc>
        <w:tc>
          <w:tcPr>
            <w:tcW w:w="637" w:type="dxa"/>
            <w:noWrap/>
            <w:vAlign w:val="center"/>
          </w:tcPr>
          <w:p>
            <w:pPr>
              <w:pStyle w:val="1143"/>
            </w:pPr>
            <w:r>
              <w:rPr>
                <w:rFonts w:hint="eastAsia"/>
              </w:rPr>
              <w:t>小计</w:t>
            </w:r>
          </w:p>
        </w:tc>
        <w:tc>
          <w:tcPr>
            <w:tcW w:w="903" w:type="dxa"/>
            <w:noWrap/>
            <w:vAlign w:val="center"/>
          </w:tcPr>
          <w:p>
            <w:pPr>
              <w:pStyle w:val="1143"/>
            </w:pPr>
            <w:r>
              <w:rPr>
                <w:rFonts w:hint="eastAsia"/>
              </w:rPr>
              <w:t>小计</w:t>
            </w:r>
          </w:p>
        </w:tc>
        <w:tc>
          <w:tcPr>
            <w:tcW w:w="635" w:type="dxa"/>
            <w:vMerge w:val="continue"/>
            <w:vAlign w:val="center"/>
          </w:tcPr>
          <w:p>
            <w:pPr>
              <w:pStyle w:val="114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r>
              <w:rPr>
                <w:rFonts w:hint="eastAsia"/>
              </w:rPr>
              <w:t>耕地</w:t>
            </w:r>
          </w:p>
        </w:tc>
        <w:tc>
          <w:tcPr>
            <w:tcW w:w="1112"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pPr>
          </w:p>
        </w:tc>
        <w:tc>
          <w:tcPr>
            <w:tcW w:w="690" w:type="dxa"/>
            <w:noWrap/>
            <w:vAlign w:val="center"/>
          </w:tcPr>
          <w:p>
            <w:pPr>
              <w:pStyle w:val="1143"/>
            </w:pPr>
          </w:p>
        </w:tc>
        <w:tc>
          <w:tcPr>
            <w:tcW w:w="903" w:type="dxa"/>
            <w:noWrap/>
            <w:vAlign w:val="center"/>
          </w:tcPr>
          <w:p>
            <w:pPr>
              <w:pStyle w:val="1143"/>
              <w:rPr>
                <w:rFonts w:eastAsia="Times New Roman"/>
                <w:sz w:val="20"/>
                <w:szCs w:val="20"/>
              </w:rPr>
            </w:pPr>
          </w:p>
        </w:tc>
        <w:tc>
          <w:tcPr>
            <w:tcW w:w="690" w:type="dxa"/>
            <w:noWrap/>
            <w:vAlign w:val="center"/>
          </w:tcPr>
          <w:p>
            <w:pPr>
              <w:pStyle w:val="1143"/>
            </w:pPr>
            <w:r>
              <w:t>15.55</w:t>
            </w:r>
          </w:p>
        </w:tc>
        <w:tc>
          <w:tcPr>
            <w:tcW w:w="687" w:type="dxa"/>
            <w:noWrap/>
            <w:vAlign w:val="center"/>
          </w:tcPr>
          <w:p>
            <w:pPr>
              <w:pStyle w:val="1143"/>
            </w:pPr>
            <w:r>
              <w:t>15.55</w:t>
            </w:r>
          </w:p>
        </w:tc>
        <w:tc>
          <w:tcPr>
            <w:tcW w:w="903" w:type="dxa"/>
            <w:noWrap/>
            <w:vAlign w:val="center"/>
          </w:tcPr>
          <w:p>
            <w:pPr>
              <w:pStyle w:val="1143"/>
            </w:pPr>
          </w:p>
        </w:tc>
        <w:tc>
          <w:tcPr>
            <w:tcW w:w="866" w:type="dxa"/>
            <w:noWrap/>
            <w:vAlign w:val="center"/>
          </w:tcPr>
          <w:p>
            <w:pPr>
              <w:pStyle w:val="1143"/>
            </w:pPr>
            <w:r>
              <w:t>15.55</w:t>
            </w:r>
          </w:p>
        </w:tc>
        <w:tc>
          <w:tcPr>
            <w:tcW w:w="690" w:type="dxa"/>
            <w:noWrap/>
            <w:vAlign w:val="center"/>
          </w:tcPr>
          <w:p>
            <w:pPr>
              <w:pStyle w:val="1143"/>
            </w:pPr>
          </w:p>
        </w:tc>
        <w:tc>
          <w:tcPr>
            <w:tcW w:w="690" w:type="dxa"/>
            <w:noWrap/>
            <w:vAlign w:val="center"/>
          </w:tcPr>
          <w:p>
            <w:pPr>
              <w:pStyle w:val="1143"/>
            </w:pPr>
          </w:p>
        </w:tc>
        <w:tc>
          <w:tcPr>
            <w:tcW w:w="690" w:type="dxa"/>
            <w:noWrap/>
            <w:vAlign w:val="center"/>
          </w:tcPr>
          <w:p>
            <w:pPr>
              <w:pStyle w:val="1143"/>
            </w:pPr>
          </w:p>
        </w:tc>
        <w:tc>
          <w:tcPr>
            <w:tcW w:w="903" w:type="dxa"/>
            <w:noWrap/>
            <w:vAlign w:val="center"/>
          </w:tcPr>
          <w:p>
            <w:pPr>
              <w:pStyle w:val="1143"/>
              <w:rPr>
                <w:rFonts w:eastAsia="Times New Roman"/>
                <w:sz w:val="20"/>
                <w:szCs w:val="20"/>
              </w:rPr>
            </w:pPr>
          </w:p>
        </w:tc>
        <w:tc>
          <w:tcPr>
            <w:tcW w:w="690" w:type="dxa"/>
            <w:noWrap/>
            <w:vAlign w:val="center"/>
          </w:tcPr>
          <w:p>
            <w:pPr>
              <w:pStyle w:val="1143"/>
            </w:pPr>
            <w:r>
              <w:t>15.55</w:t>
            </w:r>
          </w:p>
        </w:tc>
        <w:tc>
          <w:tcPr>
            <w:tcW w:w="637" w:type="dxa"/>
            <w:noWrap/>
            <w:vAlign w:val="center"/>
          </w:tcPr>
          <w:p>
            <w:pPr>
              <w:pStyle w:val="1143"/>
            </w:pPr>
            <w:r>
              <w:t>15.55</w:t>
            </w:r>
          </w:p>
        </w:tc>
        <w:tc>
          <w:tcPr>
            <w:tcW w:w="903" w:type="dxa"/>
            <w:noWrap/>
            <w:vAlign w:val="center"/>
          </w:tcPr>
          <w:p>
            <w:pPr>
              <w:pStyle w:val="1143"/>
            </w:pPr>
          </w:p>
        </w:tc>
        <w:tc>
          <w:tcPr>
            <w:tcW w:w="635" w:type="dxa"/>
            <w:noWrap/>
            <w:vAlign w:val="center"/>
          </w:tcPr>
          <w:p>
            <w:pPr>
              <w:pStyle w:val="1143"/>
            </w:pPr>
            <w:r>
              <w:t>15.55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p>
        </w:tc>
        <w:tc>
          <w:tcPr>
            <w:tcW w:w="1112" w:type="dxa"/>
            <w:noWrap/>
            <w:vAlign w:val="center"/>
          </w:tcPr>
          <w:p>
            <w:pPr>
              <w:pStyle w:val="1143"/>
              <w:rPr>
                <w:rFonts w:hint="eastAsia"/>
              </w:rPr>
            </w:pPr>
            <w:r>
              <w:rPr>
                <w:rFonts w:hint="eastAsia"/>
              </w:rPr>
              <w:t>水田</w:t>
            </w:r>
          </w:p>
        </w:tc>
        <w:tc>
          <w:tcPr>
            <w:tcW w:w="690" w:type="dxa"/>
            <w:noWrap/>
            <w:vAlign w:val="center"/>
          </w:tcPr>
          <w:p>
            <w:pPr>
              <w:pStyle w:val="1143"/>
            </w:pPr>
          </w:p>
        </w:tc>
        <w:tc>
          <w:tcPr>
            <w:tcW w:w="690" w:type="dxa"/>
            <w:noWrap/>
            <w:vAlign w:val="center"/>
          </w:tcPr>
          <w:p>
            <w:pPr>
              <w:pStyle w:val="1143"/>
              <w:rPr>
                <w:rFonts w:hint="eastAsia"/>
              </w:rPr>
            </w:pPr>
          </w:p>
        </w:tc>
        <w:tc>
          <w:tcPr>
            <w:tcW w:w="690" w:type="dxa"/>
            <w:noWrap/>
            <w:vAlign w:val="center"/>
          </w:tcPr>
          <w:p>
            <w:pPr>
              <w:pStyle w:val="1143"/>
            </w:pPr>
          </w:p>
        </w:tc>
        <w:tc>
          <w:tcPr>
            <w:tcW w:w="903" w:type="dxa"/>
            <w:noWrap/>
            <w:vAlign w:val="center"/>
          </w:tcPr>
          <w:p>
            <w:pPr>
              <w:pStyle w:val="1143"/>
              <w:rPr>
                <w:rFonts w:eastAsia="Times New Roman"/>
                <w:sz w:val="20"/>
                <w:szCs w:val="20"/>
              </w:rPr>
            </w:pPr>
          </w:p>
        </w:tc>
        <w:tc>
          <w:tcPr>
            <w:tcW w:w="690" w:type="dxa"/>
            <w:noWrap/>
            <w:vAlign w:val="center"/>
          </w:tcPr>
          <w:p>
            <w:pPr>
              <w:pStyle w:val="1143"/>
              <w:rPr>
                <w:rFonts w:hint="eastAsia"/>
              </w:rPr>
            </w:pPr>
            <w:r>
              <w:rPr>
                <w:rFonts w:hint="eastAsia"/>
              </w:rPr>
              <w:t>1</w:t>
            </w:r>
            <w:r>
              <w:t>5.54</w:t>
            </w:r>
          </w:p>
        </w:tc>
        <w:tc>
          <w:tcPr>
            <w:tcW w:w="687" w:type="dxa"/>
            <w:noWrap/>
            <w:vAlign w:val="center"/>
          </w:tcPr>
          <w:p>
            <w:pPr>
              <w:pStyle w:val="1143"/>
              <w:rPr>
                <w:rFonts w:hint="eastAsia"/>
              </w:rPr>
            </w:pPr>
            <w:r>
              <w:rPr>
                <w:rFonts w:hint="eastAsia"/>
              </w:rPr>
              <w:t>1</w:t>
            </w:r>
            <w:r>
              <w:t>5.54</w:t>
            </w:r>
          </w:p>
        </w:tc>
        <w:tc>
          <w:tcPr>
            <w:tcW w:w="903" w:type="dxa"/>
            <w:noWrap/>
            <w:vAlign w:val="center"/>
          </w:tcPr>
          <w:p>
            <w:pPr>
              <w:pStyle w:val="1143"/>
            </w:pPr>
          </w:p>
        </w:tc>
        <w:tc>
          <w:tcPr>
            <w:tcW w:w="866" w:type="dxa"/>
            <w:noWrap/>
            <w:vAlign w:val="center"/>
          </w:tcPr>
          <w:p>
            <w:pPr>
              <w:pStyle w:val="1143"/>
              <w:rPr>
                <w:rFonts w:hint="eastAsia"/>
              </w:rPr>
            </w:pPr>
            <w:r>
              <w:rPr>
                <w:rFonts w:hint="eastAsia"/>
              </w:rPr>
              <w:t>1</w:t>
            </w:r>
            <w:r>
              <w:t>5.54</w:t>
            </w:r>
          </w:p>
        </w:tc>
        <w:tc>
          <w:tcPr>
            <w:tcW w:w="690" w:type="dxa"/>
            <w:noWrap/>
            <w:vAlign w:val="center"/>
          </w:tcPr>
          <w:p>
            <w:pPr>
              <w:pStyle w:val="1143"/>
            </w:pPr>
          </w:p>
        </w:tc>
        <w:tc>
          <w:tcPr>
            <w:tcW w:w="690" w:type="dxa"/>
            <w:noWrap/>
            <w:vAlign w:val="center"/>
          </w:tcPr>
          <w:p>
            <w:pPr>
              <w:pStyle w:val="1143"/>
              <w:rPr>
                <w:rFonts w:hint="eastAsia"/>
              </w:rPr>
            </w:pPr>
          </w:p>
        </w:tc>
        <w:tc>
          <w:tcPr>
            <w:tcW w:w="690" w:type="dxa"/>
            <w:noWrap/>
            <w:vAlign w:val="center"/>
          </w:tcPr>
          <w:p>
            <w:pPr>
              <w:pStyle w:val="1143"/>
            </w:pPr>
          </w:p>
        </w:tc>
        <w:tc>
          <w:tcPr>
            <w:tcW w:w="903" w:type="dxa"/>
            <w:noWrap/>
            <w:vAlign w:val="center"/>
          </w:tcPr>
          <w:p>
            <w:pPr>
              <w:pStyle w:val="1143"/>
              <w:rPr>
                <w:rFonts w:eastAsia="Times New Roman"/>
                <w:sz w:val="20"/>
                <w:szCs w:val="20"/>
              </w:rPr>
            </w:pPr>
          </w:p>
        </w:tc>
        <w:tc>
          <w:tcPr>
            <w:tcW w:w="690" w:type="dxa"/>
            <w:noWrap/>
            <w:vAlign w:val="center"/>
          </w:tcPr>
          <w:p>
            <w:pPr>
              <w:pStyle w:val="1143"/>
              <w:rPr>
                <w:rFonts w:hint="eastAsia"/>
              </w:rPr>
            </w:pPr>
            <w:r>
              <w:rPr>
                <w:rFonts w:hint="eastAsia"/>
              </w:rPr>
              <w:t>1</w:t>
            </w:r>
            <w:r>
              <w:t>5.55</w:t>
            </w:r>
          </w:p>
        </w:tc>
        <w:tc>
          <w:tcPr>
            <w:tcW w:w="637" w:type="dxa"/>
            <w:noWrap/>
            <w:vAlign w:val="center"/>
          </w:tcPr>
          <w:p>
            <w:pPr>
              <w:pStyle w:val="1143"/>
              <w:rPr>
                <w:rFonts w:hint="eastAsia"/>
              </w:rPr>
            </w:pPr>
            <w:r>
              <w:rPr>
                <w:rFonts w:hint="eastAsia"/>
              </w:rPr>
              <w:t>1</w:t>
            </w:r>
            <w:r>
              <w:t>5.55</w:t>
            </w:r>
          </w:p>
        </w:tc>
        <w:tc>
          <w:tcPr>
            <w:tcW w:w="903" w:type="dxa"/>
            <w:noWrap/>
            <w:vAlign w:val="center"/>
          </w:tcPr>
          <w:p>
            <w:pPr>
              <w:pStyle w:val="1143"/>
            </w:pPr>
          </w:p>
        </w:tc>
        <w:tc>
          <w:tcPr>
            <w:tcW w:w="635" w:type="dxa"/>
            <w:noWrap/>
            <w:vAlign w:val="center"/>
          </w:tcPr>
          <w:p>
            <w:pPr>
              <w:pStyle w:val="1143"/>
              <w:rPr>
                <w:rFonts w:hint="eastAsia"/>
              </w:rPr>
            </w:pPr>
            <w:r>
              <w:rPr>
                <w:rFonts w:hint="eastAsia"/>
              </w:rPr>
              <w:t>1</w:t>
            </w:r>
            <w:r>
              <w:t>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p>
        </w:tc>
        <w:tc>
          <w:tcPr>
            <w:tcW w:w="1112" w:type="dxa"/>
            <w:noWrap/>
            <w:vAlign w:val="center"/>
          </w:tcPr>
          <w:p>
            <w:pPr>
              <w:pStyle w:val="1143"/>
            </w:pPr>
            <w:r>
              <w:rPr>
                <w:rFonts w:hint="eastAsia"/>
              </w:rPr>
              <w:t>旱地</w:t>
            </w:r>
          </w:p>
        </w:tc>
        <w:tc>
          <w:tcPr>
            <w:tcW w:w="690" w:type="dxa"/>
            <w:noWrap/>
            <w:vAlign w:val="center"/>
          </w:tcPr>
          <w:p>
            <w:pPr>
              <w:pStyle w:val="1143"/>
            </w:pPr>
          </w:p>
        </w:tc>
        <w:tc>
          <w:tcPr>
            <w:tcW w:w="690" w:type="dxa"/>
            <w:noWrap/>
            <w:vAlign w:val="center"/>
          </w:tcPr>
          <w:p>
            <w:pPr>
              <w:pStyle w:val="1143"/>
            </w:pPr>
          </w:p>
        </w:tc>
        <w:tc>
          <w:tcPr>
            <w:tcW w:w="690" w:type="dxa"/>
            <w:noWrap/>
            <w:vAlign w:val="center"/>
          </w:tcPr>
          <w:p>
            <w:pPr>
              <w:pStyle w:val="1143"/>
            </w:pPr>
          </w:p>
        </w:tc>
        <w:tc>
          <w:tcPr>
            <w:tcW w:w="903" w:type="dxa"/>
            <w:noWrap/>
            <w:vAlign w:val="center"/>
          </w:tcPr>
          <w:p>
            <w:pPr>
              <w:pStyle w:val="1143"/>
              <w:rPr>
                <w:rFonts w:eastAsia="Times New Roman"/>
                <w:sz w:val="20"/>
                <w:szCs w:val="20"/>
              </w:rPr>
            </w:pPr>
          </w:p>
        </w:tc>
        <w:tc>
          <w:tcPr>
            <w:tcW w:w="690" w:type="dxa"/>
            <w:noWrap/>
            <w:vAlign w:val="center"/>
          </w:tcPr>
          <w:p>
            <w:pPr>
              <w:pStyle w:val="1143"/>
            </w:pPr>
            <w:r>
              <w:rPr>
                <w:rFonts w:hint="eastAsia"/>
              </w:rPr>
              <w:t>0.</w:t>
            </w:r>
            <w:r>
              <w:t>01</w:t>
            </w:r>
          </w:p>
        </w:tc>
        <w:tc>
          <w:tcPr>
            <w:tcW w:w="687" w:type="dxa"/>
            <w:noWrap/>
            <w:vAlign w:val="center"/>
          </w:tcPr>
          <w:p>
            <w:pPr>
              <w:pStyle w:val="1143"/>
            </w:pPr>
            <w:r>
              <w:rPr>
                <w:rFonts w:hint="eastAsia"/>
              </w:rPr>
              <w:t>0.</w:t>
            </w:r>
            <w:r>
              <w:t>01</w:t>
            </w:r>
          </w:p>
        </w:tc>
        <w:tc>
          <w:tcPr>
            <w:tcW w:w="903" w:type="dxa"/>
            <w:noWrap/>
            <w:vAlign w:val="center"/>
          </w:tcPr>
          <w:p>
            <w:pPr>
              <w:pStyle w:val="1143"/>
            </w:pPr>
          </w:p>
        </w:tc>
        <w:tc>
          <w:tcPr>
            <w:tcW w:w="866" w:type="dxa"/>
            <w:noWrap/>
            <w:vAlign w:val="center"/>
          </w:tcPr>
          <w:p>
            <w:pPr>
              <w:pStyle w:val="1143"/>
            </w:pPr>
            <w:r>
              <w:rPr>
                <w:rFonts w:hint="eastAsia"/>
              </w:rPr>
              <w:t>0.</w:t>
            </w:r>
            <w:r>
              <w:t>01</w:t>
            </w:r>
          </w:p>
        </w:tc>
        <w:tc>
          <w:tcPr>
            <w:tcW w:w="690" w:type="dxa"/>
            <w:noWrap/>
            <w:vAlign w:val="center"/>
          </w:tcPr>
          <w:p>
            <w:pPr>
              <w:pStyle w:val="1143"/>
            </w:pPr>
          </w:p>
        </w:tc>
        <w:tc>
          <w:tcPr>
            <w:tcW w:w="690" w:type="dxa"/>
            <w:noWrap/>
            <w:vAlign w:val="center"/>
          </w:tcPr>
          <w:p>
            <w:pPr>
              <w:pStyle w:val="1143"/>
            </w:pPr>
          </w:p>
        </w:tc>
        <w:tc>
          <w:tcPr>
            <w:tcW w:w="690" w:type="dxa"/>
            <w:noWrap/>
            <w:vAlign w:val="center"/>
          </w:tcPr>
          <w:p>
            <w:pPr>
              <w:pStyle w:val="1143"/>
            </w:pPr>
          </w:p>
        </w:tc>
        <w:tc>
          <w:tcPr>
            <w:tcW w:w="903" w:type="dxa"/>
            <w:noWrap/>
            <w:vAlign w:val="center"/>
          </w:tcPr>
          <w:p>
            <w:pPr>
              <w:pStyle w:val="1143"/>
              <w:rPr>
                <w:rFonts w:eastAsia="Times New Roman"/>
                <w:sz w:val="20"/>
                <w:szCs w:val="20"/>
              </w:rPr>
            </w:pPr>
          </w:p>
        </w:tc>
        <w:tc>
          <w:tcPr>
            <w:tcW w:w="690" w:type="dxa"/>
            <w:noWrap/>
            <w:vAlign w:val="center"/>
          </w:tcPr>
          <w:p>
            <w:pPr>
              <w:pStyle w:val="1143"/>
            </w:pPr>
          </w:p>
        </w:tc>
        <w:tc>
          <w:tcPr>
            <w:tcW w:w="637" w:type="dxa"/>
            <w:noWrap/>
            <w:vAlign w:val="center"/>
          </w:tcPr>
          <w:p>
            <w:pPr>
              <w:pStyle w:val="1143"/>
            </w:pPr>
          </w:p>
        </w:tc>
        <w:tc>
          <w:tcPr>
            <w:tcW w:w="903" w:type="dxa"/>
            <w:noWrap/>
            <w:vAlign w:val="center"/>
          </w:tcPr>
          <w:p>
            <w:pPr>
              <w:pStyle w:val="1143"/>
            </w:pPr>
          </w:p>
        </w:tc>
        <w:tc>
          <w:tcPr>
            <w:tcW w:w="635" w:type="dxa"/>
            <w:noWrap/>
            <w:vAlign w:val="center"/>
          </w:tcPr>
          <w:p>
            <w:pPr>
              <w:pStyle w:val="114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r>
              <w:rPr>
                <w:rFonts w:hint="eastAsia"/>
              </w:rPr>
              <w:t>园地</w:t>
            </w:r>
          </w:p>
        </w:tc>
        <w:tc>
          <w:tcPr>
            <w:tcW w:w="1112"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shd w:val="clear" w:color="auto" w:fill="auto"/>
            <w:noWrap/>
            <w:vAlign w:val="center"/>
          </w:tcPr>
          <w:p>
            <w:pPr>
              <w:pStyle w:val="1143"/>
            </w:pPr>
            <w:r>
              <w:rPr>
                <w:rFonts w:hint="eastAsia"/>
              </w:rPr>
              <w:t xml:space="preserve">3.67 </w:t>
            </w:r>
          </w:p>
        </w:tc>
        <w:tc>
          <w:tcPr>
            <w:tcW w:w="687" w:type="dxa"/>
            <w:shd w:val="clear" w:color="auto" w:fill="auto"/>
            <w:noWrap/>
            <w:vAlign w:val="center"/>
          </w:tcPr>
          <w:p>
            <w:pPr>
              <w:pStyle w:val="1143"/>
            </w:pPr>
            <w:r>
              <w:rPr>
                <w:rFonts w:hint="eastAsia"/>
              </w:rPr>
              <w:t xml:space="preserve">3.67 </w:t>
            </w:r>
          </w:p>
        </w:tc>
        <w:tc>
          <w:tcPr>
            <w:tcW w:w="903" w:type="dxa"/>
            <w:noWrap/>
            <w:vAlign w:val="center"/>
          </w:tcPr>
          <w:p>
            <w:pPr>
              <w:pStyle w:val="1143"/>
            </w:pPr>
          </w:p>
        </w:tc>
        <w:tc>
          <w:tcPr>
            <w:tcW w:w="866" w:type="dxa"/>
            <w:shd w:val="clear" w:color="auto" w:fill="auto"/>
            <w:noWrap/>
            <w:vAlign w:val="center"/>
          </w:tcPr>
          <w:p>
            <w:pPr>
              <w:pStyle w:val="1143"/>
            </w:pPr>
            <w:r>
              <w:rPr>
                <w:rFonts w:hint="eastAsia"/>
              </w:rPr>
              <w:t xml:space="preserve">3.67 </w:t>
            </w:r>
          </w:p>
        </w:tc>
        <w:tc>
          <w:tcPr>
            <w:tcW w:w="690"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shd w:val="clear" w:color="auto" w:fill="auto"/>
            <w:noWrap/>
            <w:vAlign w:val="center"/>
          </w:tcPr>
          <w:p>
            <w:pPr>
              <w:pStyle w:val="1143"/>
            </w:pPr>
            <w:r>
              <w:rPr>
                <w:rFonts w:hint="eastAsia"/>
              </w:rPr>
              <w:t xml:space="preserve">3.67 </w:t>
            </w:r>
          </w:p>
        </w:tc>
        <w:tc>
          <w:tcPr>
            <w:tcW w:w="637" w:type="dxa"/>
            <w:shd w:val="clear" w:color="auto" w:fill="auto"/>
            <w:noWrap/>
            <w:vAlign w:val="center"/>
          </w:tcPr>
          <w:p>
            <w:pPr>
              <w:pStyle w:val="1143"/>
            </w:pPr>
            <w:r>
              <w:rPr>
                <w:rFonts w:hint="eastAsia"/>
              </w:rPr>
              <w:t xml:space="preserve">3.67 </w:t>
            </w:r>
          </w:p>
        </w:tc>
        <w:tc>
          <w:tcPr>
            <w:tcW w:w="903" w:type="dxa"/>
            <w:noWrap/>
            <w:vAlign w:val="center"/>
          </w:tcPr>
          <w:p>
            <w:pPr>
              <w:pStyle w:val="1143"/>
            </w:pPr>
          </w:p>
        </w:tc>
        <w:tc>
          <w:tcPr>
            <w:tcW w:w="635" w:type="dxa"/>
            <w:shd w:val="clear" w:color="auto" w:fill="auto"/>
            <w:noWrap/>
            <w:vAlign w:val="center"/>
          </w:tcPr>
          <w:p>
            <w:pPr>
              <w:pStyle w:val="1143"/>
            </w:pPr>
            <w:r>
              <w:rPr>
                <w:rFonts w:hint="eastAsia"/>
              </w:rPr>
              <w:t xml:space="preserve">3.67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p>
        </w:tc>
        <w:tc>
          <w:tcPr>
            <w:tcW w:w="1112" w:type="dxa"/>
            <w:noWrap/>
            <w:vAlign w:val="center"/>
          </w:tcPr>
          <w:p>
            <w:pPr>
              <w:pStyle w:val="1143"/>
            </w:pPr>
            <w:r>
              <w:rPr>
                <w:rFonts w:hint="eastAsia"/>
              </w:rPr>
              <w:t>果园</w:t>
            </w:r>
          </w:p>
        </w:tc>
        <w:tc>
          <w:tcPr>
            <w:tcW w:w="690"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shd w:val="clear" w:color="auto" w:fill="auto"/>
            <w:noWrap/>
            <w:vAlign w:val="center"/>
          </w:tcPr>
          <w:p>
            <w:pPr>
              <w:pStyle w:val="1143"/>
            </w:pPr>
            <w:r>
              <w:rPr>
                <w:rFonts w:hint="eastAsia"/>
              </w:rPr>
              <w:t xml:space="preserve">3.67 </w:t>
            </w:r>
          </w:p>
        </w:tc>
        <w:tc>
          <w:tcPr>
            <w:tcW w:w="687" w:type="dxa"/>
            <w:shd w:val="clear" w:color="auto" w:fill="auto"/>
            <w:noWrap/>
            <w:vAlign w:val="center"/>
          </w:tcPr>
          <w:p>
            <w:pPr>
              <w:pStyle w:val="1143"/>
            </w:pPr>
            <w:r>
              <w:rPr>
                <w:rFonts w:hint="eastAsia"/>
              </w:rPr>
              <w:t xml:space="preserve">3.67 </w:t>
            </w:r>
          </w:p>
        </w:tc>
        <w:tc>
          <w:tcPr>
            <w:tcW w:w="903" w:type="dxa"/>
            <w:noWrap/>
            <w:vAlign w:val="center"/>
          </w:tcPr>
          <w:p>
            <w:pPr>
              <w:pStyle w:val="1143"/>
            </w:pPr>
          </w:p>
        </w:tc>
        <w:tc>
          <w:tcPr>
            <w:tcW w:w="866" w:type="dxa"/>
            <w:shd w:val="clear" w:color="auto" w:fill="auto"/>
            <w:noWrap/>
            <w:vAlign w:val="center"/>
          </w:tcPr>
          <w:p>
            <w:pPr>
              <w:pStyle w:val="1143"/>
            </w:pPr>
            <w:r>
              <w:rPr>
                <w:rFonts w:hint="eastAsia"/>
              </w:rPr>
              <w:t xml:space="preserve">3.67 </w:t>
            </w:r>
          </w:p>
        </w:tc>
        <w:tc>
          <w:tcPr>
            <w:tcW w:w="690"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shd w:val="clear" w:color="auto" w:fill="auto"/>
            <w:noWrap/>
            <w:vAlign w:val="center"/>
          </w:tcPr>
          <w:p>
            <w:pPr>
              <w:pStyle w:val="1143"/>
            </w:pPr>
            <w:r>
              <w:rPr>
                <w:rFonts w:hint="eastAsia"/>
              </w:rPr>
              <w:t xml:space="preserve">3.67 </w:t>
            </w:r>
          </w:p>
        </w:tc>
        <w:tc>
          <w:tcPr>
            <w:tcW w:w="637" w:type="dxa"/>
            <w:shd w:val="clear" w:color="auto" w:fill="auto"/>
            <w:noWrap/>
            <w:vAlign w:val="center"/>
          </w:tcPr>
          <w:p>
            <w:pPr>
              <w:pStyle w:val="1143"/>
            </w:pPr>
            <w:r>
              <w:rPr>
                <w:rFonts w:hint="eastAsia"/>
              </w:rPr>
              <w:t xml:space="preserve">3.67 </w:t>
            </w:r>
          </w:p>
        </w:tc>
        <w:tc>
          <w:tcPr>
            <w:tcW w:w="903" w:type="dxa"/>
            <w:noWrap/>
            <w:vAlign w:val="center"/>
          </w:tcPr>
          <w:p>
            <w:pPr>
              <w:pStyle w:val="1143"/>
            </w:pPr>
          </w:p>
        </w:tc>
        <w:tc>
          <w:tcPr>
            <w:tcW w:w="635" w:type="dxa"/>
            <w:shd w:val="clear" w:color="auto" w:fill="auto"/>
            <w:noWrap/>
            <w:vAlign w:val="center"/>
          </w:tcPr>
          <w:p>
            <w:pPr>
              <w:pStyle w:val="1143"/>
            </w:pPr>
            <w:r>
              <w:rPr>
                <w:rFonts w:hint="eastAsia"/>
              </w:rPr>
              <w:t xml:space="preserve">3.67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r>
              <w:rPr>
                <w:rFonts w:hint="eastAsia"/>
              </w:rPr>
              <w:t>林地</w:t>
            </w:r>
          </w:p>
        </w:tc>
        <w:tc>
          <w:tcPr>
            <w:tcW w:w="1112" w:type="dxa"/>
            <w:noWrap/>
            <w:vAlign w:val="center"/>
          </w:tcPr>
          <w:p>
            <w:pPr>
              <w:pStyle w:val="1143"/>
            </w:pPr>
          </w:p>
        </w:tc>
        <w:tc>
          <w:tcPr>
            <w:tcW w:w="690" w:type="dxa"/>
            <w:shd w:val="clear" w:color="auto" w:fill="auto"/>
            <w:noWrap/>
            <w:vAlign w:val="center"/>
          </w:tcPr>
          <w:p>
            <w:pPr>
              <w:pStyle w:val="1143"/>
            </w:pPr>
            <w:r>
              <w:rPr>
                <w:rFonts w:hint="eastAsia"/>
              </w:rPr>
              <w:t xml:space="preserve">67.99 </w:t>
            </w:r>
          </w:p>
        </w:tc>
        <w:tc>
          <w:tcPr>
            <w:tcW w:w="690" w:type="dxa"/>
            <w:shd w:val="clear" w:color="auto" w:fill="auto"/>
            <w:noWrap/>
            <w:vAlign w:val="center"/>
          </w:tcPr>
          <w:p>
            <w:pPr>
              <w:pStyle w:val="1143"/>
            </w:pPr>
            <w:r>
              <w:rPr>
                <w:rFonts w:hint="eastAsia"/>
              </w:rPr>
              <w:t xml:space="preserve">1.56 </w:t>
            </w:r>
          </w:p>
        </w:tc>
        <w:tc>
          <w:tcPr>
            <w:tcW w:w="690" w:type="dxa"/>
            <w:shd w:val="clear" w:color="auto" w:fill="auto"/>
            <w:noWrap/>
            <w:vAlign w:val="center"/>
          </w:tcPr>
          <w:p>
            <w:pPr>
              <w:pStyle w:val="1143"/>
            </w:pPr>
            <w:r>
              <w:rPr>
                <w:rFonts w:hint="eastAsia"/>
              </w:rPr>
              <w:t xml:space="preserve">4.12 </w:t>
            </w:r>
          </w:p>
        </w:tc>
        <w:tc>
          <w:tcPr>
            <w:tcW w:w="903" w:type="dxa"/>
            <w:shd w:val="clear" w:color="auto" w:fill="auto"/>
            <w:noWrap/>
            <w:vAlign w:val="center"/>
          </w:tcPr>
          <w:p>
            <w:pPr>
              <w:pStyle w:val="1143"/>
            </w:pPr>
            <w:r>
              <w:rPr>
                <w:rFonts w:hint="eastAsia"/>
              </w:rPr>
              <w:t xml:space="preserve">28.14 </w:t>
            </w:r>
          </w:p>
        </w:tc>
        <w:tc>
          <w:tcPr>
            <w:tcW w:w="690" w:type="dxa"/>
            <w:shd w:val="clear" w:color="auto" w:fill="auto"/>
            <w:noWrap/>
            <w:vAlign w:val="center"/>
          </w:tcPr>
          <w:p>
            <w:pPr>
              <w:pStyle w:val="1143"/>
            </w:pPr>
            <w:r>
              <w:rPr>
                <w:rFonts w:hint="eastAsia"/>
              </w:rPr>
              <w:t xml:space="preserve">268.96 </w:t>
            </w:r>
          </w:p>
        </w:tc>
        <w:tc>
          <w:tcPr>
            <w:tcW w:w="687" w:type="dxa"/>
            <w:shd w:val="clear" w:color="auto" w:fill="auto"/>
            <w:noWrap/>
            <w:vAlign w:val="center"/>
          </w:tcPr>
          <w:p>
            <w:pPr>
              <w:pStyle w:val="1143"/>
            </w:pPr>
            <w:r>
              <w:rPr>
                <w:rFonts w:hint="eastAsia"/>
              </w:rPr>
              <w:t xml:space="preserve">370.76 </w:t>
            </w:r>
          </w:p>
        </w:tc>
        <w:tc>
          <w:tcPr>
            <w:tcW w:w="903" w:type="dxa"/>
            <w:noWrap/>
            <w:vAlign w:val="center"/>
          </w:tcPr>
          <w:p>
            <w:pPr>
              <w:pStyle w:val="1143"/>
            </w:pPr>
            <w:r>
              <w:rPr>
                <w:rFonts w:hint="eastAsia"/>
              </w:rPr>
              <w:t>561.6</w:t>
            </w:r>
            <w:r>
              <w:t>0</w:t>
            </w:r>
          </w:p>
        </w:tc>
        <w:tc>
          <w:tcPr>
            <w:tcW w:w="866" w:type="dxa"/>
            <w:shd w:val="clear" w:color="auto" w:fill="auto"/>
            <w:noWrap/>
            <w:vAlign w:val="center"/>
          </w:tcPr>
          <w:p>
            <w:pPr>
              <w:pStyle w:val="1143"/>
            </w:pPr>
            <w:r>
              <w:rPr>
                <w:rFonts w:hint="eastAsia"/>
              </w:rPr>
              <w:t xml:space="preserve">932.35 </w:t>
            </w:r>
          </w:p>
        </w:tc>
        <w:tc>
          <w:tcPr>
            <w:tcW w:w="690" w:type="dxa"/>
            <w:shd w:val="clear" w:color="auto" w:fill="auto"/>
            <w:noWrap/>
            <w:vAlign w:val="center"/>
          </w:tcPr>
          <w:p>
            <w:pPr>
              <w:pStyle w:val="1143"/>
            </w:pPr>
            <w:r>
              <w:rPr>
                <w:rFonts w:hint="eastAsia"/>
              </w:rPr>
              <w:t xml:space="preserve">67.99 </w:t>
            </w:r>
          </w:p>
        </w:tc>
        <w:tc>
          <w:tcPr>
            <w:tcW w:w="690" w:type="dxa"/>
            <w:shd w:val="clear" w:color="auto" w:fill="auto"/>
            <w:noWrap/>
            <w:vAlign w:val="center"/>
          </w:tcPr>
          <w:p>
            <w:pPr>
              <w:pStyle w:val="1143"/>
            </w:pPr>
            <w:r>
              <w:rPr>
                <w:rFonts w:hint="eastAsia"/>
              </w:rPr>
              <w:t>1.5</w:t>
            </w:r>
            <w:r>
              <w:t>8</w:t>
            </w:r>
            <w:r>
              <w:rPr>
                <w:rFonts w:hint="eastAsia"/>
              </w:rPr>
              <w:t xml:space="preserve"> </w:t>
            </w:r>
          </w:p>
        </w:tc>
        <w:tc>
          <w:tcPr>
            <w:tcW w:w="690" w:type="dxa"/>
            <w:shd w:val="clear" w:color="auto" w:fill="auto"/>
            <w:noWrap/>
            <w:vAlign w:val="center"/>
          </w:tcPr>
          <w:p>
            <w:pPr>
              <w:pStyle w:val="1143"/>
            </w:pPr>
            <w:r>
              <w:rPr>
                <w:rFonts w:hint="eastAsia"/>
              </w:rPr>
              <w:t xml:space="preserve">4.12 </w:t>
            </w:r>
          </w:p>
        </w:tc>
        <w:tc>
          <w:tcPr>
            <w:tcW w:w="903" w:type="dxa"/>
            <w:shd w:val="clear" w:color="auto" w:fill="auto"/>
            <w:noWrap/>
            <w:vAlign w:val="center"/>
          </w:tcPr>
          <w:p>
            <w:pPr>
              <w:pStyle w:val="1143"/>
            </w:pPr>
            <w:r>
              <w:rPr>
                <w:rFonts w:hint="eastAsia"/>
              </w:rPr>
              <w:t xml:space="preserve">28.14 </w:t>
            </w:r>
          </w:p>
        </w:tc>
        <w:tc>
          <w:tcPr>
            <w:tcW w:w="690" w:type="dxa"/>
            <w:shd w:val="clear" w:color="auto" w:fill="auto"/>
            <w:noWrap/>
            <w:vAlign w:val="center"/>
          </w:tcPr>
          <w:p>
            <w:pPr>
              <w:pStyle w:val="1143"/>
            </w:pPr>
            <w:r>
              <w:rPr>
                <w:rFonts w:hint="eastAsia"/>
              </w:rPr>
              <w:t>26</w:t>
            </w:r>
            <w:r>
              <w:t>9</w:t>
            </w:r>
            <w:r>
              <w:rPr>
                <w:rFonts w:hint="eastAsia"/>
              </w:rPr>
              <w:t>.</w:t>
            </w:r>
            <w:r>
              <w:t>27</w:t>
            </w:r>
            <w:r>
              <w:rPr>
                <w:rFonts w:hint="eastAsia"/>
              </w:rPr>
              <w:t xml:space="preserve"> </w:t>
            </w:r>
          </w:p>
        </w:tc>
        <w:tc>
          <w:tcPr>
            <w:tcW w:w="637" w:type="dxa"/>
            <w:shd w:val="clear" w:color="auto" w:fill="auto"/>
            <w:noWrap/>
            <w:vAlign w:val="center"/>
          </w:tcPr>
          <w:p>
            <w:pPr>
              <w:pStyle w:val="1143"/>
            </w:pPr>
            <w:r>
              <w:rPr>
                <w:rFonts w:hint="eastAsia"/>
              </w:rPr>
              <w:t>37</w:t>
            </w:r>
            <w:r>
              <w:t>1</w:t>
            </w:r>
            <w:r>
              <w:rPr>
                <w:rFonts w:hint="eastAsia"/>
              </w:rPr>
              <w:t>.</w:t>
            </w:r>
            <w:r>
              <w:t>09</w:t>
            </w:r>
            <w:r>
              <w:rPr>
                <w:rFonts w:hint="eastAsia"/>
              </w:rPr>
              <w:t xml:space="preserve"> </w:t>
            </w:r>
          </w:p>
        </w:tc>
        <w:tc>
          <w:tcPr>
            <w:tcW w:w="903" w:type="dxa"/>
            <w:noWrap/>
            <w:vAlign w:val="center"/>
          </w:tcPr>
          <w:p>
            <w:pPr>
              <w:pStyle w:val="1143"/>
            </w:pPr>
            <w:r>
              <w:rPr>
                <w:rFonts w:hint="eastAsia"/>
              </w:rPr>
              <w:t>561.6</w:t>
            </w:r>
            <w:r>
              <w:t>0</w:t>
            </w:r>
          </w:p>
        </w:tc>
        <w:tc>
          <w:tcPr>
            <w:tcW w:w="635" w:type="dxa"/>
            <w:shd w:val="clear" w:color="auto" w:fill="auto"/>
            <w:noWrap/>
            <w:vAlign w:val="center"/>
          </w:tcPr>
          <w:p>
            <w:pPr>
              <w:pStyle w:val="1143"/>
            </w:pPr>
            <w:r>
              <w:rPr>
                <w:rFonts w:hint="eastAsia"/>
              </w:rPr>
              <w:t>932.</w:t>
            </w:r>
            <w:r>
              <w:t>69</w:t>
            </w: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p>
        </w:tc>
        <w:tc>
          <w:tcPr>
            <w:tcW w:w="1112" w:type="dxa"/>
            <w:noWrap/>
            <w:vAlign w:val="center"/>
          </w:tcPr>
          <w:p>
            <w:pPr>
              <w:pStyle w:val="1143"/>
            </w:pPr>
            <w:r>
              <w:rPr>
                <w:rFonts w:hint="eastAsia"/>
              </w:rPr>
              <w:t>有林地</w:t>
            </w:r>
          </w:p>
        </w:tc>
        <w:tc>
          <w:tcPr>
            <w:tcW w:w="690" w:type="dxa"/>
            <w:shd w:val="clear" w:color="auto" w:fill="auto"/>
            <w:noWrap/>
            <w:vAlign w:val="center"/>
          </w:tcPr>
          <w:p>
            <w:pPr>
              <w:pStyle w:val="1143"/>
            </w:pPr>
            <w:r>
              <w:rPr>
                <w:rFonts w:hint="eastAsia"/>
              </w:rPr>
              <w:t xml:space="preserve">67.99 </w:t>
            </w:r>
          </w:p>
        </w:tc>
        <w:tc>
          <w:tcPr>
            <w:tcW w:w="690" w:type="dxa"/>
            <w:shd w:val="clear" w:color="auto" w:fill="auto"/>
            <w:noWrap/>
            <w:vAlign w:val="center"/>
          </w:tcPr>
          <w:p>
            <w:pPr>
              <w:pStyle w:val="1143"/>
            </w:pPr>
            <w:r>
              <w:rPr>
                <w:rFonts w:hint="eastAsia"/>
              </w:rPr>
              <w:t xml:space="preserve">1.56 </w:t>
            </w:r>
          </w:p>
        </w:tc>
        <w:tc>
          <w:tcPr>
            <w:tcW w:w="690" w:type="dxa"/>
            <w:shd w:val="clear" w:color="auto" w:fill="auto"/>
            <w:noWrap/>
            <w:vAlign w:val="center"/>
          </w:tcPr>
          <w:p>
            <w:pPr>
              <w:pStyle w:val="1143"/>
            </w:pPr>
            <w:r>
              <w:rPr>
                <w:rFonts w:hint="eastAsia"/>
              </w:rPr>
              <w:t xml:space="preserve">4.12 </w:t>
            </w:r>
          </w:p>
        </w:tc>
        <w:tc>
          <w:tcPr>
            <w:tcW w:w="903" w:type="dxa"/>
            <w:shd w:val="clear" w:color="auto" w:fill="auto"/>
            <w:noWrap/>
            <w:vAlign w:val="center"/>
          </w:tcPr>
          <w:p>
            <w:pPr>
              <w:pStyle w:val="1143"/>
            </w:pPr>
            <w:r>
              <w:rPr>
                <w:rFonts w:hint="eastAsia"/>
              </w:rPr>
              <w:t xml:space="preserve">28.14 </w:t>
            </w:r>
          </w:p>
        </w:tc>
        <w:tc>
          <w:tcPr>
            <w:tcW w:w="690" w:type="dxa"/>
            <w:shd w:val="clear" w:color="auto" w:fill="auto"/>
            <w:noWrap/>
            <w:vAlign w:val="center"/>
          </w:tcPr>
          <w:p>
            <w:pPr>
              <w:pStyle w:val="1143"/>
            </w:pPr>
            <w:r>
              <w:rPr>
                <w:rFonts w:hint="eastAsia"/>
              </w:rPr>
              <w:t xml:space="preserve">268.96 </w:t>
            </w:r>
          </w:p>
        </w:tc>
        <w:tc>
          <w:tcPr>
            <w:tcW w:w="687" w:type="dxa"/>
            <w:shd w:val="clear" w:color="auto" w:fill="auto"/>
            <w:noWrap/>
            <w:vAlign w:val="center"/>
          </w:tcPr>
          <w:p>
            <w:pPr>
              <w:pStyle w:val="1143"/>
            </w:pPr>
            <w:r>
              <w:rPr>
                <w:rFonts w:hint="eastAsia"/>
              </w:rPr>
              <w:t xml:space="preserve">370.76 </w:t>
            </w:r>
          </w:p>
        </w:tc>
        <w:tc>
          <w:tcPr>
            <w:tcW w:w="903" w:type="dxa"/>
            <w:noWrap/>
            <w:vAlign w:val="center"/>
          </w:tcPr>
          <w:p>
            <w:pPr>
              <w:pStyle w:val="1143"/>
            </w:pPr>
            <w:r>
              <w:rPr>
                <w:rFonts w:hint="eastAsia"/>
              </w:rPr>
              <w:t>561.6</w:t>
            </w:r>
            <w:r>
              <w:t>0</w:t>
            </w:r>
          </w:p>
        </w:tc>
        <w:tc>
          <w:tcPr>
            <w:tcW w:w="866" w:type="dxa"/>
            <w:shd w:val="clear" w:color="auto" w:fill="auto"/>
            <w:noWrap/>
            <w:vAlign w:val="center"/>
          </w:tcPr>
          <w:p>
            <w:pPr>
              <w:pStyle w:val="1143"/>
            </w:pPr>
            <w:r>
              <w:rPr>
                <w:rFonts w:hint="eastAsia"/>
              </w:rPr>
              <w:t xml:space="preserve">932.35 </w:t>
            </w:r>
          </w:p>
        </w:tc>
        <w:tc>
          <w:tcPr>
            <w:tcW w:w="690" w:type="dxa"/>
            <w:shd w:val="clear" w:color="auto" w:fill="auto"/>
            <w:noWrap/>
            <w:vAlign w:val="center"/>
          </w:tcPr>
          <w:p>
            <w:pPr>
              <w:pStyle w:val="1143"/>
            </w:pPr>
            <w:r>
              <w:rPr>
                <w:rFonts w:hint="eastAsia"/>
              </w:rPr>
              <w:t xml:space="preserve">67.99 </w:t>
            </w:r>
          </w:p>
        </w:tc>
        <w:tc>
          <w:tcPr>
            <w:tcW w:w="690" w:type="dxa"/>
            <w:shd w:val="clear" w:color="auto" w:fill="auto"/>
            <w:noWrap/>
            <w:vAlign w:val="center"/>
          </w:tcPr>
          <w:p>
            <w:pPr>
              <w:pStyle w:val="1143"/>
            </w:pPr>
            <w:r>
              <w:rPr>
                <w:rFonts w:hint="eastAsia"/>
              </w:rPr>
              <w:t>1.5</w:t>
            </w:r>
            <w:r>
              <w:t>8</w:t>
            </w:r>
            <w:r>
              <w:rPr>
                <w:rFonts w:hint="eastAsia"/>
              </w:rPr>
              <w:t xml:space="preserve"> </w:t>
            </w:r>
          </w:p>
        </w:tc>
        <w:tc>
          <w:tcPr>
            <w:tcW w:w="690" w:type="dxa"/>
            <w:shd w:val="clear" w:color="auto" w:fill="auto"/>
            <w:noWrap/>
            <w:vAlign w:val="center"/>
          </w:tcPr>
          <w:p>
            <w:pPr>
              <w:pStyle w:val="1143"/>
            </w:pPr>
            <w:r>
              <w:rPr>
                <w:rFonts w:hint="eastAsia"/>
              </w:rPr>
              <w:t xml:space="preserve">4.12 </w:t>
            </w:r>
          </w:p>
        </w:tc>
        <w:tc>
          <w:tcPr>
            <w:tcW w:w="903" w:type="dxa"/>
            <w:shd w:val="clear" w:color="auto" w:fill="auto"/>
            <w:noWrap/>
            <w:vAlign w:val="center"/>
          </w:tcPr>
          <w:p>
            <w:pPr>
              <w:pStyle w:val="1143"/>
            </w:pPr>
            <w:r>
              <w:rPr>
                <w:rFonts w:hint="eastAsia"/>
              </w:rPr>
              <w:t xml:space="preserve">28.14 </w:t>
            </w:r>
          </w:p>
        </w:tc>
        <w:tc>
          <w:tcPr>
            <w:tcW w:w="690" w:type="dxa"/>
            <w:shd w:val="clear" w:color="auto" w:fill="auto"/>
            <w:noWrap/>
            <w:vAlign w:val="center"/>
          </w:tcPr>
          <w:p>
            <w:pPr>
              <w:pStyle w:val="1143"/>
            </w:pPr>
            <w:r>
              <w:rPr>
                <w:rFonts w:hint="eastAsia"/>
              </w:rPr>
              <w:t>26</w:t>
            </w:r>
            <w:r>
              <w:t>9</w:t>
            </w:r>
            <w:r>
              <w:rPr>
                <w:rFonts w:hint="eastAsia"/>
              </w:rPr>
              <w:t>.</w:t>
            </w:r>
            <w:r>
              <w:t>27</w:t>
            </w:r>
            <w:r>
              <w:rPr>
                <w:rFonts w:hint="eastAsia"/>
              </w:rPr>
              <w:t xml:space="preserve"> </w:t>
            </w:r>
          </w:p>
        </w:tc>
        <w:tc>
          <w:tcPr>
            <w:tcW w:w="637" w:type="dxa"/>
            <w:shd w:val="clear" w:color="auto" w:fill="auto"/>
            <w:noWrap/>
            <w:vAlign w:val="center"/>
          </w:tcPr>
          <w:p>
            <w:pPr>
              <w:pStyle w:val="1143"/>
            </w:pPr>
            <w:r>
              <w:rPr>
                <w:rFonts w:hint="eastAsia"/>
              </w:rPr>
              <w:t>37</w:t>
            </w:r>
            <w:r>
              <w:t>1</w:t>
            </w:r>
            <w:r>
              <w:rPr>
                <w:rFonts w:hint="eastAsia"/>
              </w:rPr>
              <w:t>.</w:t>
            </w:r>
            <w:r>
              <w:t>09</w:t>
            </w:r>
            <w:r>
              <w:rPr>
                <w:rFonts w:hint="eastAsia"/>
              </w:rPr>
              <w:t xml:space="preserve"> </w:t>
            </w:r>
          </w:p>
        </w:tc>
        <w:tc>
          <w:tcPr>
            <w:tcW w:w="903" w:type="dxa"/>
            <w:noWrap/>
            <w:vAlign w:val="center"/>
          </w:tcPr>
          <w:p>
            <w:pPr>
              <w:pStyle w:val="1143"/>
            </w:pPr>
            <w:r>
              <w:rPr>
                <w:rFonts w:hint="eastAsia"/>
              </w:rPr>
              <w:t>561.6</w:t>
            </w:r>
            <w:r>
              <w:t>0</w:t>
            </w:r>
          </w:p>
        </w:tc>
        <w:tc>
          <w:tcPr>
            <w:tcW w:w="635" w:type="dxa"/>
            <w:shd w:val="clear" w:color="auto" w:fill="auto"/>
            <w:noWrap/>
            <w:vAlign w:val="center"/>
          </w:tcPr>
          <w:p>
            <w:pPr>
              <w:pStyle w:val="1143"/>
            </w:pPr>
            <w:r>
              <w:rPr>
                <w:rFonts w:hint="eastAsia"/>
              </w:rPr>
              <w:t>932.</w:t>
            </w:r>
            <w:r>
              <w:t>69</w:t>
            </w: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r>
              <w:rPr>
                <w:rFonts w:hint="eastAsia"/>
              </w:rPr>
              <w:t>草地</w:t>
            </w:r>
          </w:p>
        </w:tc>
        <w:tc>
          <w:tcPr>
            <w:tcW w:w="1112"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noWrap/>
            <w:vAlign w:val="center"/>
          </w:tcPr>
          <w:p>
            <w:pPr>
              <w:pStyle w:val="1143"/>
            </w:pPr>
            <w:r>
              <w:rPr>
                <w:rFonts w:hint="eastAsia"/>
              </w:rPr>
              <w:t>0.02</w:t>
            </w:r>
          </w:p>
        </w:tc>
        <w:tc>
          <w:tcPr>
            <w:tcW w:w="687" w:type="dxa"/>
            <w:noWrap/>
            <w:vAlign w:val="center"/>
          </w:tcPr>
          <w:p>
            <w:pPr>
              <w:pStyle w:val="1143"/>
            </w:pPr>
            <w:r>
              <w:rPr>
                <w:rFonts w:hint="eastAsia"/>
              </w:rPr>
              <w:t>0.02</w:t>
            </w:r>
          </w:p>
        </w:tc>
        <w:tc>
          <w:tcPr>
            <w:tcW w:w="903" w:type="dxa"/>
            <w:noWrap/>
            <w:vAlign w:val="center"/>
          </w:tcPr>
          <w:p>
            <w:pPr>
              <w:pStyle w:val="1143"/>
            </w:pPr>
          </w:p>
        </w:tc>
        <w:tc>
          <w:tcPr>
            <w:tcW w:w="866" w:type="dxa"/>
            <w:shd w:val="clear" w:color="auto" w:fill="auto"/>
            <w:noWrap/>
            <w:vAlign w:val="center"/>
          </w:tcPr>
          <w:p>
            <w:pPr>
              <w:pStyle w:val="1143"/>
            </w:pPr>
            <w:r>
              <w:rPr>
                <w:rFonts w:hint="eastAsia"/>
              </w:rPr>
              <w:t xml:space="preserve">0.02 </w:t>
            </w:r>
          </w:p>
        </w:tc>
        <w:tc>
          <w:tcPr>
            <w:tcW w:w="690"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637"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35" w:type="dxa"/>
            <w:shd w:val="clear" w:color="auto" w:fill="auto"/>
            <w:noWrap/>
            <w:vAlign w:val="center"/>
          </w:tcPr>
          <w:p>
            <w:pPr>
              <w:pStyle w:val="1143"/>
              <w:rPr>
                <w:rFonts w:eastAsia="Times New Roman"/>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rPr>
                <w:rFonts w:eastAsia="Times New Roman"/>
                <w:sz w:val="20"/>
                <w:szCs w:val="20"/>
              </w:rPr>
            </w:pPr>
          </w:p>
        </w:tc>
        <w:tc>
          <w:tcPr>
            <w:tcW w:w="1112" w:type="dxa"/>
            <w:noWrap/>
            <w:vAlign w:val="center"/>
          </w:tcPr>
          <w:p>
            <w:pPr>
              <w:pStyle w:val="1143"/>
            </w:pPr>
            <w:r>
              <w:rPr>
                <w:rFonts w:hint="eastAsia"/>
              </w:rPr>
              <w:t>天然牧草地</w:t>
            </w:r>
          </w:p>
        </w:tc>
        <w:tc>
          <w:tcPr>
            <w:tcW w:w="690"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noWrap/>
            <w:vAlign w:val="center"/>
          </w:tcPr>
          <w:p>
            <w:pPr>
              <w:pStyle w:val="1143"/>
            </w:pPr>
            <w:r>
              <w:rPr>
                <w:rFonts w:hint="eastAsia"/>
              </w:rPr>
              <w:t>0.02</w:t>
            </w:r>
          </w:p>
        </w:tc>
        <w:tc>
          <w:tcPr>
            <w:tcW w:w="687" w:type="dxa"/>
            <w:noWrap/>
            <w:vAlign w:val="center"/>
          </w:tcPr>
          <w:p>
            <w:pPr>
              <w:pStyle w:val="1143"/>
            </w:pPr>
            <w:r>
              <w:rPr>
                <w:rFonts w:hint="eastAsia"/>
              </w:rPr>
              <w:t>0.02</w:t>
            </w:r>
          </w:p>
        </w:tc>
        <w:tc>
          <w:tcPr>
            <w:tcW w:w="903" w:type="dxa"/>
            <w:noWrap/>
            <w:vAlign w:val="center"/>
          </w:tcPr>
          <w:p>
            <w:pPr>
              <w:pStyle w:val="1143"/>
            </w:pPr>
          </w:p>
        </w:tc>
        <w:tc>
          <w:tcPr>
            <w:tcW w:w="866" w:type="dxa"/>
            <w:shd w:val="clear" w:color="auto" w:fill="auto"/>
            <w:noWrap/>
            <w:vAlign w:val="center"/>
          </w:tcPr>
          <w:p>
            <w:pPr>
              <w:pStyle w:val="1143"/>
            </w:pPr>
            <w:r>
              <w:rPr>
                <w:rFonts w:hint="eastAsia"/>
              </w:rPr>
              <w:t xml:space="preserve">0.02 </w:t>
            </w:r>
          </w:p>
        </w:tc>
        <w:tc>
          <w:tcPr>
            <w:tcW w:w="690"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637"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35" w:type="dxa"/>
            <w:shd w:val="clear" w:color="auto" w:fill="auto"/>
            <w:noWrap/>
            <w:vAlign w:val="center"/>
          </w:tcPr>
          <w:p>
            <w:pPr>
              <w:pStyle w:val="1143"/>
              <w:rPr>
                <w:rFonts w:eastAsia="Times New Roman"/>
                <w:sz w:val="20"/>
                <w:szCs w:val="20"/>
              </w:rPr>
            </w:pP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2015" w:type="dxa"/>
            <w:gridSpan w:val="2"/>
            <w:noWrap/>
            <w:vAlign w:val="center"/>
          </w:tcPr>
          <w:p>
            <w:pPr>
              <w:pStyle w:val="1143"/>
            </w:pPr>
            <w:r>
              <w:rPr>
                <w:rFonts w:hint="eastAsia"/>
              </w:rPr>
              <w:t>交通运输用地</w:t>
            </w:r>
          </w:p>
        </w:tc>
        <w:tc>
          <w:tcPr>
            <w:tcW w:w="690" w:type="dxa"/>
            <w:noWrap/>
            <w:vAlign w:val="center"/>
          </w:tcPr>
          <w:p>
            <w:pPr>
              <w:pStyle w:val="1143"/>
            </w:pPr>
          </w:p>
        </w:tc>
        <w:tc>
          <w:tcPr>
            <w:tcW w:w="690" w:type="dxa"/>
            <w:noWrap/>
            <w:vAlign w:val="center"/>
          </w:tcPr>
          <w:p>
            <w:pPr>
              <w:pStyle w:val="1143"/>
            </w:pPr>
            <w:r>
              <w:rPr>
                <w:rFonts w:hint="eastAsia"/>
              </w:rPr>
              <w:t>0.02</w:t>
            </w:r>
          </w:p>
        </w:tc>
        <w:tc>
          <w:tcPr>
            <w:tcW w:w="690" w:type="dxa"/>
            <w:noWrap/>
            <w:vAlign w:val="center"/>
          </w:tcPr>
          <w:p>
            <w:pPr>
              <w:pStyle w:val="1143"/>
            </w:pPr>
          </w:p>
        </w:tc>
        <w:tc>
          <w:tcPr>
            <w:tcW w:w="903" w:type="dxa"/>
            <w:noWrap/>
            <w:vAlign w:val="center"/>
          </w:tcPr>
          <w:p>
            <w:pPr>
              <w:pStyle w:val="1143"/>
              <w:rPr>
                <w:rFonts w:eastAsia="Times New Roman"/>
                <w:sz w:val="20"/>
                <w:szCs w:val="20"/>
              </w:rPr>
            </w:pPr>
          </w:p>
        </w:tc>
        <w:tc>
          <w:tcPr>
            <w:tcW w:w="690" w:type="dxa"/>
            <w:noWrap/>
            <w:vAlign w:val="center"/>
          </w:tcPr>
          <w:p>
            <w:pPr>
              <w:pStyle w:val="1143"/>
            </w:pPr>
            <w:r>
              <w:rPr>
                <w:rFonts w:hint="eastAsia"/>
              </w:rPr>
              <w:t>0.3</w:t>
            </w:r>
            <w:r>
              <w:t>0</w:t>
            </w:r>
          </w:p>
        </w:tc>
        <w:tc>
          <w:tcPr>
            <w:tcW w:w="687" w:type="dxa"/>
            <w:noWrap/>
            <w:vAlign w:val="center"/>
          </w:tcPr>
          <w:p>
            <w:pPr>
              <w:pStyle w:val="1143"/>
            </w:pPr>
            <w:r>
              <w:rPr>
                <w:rFonts w:hint="eastAsia"/>
              </w:rPr>
              <w:t>0.32</w:t>
            </w:r>
          </w:p>
        </w:tc>
        <w:tc>
          <w:tcPr>
            <w:tcW w:w="903" w:type="dxa"/>
            <w:noWrap/>
            <w:vAlign w:val="center"/>
          </w:tcPr>
          <w:p>
            <w:pPr>
              <w:pStyle w:val="1143"/>
            </w:pPr>
            <w:r>
              <w:rPr>
                <w:rFonts w:hint="eastAsia"/>
              </w:rPr>
              <w:t>9.9</w:t>
            </w:r>
            <w:r>
              <w:t>0</w:t>
            </w:r>
          </w:p>
        </w:tc>
        <w:tc>
          <w:tcPr>
            <w:tcW w:w="866" w:type="dxa"/>
            <w:noWrap/>
            <w:vAlign w:val="center"/>
          </w:tcPr>
          <w:p>
            <w:pPr>
              <w:pStyle w:val="1143"/>
            </w:pPr>
            <w:r>
              <w:rPr>
                <w:rFonts w:hint="eastAsia"/>
              </w:rPr>
              <w:t>10.22</w:t>
            </w:r>
          </w:p>
        </w:tc>
        <w:tc>
          <w:tcPr>
            <w:tcW w:w="690" w:type="dxa"/>
            <w:shd w:val="clear" w:color="auto" w:fill="auto"/>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637" w:type="dxa"/>
            <w:noWrap/>
            <w:vAlign w:val="center"/>
          </w:tcPr>
          <w:p>
            <w:pPr>
              <w:pStyle w:val="1143"/>
              <w:rPr>
                <w:rFonts w:eastAsia="Times New Roman"/>
                <w:sz w:val="20"/>
                <w:szCs w:val="20"/>
              </w:rPr>
            </w:pPr>
          </w:p>
        </w:tc>
        <w:tc>
          <w:tcPr>
            <w:tcW w:w="903" w:type="dxa"/>
            <w:noWrap/>
            <w:vAlign w:val="center"/>
          </w:tcPr>
          <w:p>
            <w:pPr>
              <w:pStyle w:val="1143"/>
              <w:rPr>
                <w:rFonts w:hint="eastAsia" w:eastAsiaTheme="minorEastAsia"/>
                <w:sz w:val="20"/>
                <w:szCs w:val="20"/>
              </w:rPr>
            </w:pPr>
            <w:r>
              <w:rPr>
                <w:rFonts w:hint="eastAsia" w:eastAsiaTheme="minorEastAsia"/>
              </w:rPr>
              <w:t>9</w:t>
            </w:r>
            <w:r>
              <w:rPr>
                <w:rFonts w:eastAsiaTheme="minorEastAsia"/>
              </w:rPr>
              <w:t>.90</w:t>
            </w:r>
          </w:p>
        </w:tc>
        <w:tc>
          <w:tcPr>
            <w:tcW w:w="635" w:type="dxa"/>
            <w:noWrap/>
            <w:vAlign w:val="center"/>
          </w:tcPr>
          <w:p>
            <w:pPr>
              <w:pStyle w:val="1143"/>
              <w:rPr>
                <w:rFonts w:eastAsia="Times New Roman"/>
                <w:sz w:val="20"/>
                <w:szCs w:val="20"/>
              </w:rPr>
            </w:pPr>
            <w:r>
              <w:rPr>
                <w:rFonts w:hint="eastAsia"/>
              </w:rPr>
              <w:t>9.9</w:t>
            </w:r>
            <w: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rPr>
                <w:rFonts w:eastAsia="Times New Roman"/>
                <w:sz w:val="20"/>
                <w:szCs w:val="20"/>
              </w:rPr>
            </w:pPr>
          </w:p>
        </w:tc>
        <w:tc>
          <w:tcPr>
            <w:tcW w:w="1112" w:type="dxa"/>
            <w:noWrap/>
            <w:vAlign w:val="center"/>
          </w:tcPr>
          <w:p>
            <w:pPr>
              <w:pStyle w:val="1143"/>
            </w:pPr>
            <w:r>
              <w:rPr>
                <w:rFonts w:hint="eastAsia"/>
              </w:rPr>
              <w:t>农村道路</w:t>
            </w:r>
          </w:p>
        </w:tc>
        <w:tc>
          <w:tcPr>
            <w:tcW w:w="690" w:type="dxa"/>
            <w:noWrap/>
            <w:vAlign w:val="center"/>
          </w:tcPr>
          <w:p>
            <w:pPr>
              <w:pStyle w:val="1143"/>
            </w:pPr>
          </w:p>
        </w:tc>
        <w:tc>
          <w:tcPr>
            <w:tcW w:w="690" w:type="dxa"/>
            <w:noWrap/>
            <w:vAlign w:val="center"/>
          </w:tcPr>
          <w:p>
            <w:pPr>
              <w:pStyle w:val="1143"/>
            </w:pPr>
            <w:r>
              <w:rPr>
                <w:rFonts w:hint="eastAsia"/>
              </w:rPr>
              <w:t>0.02</w:t>
            </w:r>
          </w:p>
        </w:tc>
        <w:tc>
          <w:tcPr>
            <w:tcW w:w="690" w:type="dxa"/>
            <w:noWrap/>
            <w:vAlign w:val="center"/>
          </w:tcPr>
          <w:p>
            <w:pPr>
              <w:pStyle w:val="1143"/>
            </w:pPr>
          </w:p>
        </w:tc>
        <w:tc>
          <w:tcPr>
            <w:tcW w:w="903" w:type="dxa"/>
            <w:noWrap/>
            <w:vAlign w:val="center"/>
          </w:tcPr>
          <w:p>
            <w:pPr>
              <w:pStyle w:val="1143"/>
              <w:rPr>
                <w:rFonts w:eastAsia="Times New Roman"/>
                <w:sz w:val="20"/>
                <w:szCs w:val="20"/>
              </w:rPr>
            </w:pPr>
          </w:p>
        </w:tc>
        <w:tc>
          <w:tcPr>
            <w:tcW w:w="690" w:type="dxa"/>
            <w:noWrap/>
            <w:vAlign w:val="center"/>
          </w:tcPr>
          <w:p>
            <w:pPr>
              <w:pStyle w:val="1143"/>
            </w:pPr>
            <w:r>
              <w:rPr>
                <w:rFonts w:hint="eastAsia"/>
              </w:rPr>
              <w:t>0.3</w:t>
            </w:r>
            <w:r>
              <w:t>0</w:t>
            </w:r>
          </w:p>
        </w:tc>
        <w:tc>
          <w:tcPr>
            <w:tcW w:w="687" w:type="dxa"/>
            <w:noWrap/>
            <w:vAlign w:val="center"/>
          </w:tcPr>
          <w:p>
            <w:pPr>
              <w:pStyle w:val="1143"/>
            </w:pPr>
            <w:r>
              <w:rPr>
                <w:rFonts w:hint="eastAsia"/>
              </w:rPr>
              <w:t>0.32</w:t>
            </w:r>
          </w:p>
        </w:tc>
        <w:tc>
          <w:tcPr>
            <w:tcW w:w="903" w:type="dxa"/>
            <w:noWrap/>
            <w:vAlign w:val="center"/>
          </w:tcPr>
          <w:p>
            <w:pPr>
              <w:pStyle w:val="1143"/>
            </w:pPr>
            <w:r>
              <w:rPr>
                <w:rFonts w:hint="eastAsia"/>
              </w:rPr>
              <w:t>9.9</w:t>
            </w:r>
            <w:r>
              <w:t>0</w:t>
            </w:r>
          </w:p>
        </w:tc>
        <w:tc>
          <w:tcPr>
            <w:tcW w:w="866" w:type="dxa"/>
            <w:shd w:val="clear" w:color="auto" w:fill="auto"/>
            <w:noWrap/>
            <w:vAlign w:val="center"/>
          </w:tcPr>
          <w:p>
            <w:pPr>
              <w:pStyle w:val="1143"/>
            </w:pPr>
            <w:r>
              <w:rPr>
                <w:rFonts w:hint="eastAsia"/>
              </w:rPr>
              <w:t xml:space="preserve">10.22 </w:t>
            </w:r>
          </w:p>
        </w:tc>
        <w:tc>
          <w:tcPr>
            <w:tcW w:w="690" w:type="dxa"/>
            <w:noWrap/>
            <w:vAlign w:val="center"/>
          </w:tcPr>
          <w:p>
            <w:pPr>
              <w:pStyle w:val="1143"/>
            </w:pPr>
          </w:p>
        </w:tc>
        <w:tc>
          <w:tcPr>
            <w:tcW w:w="690"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p>
        </w:tc>
        <w:tc>
          <w:tcPr>
            <w:tcW w:w="690" w:type="dxa"/>
            <w:noWrap/>
            <w:vAlign w:val="center"/>
          </w:tcPr>
          <w:p>
            <w:pPr>
              <w:pStyle w:val="1143"/>
              <w:rPr>
                <w:rFonts w:eastAsia="Times New Roman"/>
                <w:sz w:val="20"/>
                <w:szCs w:val="20"/>
              </w:rPr>
            </w:pPr>
          </w:p>
        </w:tc>
        <w:tc>
          <w:tcPr>
            <w:tcW w:w="637" w:type="dxa"/>
            <w:noWrap/>
            <w:vAlign w:val="center"/>
          </w:tcPr>
          <w:p>
            <w:pPr>
              <w:pStyle w:val="1143"/>
              <w:rPr>
                <w:rFonts w:eastAsia="Times New Roman"/>
                <w:sz w:val="20"/>
                <w:szCs w:val="20"/>
              </w:rPr>
            </w:pPr>
          </w:p>
        </w:tc>
        <w:tc>
          <w:tcPr>
            <w:tcW w:w="903" w:type="dxa"/>
            <w:noWrap/>
            <w:vAlign w:val="center"/>
          </w:tcPr>
          <w:p>
            <w:pPr>
              <w:pStyle w:val="1143"/>
              <w:rPr>
                <w:rFonts w:eastAsia="Times New Roman"/>
                <w:sz w:val="20"/>
                <w:szCs w:val="20"/>
              </w:rPr>
            </w:pPr>
            <w:r>
              <w:rPr>
                <w:rFonts w:hint="eastAsia"/>
              </w:rPr>
              <w:t>9.9</w:t>
            </w:r>
            <w:r>
              <w:t>0</w:t>
            </w:r>
          </w:p>
        </w:tc>
        <w:tc>
          <w:tcPr>
            <w:tcW w:w="635" w:type="dxa"/>
            <w:shd w:val="clear" w:color="auto" w:fill="auto"/>
            <w:noWrap/>
            <w:vAlign w:val="center"/>
          </w:tcPr>
          <w:p>
            <w:pPr>
              <w:pStyle w:val="1143"/>
              <w:rPr>
                <w:rFonts w:eastAsia="Times New Roman"/>
                <w:sz w:val="20"/>
                <w:szCs w:val="20"/>
              </w:rPr>
            </w:pPr>
            <w:r>
              <w:t>9.90</w:t>
            </w: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03" w:type="dxa"/>
            <w:noWrap/>
            <w:vAlign w:val="center"/>
          </w:tcPr>
          <w:p>
            <w:pPr>
              <w:pStyle w:val="1143"/>
            </w:pPr>
            <w:r>
              <w:rPr>
                <w:rFonts w:hint="eastAsia"/>
              </w:rPr>
              <w:t>总计</w:t>
            </w:r>
          </w:p>
        </w:tc>
        <w:tc>
          <w:tcPr>
            <w:tcW w:w="1112" w:type="dxa"/>
            <w:noWrap/>
            <w:vAlign w:val="center"/>
          </w:tcPr>
          <w:p>
            <w:pPr>
              <w:pStyle w:val="1143"/>
            </w:pPr>
          </w:p>
        </w:tc>
        <w:tc>
          <w:tcPr>
            <w:tcW w:w="690" w:type="dxa"/>
            <w:noWrap/>
            <w:vAlign w:val="center"/>
          </w:tcPr>
          <w:p>
            <w:pPr>
              <w:pStyle w:val="1143"/>
            </w:pPr>
            <w:r>
              <w:rPr>
                <w:rFonts w:hint="eastAsia"/>
              </w:rPr>
              <w:t>67.99</w:t>
            </w:r>
          </w:p>
        </w:tc>
        <w:tc>
          <w:tcPr>
            <w:tcW w:w="690" w:type="dxa"/>
            <w:noWrap/>
            <w:vAlign w:val="center"/>
          </w:tcPr>
          <w:p>
            <w:pPr>
              <w:pStyle w:val="1143"/>
            </w:pPr>
            <w:r>
              <w:rPr>
                <w:rFonts w:hint="eastAsia"/>
              </w:rPr>
              <w:t>1.57</w:t>
            </w:r>
          </w:p>
        </w:tc>
        <w:tc>
          <w:tcPr>
            <w:tcW w:w="690" w:type="dxa"/>
            <w:noWrap/>
            <w:vAlign w:val="center"/>
          </w:tcPr>
          <w:p>
            <w:pPr>
              <w:pStyle w:val="1143"/>
            </w:pPr>
            <w:r>
              <w:rPr>
                <w:rFonts w:hint="eastAsia"/>
              </w:rPr>
              <w:t>4.12</w:t>
            </w:r>
          </w:p>
        </w:tc>
        <w:tc>
          <w:tcPr>
            <w:tcW w:w="903" w:type="dxa"/>
            <w:noWrap/>
            <w:vAlign w:val="center"/>
          </w:tcPr>
          <w:p>
            <w:pPr>
              <w:pStyle w:val="1143"/>
            </w:pPr>
            <w:r>
              <w:rPr>
                <w:rFonts w:hint="eastAsia"/>
              </w:rPr>
              <w:t>28.14</w:t>
            </w:r>
          </w:p>
        </w:tc>
        <w:tc>
          <w:tcPr>
            <w:tcW w:w="690" w:type="dxa"/>
            <w:noWrap/>
            <w:vAlign w:val="center"/>
          </w:tcPr>
          <w:p>
            <w:pPr>
              <w:pStyle w:val="1143"/>
            </w:pPr>
            <w:r>
              <w:rPr>
                <w:rFonts w:hint="eastAsia"/>
              </w:rPr>
              <w:t>288.5</w:t>
            </w:r>
            <w:r>
              <w:t>0</w:t>
            </w:r>
          </w:p>
        </w:tc>
        <w:tc>
          <w:tcPr>
            <w:tcW w:w="687" w:type="dxa"/>
            <w:noWrap/>
            <w:vAlign w:val="center"/>
          </w:tcPr>
          <w:p>
            <w:pPr>
              <w:pStyle w:val="1143"/>
            </w:pPr>
            <w:r>
              <w:rPr>
                <w:rFonts w:hint="eastAsia"/>
              </w:rPr>
              <w:t>390.32</w:t>
            </w:r>
          </w:p>
        </w:tc>
        <w:tc>
          <w:tcPr>
            <w:tcW w:w="903" w:type="dxa"/>
            <w:noWrap/>
            <w:vAlign w:val="center"/>
          </w:tcPr>
          <w:p>
            <w:pPr>
              <w:pStyle w:val="1143"/>
            </w:pPr>
            <w:r>
              <w:rPr>
                <w:rFonts w:hint="eastAsia"/>
              </w:rPr>
              <w:t>571.5</w:t>
            </w:r>
            <w:r>
              <w:t>0</w:t>
            </w:r>
          </w:p>
        </w:tc>
        <w:tc>
          <w:tcPr>
            <w:tcW w:w="866" w:type="dxa"/>
            <w:shd w:val="clear" w:color="auto" w:fill="auto"/>
            <w:noWrap/>
            <w:vAlign w:val="center"/>
          </w:tcPr>
          <w:p>
            <w:pPr>
              <w:pStyle w:val="1143"/>
            </w:pPr>
            <w:r>
              <w:rPr>
                <w:rFonts w:hint="eastAsia"/>
              </w:rPr>
              <w:t>961.8</w:t>
            </w:r>
            <w:r>
              <w:t>3</w:t>
            </w:r>
            <w:r>
              <w:rPr>
                <w:rFonts w:hint="eastAsia"/>
              </w:rPr>
              <w:t xml:space="preserve"> </w:t>
            </w:r>
          </w:p>
        </w:tc>
        <w:tc>
          <w:tcPr>
            <w:tcW w:w="690" w:type="dxa"/>
            <w:noWrap/>
            <w:vAlign w:val="center"/>
          </w:tcPr>
          <w:p>
            <w:pPr>
              <w:pStyle w:val="1143"/>
            </w:pPr>
            <w:r>
              <w:rPr>
                <w:rFonts w:hint="eastAsia"/>
              </w:rPr>
              <w:t>67.99</w:t>
            </w:r>
          </w:p>
        </w:tc>
        <w:tc>
          <w:tcPr>
            <w:tcW w:w="690" w:type="dxa"/>
            <w:noWrap/>
            <w:vAlign w:val="center"/>
          </w:tcPr>
          <w:p>
            <w:pPr>
              <w:pStyle w:val="1143"/>
            </w:pPr>
            <w:r>
              <w:rPr>
                <w:rFonts w:hint="eastAsia"/>
              </w:rPr>
              <w:t>1.57</w:t>
            </w:r>
          </w:p>
        </w:tc>
        <w:tc>
          <w:tcPr>
            <w:tcW w:w="690" w:type="dxa"/>
            <w:noWrap/>
            <w:vAlign w:val="center"/>
          </w:tcPr>
          <w:p>
            <w:pPr>
              <w:pStyle w:val="1143"/>
            </w:pPr>
            <w:r>
              <w:rPr>
                <w:rFonts w:hint="eastAsia"/>
              </w:rPr>
              <w:t>4.12</w:t>
            </w:r>
          </w:p>
        </w:tc>
        <w:tc>
          <w:tcPr>
            <w:tcW w:w="903" w:type="dxa"/>
            <w:noWrap/>
            <w:vAlign w:val="center"/>
          </w:tcPr>
          <w:p>
            <w:pPr>
              <w:pStyle w:val="1143"/>
            </w:pPr>
            <w:r>
              <w:rPr>
                <w:rFonts w:hint="eastAsia"/>
              </w:rPr>
              <w:t>28.14</w:t>
            </w:r>
          </w:p>
        </w:tc>
        <w:tc>
          <w:tcPr>
            <w:tcW w:w="690" w:type="dxa"/>
            <w:noWrap/>
            <w:vAlign w:val="center"/>
          </w:tcPr>
          <w:p>
            <w:pPr>
              <w:pStyle w:val="1143"/>
            </w:pPr>
            <w:r>
              <w:rPr>
                <w:rFonts w:hint="eastAsia"/>
              </w:rPr>
              <w:t>288.5</w:t>
            </w:r>
            <w:r>
              <w:t>0</w:t>
            </w:r>
          </w:p>
        </w:tc>
        <w:tc>
          <w:tcPr>
            <w:tcW w:w="637" w:type="dxa"/>
            <w:noWrap/>
            <w:vAlign w:val="center"/>
          </w:tcPr>
          <w:p>
            <w:pPr>
              <w:pStyle w:val="1143"/>
            </w:pPr>
            <w:r>
              <w:rPr>
                <w:rFonts w:hint="eastAsia"/>
              </w:rPr>
              <w:t>390.32</w:t>
            </w:r>
          </w:p>
        </w:tc>
        <w:tc>
          <w:tcPr>
            <w:tcW w:w="903" w:type="dxa"/>
            <w:noWrap/>
            <w:vAlign w:val="center"/>
          </w:tcPr>
          <w:p>
            <w:pPr>
              <w:pStyle w:val="1143"/>
            </w:pPr>
            <w:r>
              <w:rPr>
                <w:rFonts w:hint="eastAsia"/>
              </w:rPr>
              <w:t>571.5</w:t>
            </w:r>
            <w:r>
              <w:t>0</w:t>
            </w:r>
          </w:p>
        </w:tc>
        <w:tc>
          <w:tcPr>
            <w:tcW w:w="635" w:type="dxa"/>
            <w:shd w:val="clear" w:color="auto" w:fill="auto"/>
            <w:noWrap/>
            <w:vAlign w:val="center"/>
          </w:tcPr>
          <w:p>
            <w:pPr>
              <w:pStyle w:val="1143"/>
            </w:pPr>
            <w:r>
              <w:rPr>
                <w:rFonts w:hint="eastAsia"/>
              </w:rPr>
              <w:t>961.8</w:t>
            </w:r>
            <w:r>
              <w:t>3</w:t>
            </w:r>
            <w:r>
              <w:rPr>
                <w:rFonts w:hint="eastAsia"/>
              </w:rPr>
              <w:t xml:space="preserve"> </w:t>
            </w:r>
          </w:p>
        </w:tc>
      </w:tr>
    </w:tbl>
    <w:p>
      <w:pPr>
        <w:rPr>
          <w:rFonts w:ascii="Tahoma" w:hAnsi="Tahoma" w:cs="Tahoma"/>
          <w:sz w:val="24"/>
          <w:szCs w:val="24"/>
        </w:rPr>
      </w:pPr>
    </w:p>
    <w:p>
      <w:pPr>
        <w:rPr>
          <w:rFonts w:ascii="Tahoma" w:hAnsi="Tahoma" w:cs="Tahoma"/>
          <w:sz w:val="24"/>
          <w:szCs w:val="24"/>
        </w:rPr>
      </w:pPr>
    </w:p>
    <w:p>
      <w:pPr>
        <w:tabs>
          <w:tab w:val="left" w:pos="3240"/>
        </w:tabs>
        <w:ind w:firstLine="480"/>
        <w:rPr>
          <w:rFonts w:ascii="Tahoma" w:hAnsi="Tahoma" w:cs="Tahoma"/>
          <w:sz w:val="24"/>
        </w:rPr>
        <w:sectPr>
          <w:footerReference r:id="rId19" w:type="default"/>
          <w:pgSz w:w="16840" w:h="11907" w:orient="landscape"/>
          <w:pgMar w:top="1588" w:right="1565" w:bottom="1531" w:left="1565" w:header="1134" w:footer="1247" w:gutter="0"/>
          <w:cols w:space="720" w:num="1"/>
          <w:docGrid w:linePitch="326" w:charSpace="0"/>
        </w:sectPr>
      </w:pPr>
    </w:p>
    <w:p>
      <w:pPr>
        <w:pStyle w:val="5"/>
      </w:pPr>
      <w:bookmarkStart w:id="245" w:name="_Toc90934880"/>
      <w:r>
        <w:rPr>
          <w:rFonts w:hint="eastAsia"/>
        </w:rPr>
        <w:t>6.5</w:t>
      </w:r>
      <w:r>
        <w:t>.3.2  复垦方案</w:t>
      </w:r>
      <w:bookmarkEnd w:id="245"/>
    </w:p>
    <w:p>
      <w:pPr>
        <w:spacing w:line="460" w:lineRule="exact"/>
        <w:ind w:firstLine="480" w:firstLineChars="200"/>
        <w:rPr>
          <w:rFonts w:cs="Times New Roman"/>
          <w:snapToGrid w:val="0"/>
          <w:kern w:val="0"/>
          <w:sz w:val="24"/>
          <w:szCs w:val="24"/>
        </w:rPr>
      </w:pPr>
      <w:r>
        <w:rPr>
          <w:rFonts w:hint="eastAsia" w:cs="Times New Roman"/>
          <w:snapToGrid w:val="0"/>
          <w:kern w:val="0"/>
          <w:sz w:val="24"/>
          <w:szCs w:val="24"/>
        </w:rPr>
        <w:t>根据本工程临时用地特点，以及项目区土地利用现状及规划情况，复垦范围为</w:t>
      </w:r>
      <w:r>
        <w:rPr>
          <w:rFonts w:cs="Times New Roman"/>
          <w:snapToGrid w:val="0"/>
          <w:kern w:val="0"/>
          <w:sz w:val="24"/>
          <w:szCs w:val="24"/>
        </w:rPr>
        <w:t>961.83亩。通过复垦设计，临时征用的耕地、园地和林地可以全部得到复垦。</w:t>
      </w:r>
      <w:r>
        <w:rPr>
          <w:rFonts w:hint="eastAsia" w:cs="Times New Roman"/>
          <w:snapToGrid w:val="0"/>
          <w:kern w:val="0"/>
          <w:sz w:val="24"/>
          <w:szCs w:val="24"/>
        </w:rPr>
        <w:t>经统计复垦耕地面积</w:t>
      </w:r>
      <w:r>
        <w:rPr>
          <w:rFonts w:cs="Times New Roman"/>
          <w:snapToGrid w:val="0"/>
          <w:kern w:val="0"/>
          <w:sz w:val="24"/>
          <w:szCs w:val="24"/>
        </w:rPr>
        <w:t>15.55亩，</w:t>
      </w:r>
      <w:r>
        <w:rPr>
          <w:rFonts w:hint="eastAsia" w:cs="Times New Roman"/>
          <w:snapToGrid w:val="0"/>
          <w:kern w:val="0"/>
          <w:sz w:val="24"/>
          <w:szCs w:val="24"/>
        </w:rPr>
        <w:t>全部为水田</w:t>
      </w:r>
      <w:r>
        <w:rPr>
          <w:rFonts w:cs="Times New Roman"/>
          <w:snapToGrid w:val="0"/>
          <w:kern w:val="0"/>
          <w:sz w:val="24"/>
          <w:szCs w:val="24"/>
        </w:rPr>
        <w:t>；复垦园地面积</w:t>
      </w:r>
      <w:r>
        <w:rPr>
          <w:rFonts w:hint="eastAsia" w:cs="Times New Roman"/>
          <w:snapToGrid w:val="0"/>
          <w:kern w:val="0"/>
          <w:sz w:val="24"/>
          <w:szCs w:val="24"/>
        </w:rPr>
        <w:t>3</w:t>
      </w:r>
      <w:r>
        <w:rPr>
          <w:rFonts w:cs="Times New Roman"/>
          <w:snapToGrid w:val="0"/>
          <w:kern w:val="0"/>
          <w:sz w:val="24"/>
          <w:szCs w:val="24"/>
        </w:rPr>
        <w:t>.68亩；复垦林地面积942.59亩。土地复垦率为100%，各村组复垦前后总面积不变，且农用地面积不少于工程征</w:t>
      </w:r>
      <w:r>
        <w:rPr>
          <w:rFonts w:hint="eastAsia" w:cs="Times New Roman"/>
          <w:snapToGrid w:val="0"/>
          <w:kern w:val="0"/>
          <w:sz w:val="24"/>
          <w:szCs w:val="24"/>
        </w:rPr>
        <w:t>用临时用地中农用地面积。分区块土地复垦方案如下：</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1) 41</w:t>
      </w:r>
      <w:r>
        <w:rPr>
          <w:rFonts w:hint="eastAsia" w:cs="Times New Roman"/>
          <w:snapToGrid w:val="0"/>
          <w:kern w:val="0"/>
          <w:sz w:val="24"/>
          <w:szCs w:val="24"/>
        </w:rPr>
        <w:t>上库表土堆存场用地</w:t>
      </w:r>
      <w:r>
        <w:rPr>
          <w:rFonts w:cs="Times New Roman"/>
          <w:snapToGrid w:val="0"/>
          <w:kern w:val="0"/>
          <w:sz w:val="24"/>
          <w:szCs w:val="24"/>
        </w:rPr>
        <w:t>(</w:t>
      </w:r>
      <w:r>
        <w:rPr>
          <w:rFonts w:hint="eastAsia" w:cs="Times New Roman"/>
          <w:snapToGrid w:val="0"/>
          <w:kern w:val="0"/>
          <w:sz w:val="24"/>
          <w:szCs w:val="24"/>
        </w:rPr>
        <w:t>压占</w:t>
      </w:r>
      <w:r>
        <w:rPr>
          <w:rFonts w:cs="Times New Roman"/>
          <w:snapToGrid w:val="0"/>
          <w:kern w:val="0"/>
          <w:sz w:val="24"/>
          <w:szCs w:val="24"/>
        </w:rPr>
        <w:t>)：拟复垦土地面积34.22亩，</w:t>
      </w:r>
      <w:r>
        <w:rPr>
          <w:rFonts w:hint="eastAsia" w:cs="Times New Roman"/>
          <w:snapToGrid w:val="0"/>
          <w:kern w:val="0"/>
          <w:sz w:val="24"/>
          <w:szCs w:val="24"/>
        </w:rPr>
        <w:t>全部为林地</w:t>
      </w:r>
      <w:r>
        <w:rPr>
          <w:rFonts w:cs="Times New Roman"/>
          <w:snapToGrid w:val="0"/>
          <w:kern w:val="0"/>
          <w:sz w:val="24"/>
          <w:szCs w:val="24"/>
        </w:rPr>
        <w:t>。</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2) 42</w:t>
      </w:r>
      <w:r>
        <w:rPr>
          <w:rFonts w:hint="eastAsia" w:cs="Times New Roman"/>
          <w:snapToGrid w:val="0"/>
          <w:kern w:val="0"/>
          <w:sz w:val="24"/>
          <w:szCs w:val="24"/>
        </w:rPr>
        <w:t>上库弃渣场</w:t>
      </w:r>
      <w:r>
        <w:rPr>
          <w:rFonts w:cs="Times New Roman"/>
          <w:snapToGrid w:val="0"/>
          <w:kern w:val="0"/>
          <w:sz w:val="24"/>
          <w:szCs w:val="24"/>
        </w:rPr>
        <w:t>(</w:t>
      </w:r>
      <w:r>
        <w:rPr>
          <w:rFonts w:hint="eastAsia" w:cs="Times New Roman"/>
          <w:snapToGrid w:val="0"/>
          <w:kern w:val="0"/>
          <w:sz w:val="24"/>
          <w:szCs w:val="24"/>
        </w:rPr>
        <w:t>压占</w:t>
      </w:r>
      <w:r>
        <w:rPr>
          <w:rFonts w:cs="Times New Roman"/>
          <w:snapToGrid w:val="0"/>
          <w:kern w:val="0"/>
          <w:sz w:val="24"/>
          <w:szCs w:val="24"/>
        </w:rPr>
        <w:t>)：拟复垦土地面积229.98亩，</w:t>
      </w:r>
      <w:r>
        <w:rPr>
          <w:rFonts w:hint="eastAsia" w:cs="Times New Roman"/>
          <w:snapToGrid w:val="0"/>
          <w:kern w:val="0"/>
          <w:sz w:val="24"/>
          <w:szCs w:val="24"/>
        </w:rPr>
        <w:t>全部为林地</w:t>
      </w:r>
      <w:r>
        <w:rPr>
          <w:rFonts w:cs="Times New Roman"/>
          <w:snapToGrid w:val="0"/>
          <w:kern w:val="0"/>
          <w:sz w:val="24"/>
          <w:szCs w:val="24"/>
        </w:rPr>
        <w:t>。</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3) 43</w:t>
      </w:r>
      <w:r>
        <w:rPr>
          <w:rFonts w:hint="eastAsia" w:cs="Times New Roman"/>
          <w:snapToGrid w:val="0"/>
          <w:kern w:val="0"/>
          <w:sz w:val="24"/>
          <w:szCs w:val="24"/>
        </w:rPr>
        <w:t>上库石料场</w:t>
      </w:r>
      <w:r>
        <w:rPr>
          <w:rFonts w:cs="Times New Roman"/>
          <w:snapToGrid w:val="0"/>
          <w:kern w:val="0"/>
          <w:sz w:val="24"/>
          <w:szCs w:val="24"/>
        </w:rPr>
        <w:t>(挖损)：拟复垦土地面积151.56亩，</w:t>
      </w:r>
      <w:r>
        <w:rPr>
          <w:rFonts w:hint="eastAsia" w:cs="Times New Roman"/>
          <w:snapToGrid w:val="0"/>
          <w:kern w:val="0"/>
          <w:sz w:val="24"/>
          <w:szCs w:val="24"/>
        </w:rPr>
        <w:t>全部为林地。</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4) 44</w:t>
      </w:r>
      <w:r>
        <w:rPr>
          <w:rFonts w:hint="eastAsia" w:cs="Times New Roman"/>
          <w:snapToGrid w:val="0"/>
          <w:kern w:val="0"/>
          <w:sz w:val="24"/>
          <w:szCs w:val="24"/>
        </w:rPr>
        <w:t>上库输水发电标施工场地</w:t>
      </w:r>
      <w:r>
        <w:rPr>
          <w:rFonts w:cs="Times New Roman"/>
          <w:snapToGrid w:val="0"/>
          <w:kern w:val="0"/>
          <w:sz w:val="24"/>
          <w:szCs w:val="24"/>
        </w:rPr>
        <w:t>(</w:t>
      </w:r>
      <w:r>
        <w:rPr>
          <w:rFonts w:hint="eastAsia" w:cs="Times New Roman"/>
          <w:snapToGrid w:val="0"/>
          <w:kern w:val="0"/>
          <w:sz w:val="24"/>
          <w:szCs w:val="24"/>
        </w:rPr>
        <w:t>挖损、</w:t>
      </w:r>
      <w:r>
        <w:rPr>
          <w:rFonts w:cs="Times New Roman"/>
          <w:snapToGrid w:val="0"/>
          <w:kern w:val="0"/>
          <w:sz w:val="24"/>
          <w:szCs w:val="24"/>
        </w:rPr>
        <w:t>压占)：拟复垦土地面积为94.19亩，</w:t>
      </w:r>
      <w:r>
        <w:rPr>
          <w:rFonts w:hint="eastAsia" w:cs="Times New Roman"/>
          <w:snapToGrid w:val="0"/>
          <w:kern w:val="0"/>
          <w:sz w:val="24"/>
          <w:szCs w:val="24"/>
        </w:rPr>
        <w:t>全部为林地</w:t>
      </w:r>
      <w:r>
        <w:rPr>
          <w:rFonts w:cs="Times New Roman"/>
          <w:snapToGrid w:val="0"/>
          <w:kern w:val="0"/>
          <w:sz w:val="24"/>
          <w:szCs w:val="24"/>
        </w:rPr>
        <w:t>。</w:t>
      </w:r>
    </w:p>
    <w:p>
      <w:pPr>
        <w:spacing w:line="460" w:lineRule="exact"/>
        <w:ind w:firstLine="464" w:firstLineChars="200"/>
        <w:rPr>
          <w:rFonts w:cs="Times New Roman"/>
          <w:snapToGrid w:val="0"/>
          <w:spacing w:val="-4"/>
          <w:kern w:val="0"/>
          <w:sz w:val="24"/>
          <w:szCs w:val="24"/>
        </w:rPr>
      </w:pPr>
      <w:r>
        <w:rPr>
          <w:rFonts w:cs="Times New Roman"/>
          <w:snapToGrid w:val="0"/>
          <w:spacing w:val="-4"/>
          <w:kern w:val="0"/>
          <w:sz w:val="24"/>
          <w:szCs w:val="24"/>
        </w:rPr>
        <w:t>5) 45</w:t>
      </w:r>
      <w:r>
        <w:rPr>
          <w:rFonts w:hint="eastAsia" w:cs="Times New Roman"/>
          <w:snapToGrid w:val="0"/>
          <w:spacing w:val="-4"/>
          <w:kern w:val="0"/>
          <w:sz w:val="24"/>
          <w:szCs w:val="24"/>
        </w:rPr>
        <w:t>上下库连接路渣场用地</w:t>
      </w:r>
      <w:r>
        <w:rPr>
          <w:rFonts w:cs="Times New Roman"/>
          <w:snapToGrid w:val="0"/>
          <w:spacing w:val="-4"/>
          <w:kern w:val="0"/>
          <w:sz w:val="24"/>
          <w:szCs w:val="24"/>
        </w:rPr>
        <w:t>(</w:t>
      </w:r>
      <w:r>
        <w:rPr>
          <w:rFonts w:hint="eastAsia" w:cs="Times New Roman"/>
          <w:snapToGrid w:val="0"/>
          <w:spacing w:val="-4"/>
          <w:kern w:val="0"/>
          <w:sz w:val="24"/>
          <w:szCs w:val="24"/>
        </w:rPr>
        <w:t>挖损、</w:t>
      </w:r>
      <w:r>
        <w:rPr>
          <w:rFonts w:cs="Times New Roman"/>
          <w:snapToGrid w:val="0"/>
          <w:spacing w:val="-4"/>
          <w:kern w:val="0"/>
          <w:sz w:val="24"/>
          <w:szCs w:val="24"/>
        </w:rPr>
        <w:t>压占)：拟复垦土地面积19.81亩，</w:t>
      </w:r>
      <w:r>
        <w:rPr>
          <w:rFonts w:hint="eastAsia" w:cs="Times New Roman"/>
          <w:snapToGrid w:val="0"/>
          <w:spacing w:val="-4"/>
          <w:kern w:val="0"/>
          <w:sz w:val="24"/>
          <w:szCs w:val="24"/>
        </w:rPr>
        <w:t>全部为林地</w:t>
      </w:r>
      <w:r>
        <w:rPr>
          <w:rFonts w:cs="Times New Roman"/>
          <w:snapToGrid w:val="0"/>
          <w:spacing w:val="-4"/>
          <w:kern w:val="0"/>
          <w:sz w:val="24"/>
          <w:szCs w:val="24"/>
        </w:rPr>
        <w:t>。</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6) 46</w:t>
      </w:r>
      <w:r>
        <w:rPr>
          <w:rFonts w:hint="eastAsia" w:cs="Times New Roman"/>
          <w:snapToGrid w:val="0"/>
          <w:kern w:val="0"/>
          <w:sz w:val="24"/>
          <w:szCs w:val="24"/>
        </w:rPr>
        <w:t>中平洞施工场地用地</w:t>
      </w:r>
      <w:r>
        <w:rPr>
          <w:rFonts w:cs="Times New Roman"/>
          <w:snapToGrid w:val="0"/>
          <w:kern w:val="0"/>
          <w:sz w:val="24"/>
          <w:szCs w:val="24"/>
        </w:rPr>
        <w:t>(</w:t>
      </w:r>
      <w:r>
        <w:rPr>
          <w:rFonts w:hint="eastAsia" w:cs="Times New Roman"/>
          <w:snapToGrid w:val="0"/>
          <w:kern w:val="0"/>
          <w:sz w:val="24"/>
          <w:szCs w:val="24"/>
        </w:rPr>
        <w:t>挖损、压占</w:t>
      </w:r>
      <w:r>
        <w:rPr>
          <w:rFonts w:cs="Times New Roman"/>
          <w:snapToGrid w:val="0"/>
          <w:kern w:val="0"/>
          <w:sz w:val="24"/>
          <w:szCs w:val="24"/>
        </w:rPr>
        <w:t>)：拟复垦土地面积5.15亩，</w:t>
      </w:r>
      <w:r>
        <w:rPr>
          <w:rFonts w:hint="eastAsia" w:cs="Times New Roman"/>
          <w:snapToGrid w:val="0"/>
          <w:kern w:val="0"/>
          <w:sz w:val="24"/>
          <w:szCs w:val="24"/>
        </w:rPr>
        <w:t>全部为林地</w:t>
      </w:r>
      <w:r>
        <w:rPr>
          <w:rFonts w:cs="Times New Roman"/>
          <w:snapToGrid w:val="0"/>
          <w:kern w:val="0"/>
          <w:sz w:val="24"/>
          <w:szCs w:val="24"/>
        </w:rPr>
        <w:t>。</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7) 47</w:t>
      </w:r>
      <w:r>
        <w:rPr>
          <w:rFonts w:hint="eastAsia" w:cs="Times New Roman"/>
          <w:snapToGrid w:val="0"/>
          <w:kern w:val="0"/>
          <w:sz w:val="24"/>
          <w:szCs w:val="24"/>
        </w:rPr>
        <w:t>下库弃渣场</w:t>
      </w:r>
      <w:r>
        <w:rPr>
          <w:rFonts w:cs="Times New Roman"/>
          <w:snapToGrid w:val="0"/>
          <w:kern w:val="0"/>
          <w:sz w:val="24"/>
          <w:szCs w:val="24"/>
        </w:rPr>
        <w:t>(</w:t>
      </w:r>
      <w:r>
        <w:rPr>
          <w:rFonts w:hint="eastAsia" w:cs="Times New Roman"/>
          <w:snapToGrid w:val="0"/>
          <w:kern w:val="0"/>
          <w:sz w:val="24"/>
          <w:szCs w:val="24"/>
        </w:rPr>
        <w:t>压占</w:t>
      </w:r>
      <w:r>
        <w:rPr>
          <w:rFonts w:cs="Times New Roman"/>
          <w:snapToGrid w:val="0"/>
          <w:kern w:val="0"/>
          <w:sz w:val="24"/>
          <w:szCs w:val="24"/>
        </w:rPr>
        <w:t>)：拟复垦土地面积307.13亩，</w:t>
      </w:r>
      <w:r>
        <w:rPr>
          <w:rFonts w:hint="eastAsia" w:cs="Times New Roman"/>
          <w:snapToGrid w:val="0"/>
          <w:kern w:val="0"/>
          <w:sz w:val="24"/>
          <w:szCs w:val="24"/>
        </w:rPr>
        <w:t>其中水田面积8</w:t>
      </w:r>
      <w:r>
        <w:rPr>
          <w:rFonts w:cs="Times New Roman"/>
          <w:snapToGrid w:val="0"/>
          <w:kern w:val="0"/>
          <w:sz w:val="24"/>
          <w:szCs w:val="24"/>
        </w:rPr>
        <w:t>.35</w:t>
      </w:r>
      <w:r>
        <w:rPr>
          <w:rFonts w:hint="eastAsia" w:cs="Times New Roman"/>
          <w:snapToGrid w:val="0"/>
          <w:kern w:val="0"/>
          <w:sz w:val="24"/>
          <w:szCs w:val="24"/>
        </w:rPr>
        <w:t>亩，林地面积2</w:t>
      </w:r>
      <w:r>
        <w:rPr>
          <w:rFonts w:cs="Times New Roman"/>
          <w:snapToGrid w:val="0"/>
          <w:kern w:val="0"/>
          <w:sz w:val="24"/>
          <w:szCs w:val="24"/>
        </w:rPr>
        <w:t>98.78</w:t>
      </w:r>
      <w:r>
        <w:rPr>
          <w:rFonts w:hint="eastAsia" w:cs="Times New Roman"/>
          <w:snapToGrid w:val="0"/>
          <w:kern w:val="0"/>
          <w:sz w:val="24"/>
          <w:szCs w:val="24"/>
        </w:rPr>
        <w:t>亩。</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8) 48</w:t>
      </w:r>
      <w:r>
        <w:rPr>
          <w:rFonts w:hint="eastAsia" w:cs="Times New Roman"/>
          <w:snapToGrid w:val="0"/>
          <w:kern w:val="0"/>
          <w:sz w:val="24"/>
          <w:szCs w:val="24"/>
        </w:rPr>
        <w:t>下库坝后施工场地</w:t>
      </w:r>
      <w:r>
        <w:rPr>
          <w:rFonts w:cs="Times New Roman"/>
          <w:snapToGrid w:val="0"/>
          <w:kern w:val="0"/>
          <w:sz w:val="24"/>
          <w:szCs w:val="24"/>
        </w:rPr>
        <w:t>(</w:t>
      </w:r>
      <w:r>
        <w:rPr>
          <w:rFonts w:hint="eastAsia" w:cs="Times New Roman"/>
          <w:snapToGrid w:val="0"/>
          <w:kern w:val="0"/>
          <w:sz w:val="24"/>
          <w:szCs w:val="24"/>
        </w:rPr>
        <w:t>挖损、压占</w:t>
      </w:r>
      <w:r>
        <w:rPr>
          <w:rFonts w:cs="Times New Roman"/>
          <w:snapToGrid w:val="0"/>
          <w:kern w:val="0"/>
          <w:sz w:val="24"/>
          <w:szCs w:val="24"/>
        </w:rPr>
        <w:t>)：拟复垦土地面积20.53亩，其中</w:t>
      </w:r>
      <w:r>
        <w:rPr>
          <w:rFonts w:hint="eastAsia" w:cs="Times New Roman"/>
          <w:snapToGrid w:val="0"/>
          <w:kern w:val="0"/>
          <w:sz w:val="24"/>
          <w:szCs w:val="24"/>
        </w:rPr>
        <w:t>水田7</w:t>
      </w:r>
      <w:r>
        <w:rPr>
          <w:rFonts w:cs="Times New Roman"/>
          <w:snapToGrid w:val="0"/>
          <w:kern w:val="0"/>
          <w:sz w:val="24"/>
          <w:szCs w:val="24"/>
        </w:rPr>
        <w:t>.19</w:t>
      </w:r>
      <w:r>
        <w:rPr>
          <w:rFonts w:hint="eastAsia" w:cs="Times New Roman"/>
          <w:snapToGrid w:val="0"/>
          <w:kern w:val="0"/>
          <w:sz w:val="24"/>
          <w:szCs w:val="24"/>
        </w:rPr>
        <w:t>亩</w:t>
      </w:r>
      <w:r>
        <w:rPr>
          <w:rFonts w:cs="Times New Roman"/>
          <w:snapToGrid w:val="0"/>
          <w:kern w:val="0"/>
          <w:sz w:val="24"/>
          <w:szCs w:val="24"/>
        </w:rPr>
        <w:t>，</w:t>
      </w:r>
      <w:r>
        <w:rPr>
          <w:rFonts w:hint="eastAsia" w:cs="Times New Roman"/>
          <w:snapToGrid w:val="0"/>
          <w:kern w:val="0"/>
          <w:sz w:val="24"/>
          <w:szCs w:val="24"/>
        </w:rPr>
        <w:t>园地</w:t>
      </w:r>
      <w:r>
        <w:rPr>
          <w:rFonts w:cs="Times New Roman"/>
          <w:snapToGrid w:val="0"/>
          <w:kern w:val="0"/>
          <w:sz w:val="24"/>
          <w:szCs w:val="24"/>
        </w:rPr>
        <w:t>3.67</w:t>
      </w:r>
      <w:r>
        <w:rPr>
          <w:rFonts w:hint="eastAsia" w:cs="Times New Roman"/>
          <w:snapToGrid w:val="0"/>
          <w:kern w:val="0"/>
          <w:sz w:val="24"/>
          <w:szCs w:val="24"/>
        </w:rPr>
        <w:t>亩</w:t>
      </w:r>
      <w:r>
        <w:rPr>
          <w:rFonts w:cs="Times New Roman"/>
          <w:snapToGrid w:val="0"/>
          <w:kern w:val="0"/>
          <w:sz w:val="24"/>
          <w:szCs w:val="24"/>
        </w:rPr>
        <w:t>，林地9.63亩。</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9) 49</w:t>
      </w:r>
      <w:r>
        <w:rPr>
          <w:rFonts w:hint="eastAsia" w:cs="Times New Roman"/>
          <w:snapToGrid w:val="0"/>
          <w:kern w:val="0"/>
          <w:sz w:val="24"/>
          <w:szCs w:val="24"/>
        </w:rPr>
        <w:t>下库坝后道路及大坝标场地用地</w:t>
      </w:r>
      <w:r>
        <w:rPr>
          <w:rFonts w:cs="Times New Roman"/>
          <w:snapToGrid w:val="0"/>
          <w:kern w:val="0"/>
          <w:sz w:val="24"/>
          <w:szCs w:val="24"/>
        </w:rPr>
        <w:t>(</w:t>
      </w:r>
      <w:r>
        <w:rPr>
          <w:rFonts w:hint="eastAsia" w:cs="Times New Roman"/>
          <w:snapToGrid w:val="0"/>
          <w:kern w:val="0"/>
          <w:sz w:val="24"/>
          <w:szCs w:val="24"/>
        </w:rPr>
        <w:t>挖损、压占</w:t>
      </w:r>
      <w:r>
        <w:rPr>
          <w:rFonts w:cs="Times New Roman"/>
          <w:snapToGrid w:val="0"/>
          <w:kern w:val="0"/>
          <w:sz w:val="24"/>
          <w:szCs w:val="24"/>
        </w:rPr>
        <w:t>)：拟复垦土地面积67.09亩，</w:t>
      </w:r>
      <w:r>
        <w:rPr>
          <w:rFonts w:hint="eastAsia" w:cs="Times New Roman"/>
          <w:snapToGrid w:val="0"/>
          <w:kern w:val="0"/>
          <w:sz w:val="24"/>
          <w:szCs w:val="24"/>
        </w:rPr>
        <w:t>全部为林地</w:t>
      </w:r>
      <w:r>
        <w:rPr>
          <w:rFonts w:cs="Times New Roman"/>
          <w:snapToGrid w:val="0"/>
          <w:kern w:val="0"/>
          <w:sz w:val="24"/>
          <w:szCs w:val="24"/>
        </w:rPr>
        <w:t>。</w:t>
      </w:r>
    </w:p>
    <w:p>
      <w:pPr>
        <w:spacing w:line="460" w:lineRule="exact"/>
        <w:ind w:firstLine="480" w:firstLineChars="200"/>
        <w:rPr>
          <w:rFonts w:cs="Times New Roman"/>
          <w:snapToGrid w:val="0"/>
          <w:kern w:val="0"/>
          <w:sz w:val="24"/>
          <w:szCs w:val="24"/>
        </w:rPr>
      </w:pPr>
      <w:r>
        <w:rPr>
          <w:rFonts w:cs="Times New Roman"/>
          <w:snapToGrid w:val="0"/>
          <w:kern w:val="0"/>
          <w:sz w:val="24"/>
          <w:szCs w:val="24"/>
        </w:rPr>
        <w:t>10) 50</w:t>
      </w:r>
      <w:r>
        <w:rPr>
          <w:rFonts w:hint="eastAsia" w:cs="Times New Roman"/>
          <w:snapToGrid w:val="0"/>
          <w:kern w:val="0"/>
          <w:sz w:val="24"/>
          <w:szCs w:val="24"/>
        </w:rPr>
        <w:t>下库大坝标施工营地用地</w:t>
      </w:r>
      <w:r>
        <w:rPr>
          <w:rFonts w:cs="Times New Roman"/>
          <w:snapToGrid w:val="0"/>
          <w:kern w:val="0"/>
          <w:sz w:val="24"/>
          <w:szCs w:val="24"/>
        </w:rPr>
        <w:t>(</w:t>
      </w:r>
      <w:r>
        <w:rPr>
          <w:rFonts w:hint="eastAsia" w:cs="Times New Roman"/>
          <w:snapToGrid w:val="0"/>
          <w:kern w:val="0"/>
          <w:sz w:val="24"/>
          <w:szCs w:val="24"/>
        </w:rPr>
        <w:t>压占</w:t>
      </w:r>
      <w:r>
        <w:rPr>
          <w:rFonts w:cs="Times New Roman"/>
          <w:snapToGrid w:val="0"/>
          <w:kern w:val="0"/>
          <w:sz w:val="24"/>
          <w:szCs w:val="24"/>
        </w:rPr>
        <w:t>)：拟复垦土地面积33.16亩，</w:t>
      </w:r>
      <w:r>
        <w:rPr>
          <w:rFonts w:hint="eastAsia" w:cs="Times New Roman"/>
          <w:snapToGrid w:val="0"/>
          <w:kern w:val="0"/>
          <w:sz w:val="24"/>
          <w:szCs w:val="24"/>
        </w:rPr>
        <w:t>全部为林地</w:t>
      </w:r>
      <w:r>
        <w:rPr>
          <w:rFonts w:cs="Times New Roman"/>
          <w:snapToGrid w:val="0"/>
          <w:kern w:val="0"/>
          <w:sz w:val="24"/>
          <w:szCs w:val="24"/>
        </w:rPr>
        <w:t>。</w:t>
      </w:r>
    </w:p>
    <w:p>
      <w:pPr>
        <w:spacing w:line="460" w:lineRule="exact"/>
        <w:ind w:firstLine="480" w:firstLineChars="200"/>
        <w:rPr>
          <w:rFonts w:cs="Times New Roman"/>
          <w:sz w:val="24"/>
        </w:rPr>
      </w:pPr>
      <w:r>
        <w:rPr>
          <w:rFonts w:hint="eastAsia" w:cs="Times New Roman"/>
          <w:sz w:val="24"/>
        </w:rPr>
        <w:t>临时用地复垦方案详见表6.5</w:t>
      </w:r>
      <w:r>
        <w:rPr>
          <w:rFonts w:cs="Times New Roman"/>
          <w:sz w:val="24"/>
        </w:rPr>
        <w:t>-</w:t>
      </w:r>
      <w:r>
        <w:rPr>
          <w:rFonts w:hint="eastAsia" w:cs="Times New Roman"/>
          <w:sz w:val="24"/>
        </w:rPr>
        <w:t>5</w:t>
      </w:r>
      <w:r>
        <w:rPr>
          <w:rFonts w:cs="Times New Roman"/>
          <w:sz w:val="24"/>
        </w:rPr>
        <w:t>。</w:t>
      </w:r>
    </w:p>
    <w:p>
      <w:pPr>
        <w:spacing w:before="120" w:beforeLines="50" w:line="460" w:lineRule="exact"/>
        <w:ind w:firstLine="480" w:firstLineChars="200"/>
        <w:jc w:val="center"/>
        <w:rPr>
          <w:rFonts w:eastAsia="黑体" w:cs="Times New Roman"/>
          <w:sz w:val="24"/>
          <w:szCs w:val="24"/>
        </w:rPr>
      </w:pPr>
      <w:r>
        <w:rPr>
          <w:rFonts w:hint="eastAsia" w:eastAsia="黑体" w:cs="Times New Roman"/>
          <w:sz w:val="24"/>
          <w:szCs w:val="24"/>
          <w:highlight w:val="none"/>
        </w:rPr>
        <w:t>表</w:t>
      </w:r>
      <w:r>
        <w:rPr>
          <w:rFonts w:eastAsia="黑体" w:cs="Times New Roman"/>
          <w:sz w:val="24"/>
          <w:szCs w:val="24"/>
          <w:highlight w:val="none"/>
        </w:rPr>
        <w:t xml:space="preserve">6.5-5  </w:t>
      </w:r>
      <w:r>
        <w:rPr>
          <w:rFonts w:hint="eastAsia" w:eastAsia="黑体" w:cs="Times New Roman"/>
          <w:sz w:val="24"/>
          <w:szCs w:val="24"/>
          <w:highlight w:val="none"/>
        </w:rPr>
        <w:t>栗子湾抽水蓄能电站临时用地复垦后土地地类统计表</w:t>
      </w:r>
    </w:p>
    <w:tbl>
      <w:tblPr>
        <w:tblStyle w:val="79"/>
        <w:tblW w:w="88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3560"/>
        <w:gridCol w:w="962"/>
        <w:gridCol w:w="717"/>
        <w:gridCol w:w="717"/>
        <w:gridCol w:w="11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67" w:type="dxa"/>
            <w:vMerge w:val="restart"/>
            <w:noWrap/>
            <w:vAlign w:val="center"/>
          </w:tcPr>
          <w:p>
            <w:pPr>
              <w:pStyle w:val="1143"/>
              <w:adjustRightInd w:val="0"/>
              <w:snapToGrid w:val="0"/>
              <w:rPr>
                <w:rFonts w:cs="Times New Roman"/>
                <w:szCs w:val="21"/>
              </w:rPr>
            </w:pPr>
            <w:r>
              <w:rPr>
                <w:rFonts w:hAnsi="宋体" w:cs="Times New Roman"/>
                <w:szCs w:val="21"/>
              </w:rPr>
              <w:t>施工区域编号</w:t>
            </w:r>
          </w:p>
        </w:tc>
        <w:tc>
          <w:tcPr>
            <w:tcW w:w="3560" w:type="dxa"/>
            <w:vMerge w:val="restart"/>
            <w:noWrap/>
            <w:vAlign w:val="center"/>
          </w:tcPr>
          <w:p>
            <w:pPr>
              <w:pStyle w:val="1143"/>
              <w:adjustRightInd w:val="0"/>
              <w:snapToGrid w:val="0"/>
              <w:rPr>
                <w:rFonts w:cs="Times New Roman"/>
                <w:szCs w:val="21"/>
              </w:rPr>
            </w:pPr>
            <w:r>
              <w:rPr>
                <w:rFonts w:hAnsi="宋体" w:cs="Times New Roman"/>
                <w:szCs w:val="21"/>
              </w:rPr>
              <w:t>施工区域名称</w:t>
            </w:r>
          </w:p>
        </w:tc>
        <w:tc>
          <w:tcPr>
            <w:tcW w:w="962" w:type="dxa"/>
            <w:vMerge w:val="restart"/>
            <w:noWrap/>
            <w:vAlign w:val="center"/>
          </w:tcPr>
          <w:p>
            <w:pPr>
              <w:pStyle w:val="1143"/>
              <w:adjustRightInd w:val="0"/>
              <w:snapToGrid w:val="0"/>
              <w:rPr>
                <w:rFonts w:cs="Times New Roman"/>
                <w:szCs w:val="21"/>
              </w:rPr>
            </w:pPr>
            <w:r>
              <w:rPr>
                <w:rFonts w:hAnsi="宋体" w:cs="Times New Roman"/>
                <w:szCs w:val="21"/>
              </w:rPr>
              <w:t>总计</w:t>
            </w:r>
          </w:p>
        </w:tc>
        <w:tc>
          <w:tcPr>
            <w:tcW w:w="717" w:type="dxa"/>
            <w:noWrap/>
            <w:vAlign w:val="center"/>
          </w:tcPr>
          <w:p>
            <w:pPr>
              <w:pStyle w:val="1143"/>
              <w:adjustRightInd w:val="0"/>
              <w:snapToGrid w:val="0"/>
              <w:rPr>
                <w:rFonts w:cs="Times New Roman"/>
                <w:szCs w:val="21"/>
              </w:rPr>
            </w:pPr>
            <w:r>
              <w:rPr>
                <w:rFonts w:hAnsi="宋体" w:cs="Times New Roman"/>
                <w:szCs w:val="21"/>
              </w:rPr>
              <w:t>耕地</w:t>
            </w:r>
          </w:p>
        </w:tc>
        <w:tc>
          <w:tcPr>
            <w:tcW w:w="717" w:type="dxa"/>
            <w:noWrap/>
            <w:vAlign w:val="center"/>
          </w:tcPr>
          <w:p>
            <w:pPr>
              <w:pStyle w:val="1143"/>
              <w:adjustRightInd w:val="0"/>
              <w:snapToGrid w:val="0"/>
              <w:rPr>
                <w:rFonts w:cs="Times New Roman"/>
                <w:szCs w:val="21"/>
              </w:rPr>
            </w:pPr>
            <w:r>
              <w:rPr>
                <w:rFonts w:hAnsi="宋体" w:cs="Times New Roman"/>
                <w:szCs w:val="21"/>
              </w:rPr>
              <w:t>园地</w:t>
            </w:r>
          </w:p>
        </w:tc>
        <w:tc>
          <w:tcPr>
            <w:tcW w:w="1189" w:type="dxa"/>
            <w:noWrap/>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67" w:type="dxa"/>
            <w:vMerge w:val="continue"/>
            <w:vAlign w:val="center"/>
          </w:tcPr>
          <w:p>
            <w:pPr>
              <w:pStyle w:val="1143"/>
              <w:adjustRightInd w:val="0"/>
              <w:snapToGrid w:val="0"/>
              <w:jc w:val="left"/>
              <w:rPr>
                <w:rFonts w:cs="Times New Roman"/>
                <w:szCs w:val="21"/>
              </w:rPr>
            </w:pPr>
          </w:p>
        </w:tc>
        <w:tc>
          <w:tcPr>
            <w:tcW w:w="3560" w:type="dxa"/>
            <w:vMerge w:val="continue"/>
            <w:vAlign w:val="center"/>
          </w:tcPr>
          <w:p>
            <w:pPr>
              <w:pStyle w:val="1143"/>
              <w:adjustRightInd w:val="0"/>
              <w:snapToGrid w:val="0"/>
              <w:jc w:val="left"/>
              <w:rPr>
                <w:rFonts w:cs="Times New Roman"/>
                <w:szCs w:val="21"/>
              </w:rPr>
            </w:pPr>
          </w:p>
        </w:tc>
        <w:tc>
          <w:tcPr>
            <w:tcW w:w="962" w:type="dxa"/>
            <w:vMerge w:val="continue"/>
            <w:vAlign w:val="center"/>
          </w:tcPr>
          <w:p>
            <w:pPr>
              <w:pStyle w:val="1143"/>
              <w:adjustRightInd w:val="0"/>
              <w:snapToGrid w:val="0"/>
              <w:jc w:val="left"/>
              <w:rPr>
                <w:rFonts w:cs="Times New Roman"/>
                <w:szCs w:val="21"/>
              </w:rPr>
            </w:pPr>
          </w:p>
        </w:tc>
        <w:tc>
          <w:tcPr>
            <w:tcW w:w="717" w:type="dxa"/>
            <w:noWrap/>
            <w:vAlign w:val="center"/>
          </w:tcPr>
          <w:p>
            <w:pPr>
              <w:pStyle w:val="1143"/>
              <w:adjustRightInd w:val="0"/>
              <w:snapToGrid w:val="0"/>
              <w:rPr>
                <w:rFonts w:hint="eastAsia" w:cs="Times New Roman"/>
                <w:szCs w:val="21"/>
              </w:rPr>
            </w:pPr>
            <w:r>
              <w:rPr>
                <w:rFonts w:hint="eastAsia" w:hAnsi="宋体" w:cs="Times New Roman"/>
                <w:szCs w:val="21"/>
              </w:rPr>
              <w:t>水田</w:t>
            </w:r>
          </w:p>
        </w:tc>
        <w:tc>
          <w:tcPr>
            <w:tcW w:w="717" w:type="dxa"/>
            <w:noWrap/>
            <w:vAlign w:val="center"/>
          </w:tcPr>
          <w:p>
            <w:pPr>
              <w:pStyle w:val="1143"/>
              <w:adjustRightInd w:val="0"/>
              <w:snapToGrid w:val="0"/>
              <w:rPr>
                <w:rFonts w:cs="Times New Roman"/>
                <w:szCs w:val="21"/>
              </w:rPr>
            </w:pPr>
            <w:r>
              <w:rPr>
                <w:rFonts w:hAnsi="宋体" w:cs="Times New Roman"/>
                <w:szCs w:val="21"/>
              </w:rPr>
              <w:t>果园</w:t>
            </w:r>
          </w:p>
        </w:tc>
        <w:tc>
          <w:tcPr>
            <w:tcW w:w="1189" w:type="dxa"/>
            <w:noWrap/>
            <w:vAlign w:val="center"/>
          </w:tcPr>
          <w:p>
            <w:pPr>
              <w:pStyle w:val="1143"/>
              <w:adjustRightInd w:val="0"/>
              <w:snapToGrid w:val="0"/>
              <w:rPr>
                <w:rFonts w:cs="Times New Roman"/>
                <w:szCs w:val="21"/>
              </w:rPr>
            </w:pPr>
            <w:r>
              <w:rPr>
                <w:rFonts w:hint="eastAsia" w:hAnsi="宋体" w:cs="Times New Roman"/>
                <w:szCs w:val="21"/>
              </w:rPr>
              <w:t>有林</w:t>
            </w:r>
            <w:r>
              <w:rPr>
                <w:rFonts w:hAnsi="宋体" w:cs="Times New Roman"/>
                <w:szCs w:val="21"/>
              </w:rPr>
              <w:t>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227" w:type="dxa"/>
            <w:gridSpan w:val="2"/>
            <w:noWrap/>
            <w:vAlign w:val="center"/>
          </w:tcPr>
          <w:p>
            <w:pPr>
              <w:pStyle w:val="1143"/>
              <w:adjustRightInd w:val="0"/>
              <w:snapToGrid w:val="0"/>
              <w:rPr>
                <w:rFonts w:cs="Times New Roman"/>
                <w:szCs w:val="21"/>
              </w:rPr>
            </w:pPr>
            <w:r>
              <w:rPr>
                <w:rFonts w:hAnsi="宋体" w:cs="Times New Roman"/>
                <w:szCs w:val="21"/>
              </w:rPr>
              <w:t>总计</w:t>
            </w:r>
          </w:p>
        </w:tc>
        <w:tc>
          <w:tcPr>
            <w:tcW w:w="962" w:type="dxa"/>
            <w:noWrap/>
            <w:vAlign w:val="center"/>
          </w:tcPr>
          <w:p>
            <w:pPr>
              <w:pStyle w:val="1143"/>
              <w:adjustRightInd w:val="0"/>
              <w:snapToGrid w:val="0"/>
              <w:rPr>
                <w:rFonts w:cs="Times New Roman"/>
                <w:szCs w:val="21"/>
              </w:rPr>
            </w:pPr>
            <w:r>
              <w:rPr>
                <w:rFonts w:cs="Times New Roman"/>
                <w:szCs w:val="21"/>
              </w:rPr>
              <w:t>961.83</w:t>
            </w:r>
          </w:p>
        </w:tc>
        <w:tc>
          <w:tcPr>
            <w:tcW w:w="717" w:type="dxa"/>
            <w:noWrap/>
            <w:vAlign w:val="center"/>
          </w:tcPr>
          <w:p>
            <w:pPr>
              <w:pStyle w:val="1143"/>
              <w:adjustRightInd w:val="0"/>
              <w:snapToGrid w:val="0"/>
              <w:rPr>
                <w:rFonts w:cs="Times New Roman"/>
                <w:szCs w:val="21"/>
              </w:rPr>
            </w:pPr>
            <w:r>
              <w:rPr>
                <w:rFonts w:cs="Times New Roman"/>
                <w:szCs w:val="21"/>
              </w:rPr>
              <w:t>15.54</w:t>
            </w:r>
          </w:p>
        </w:tc>
        <w:tc>
          <w:tcPr>
            <w:tcW w:w="717" w:type="dxa"/>
            <w:noWrap/>
            <w:vAlign w:val="center"/>
          </w:tcPr>
          <w:p>
            <w:pPr>
              <w:pStyle w:val="1143"/>
              <w:adjustRightInd w:val="0"/>
              <w:snapToGrid w:val="0"/>
              <w:rPr>
                <w:rFonts w:cs="Times New Roman"/>
                <w:szCs w:val="21"/>
              </w:rPr>
            </w:pPr>
            <w:r>
              <w:rPr>
                <w:rFonts w:cs="Times New Roman"/>
                <w:szCs w:val="21"/>
              </w:rPr>
              <w:t>3.67</w:t>
            </w:r>
          </w:p>
        </w:tc>
        <w:tc>
          <w:tcPr>
            <w:tcW w:w="1189" w:type="dxa"/>
            <w:noWrap/>
            <w:vAlign w:val="center"/>
          </w:tcPr>
          <w:p>
            <w:pPr>
              <w:pStyle w:val="1143"/>
              <w:adjustRightInd w:val="0"/>
              <w:snapToGrid w:val="0"/>
              <w:rPr>
                <w:rFonts w:cs="Times New Roman"/>
                <w:szCs w:val="21"/>
              </w:rPr>
            </w:pPr>
            <w:r>
              <w:rPr>
                <w:rFonts w:cs="Times New Roman"/>
                <w:szCs w:val="21"/>
              </w:rPr>
              <w:t>942.59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41</w:t>
            </w:r>
          </w:p>
        </w:tc>
        <w:tc>
          <w:tcPr>
            <w:tcW w:w="3560" w:type="dxa"/>
            <w:noWrap/>
            <w:vAlign w:val="center"/>
          </w:tcPr>
          <w:p>
            <w:pPr>
              <w:pStyle w:val="1143"/>
              <w:adjustRightInd w:val="0"/>
              <w:snapToGrid w:val="0"/>
              <w:rPr>
                <w:rFonts w:cs="Times New Roman"/>
                <w:szCs w:val="21"/>
              </w:rPr>
            </w:pPr>
            <w:r>
              <w:rPr>
                <w:rFonts w:hAnsi="宋体" w:cs="Times New Roman"/>
                <w:szCs w:val="21"/>
              </w:rPr>
              <w:t>上库表土堆存场用地</w:t>
            </w:r>
          </w:p>
        </w:tc>
        <w:tc>
          <w:tcPr>
            <w:tcW w:w="962" w:type="dxa"/>
            <w:noWrap/>
            <w:vAlign w:val="center"/>
          </w:tcPr>
          <w:p>
            <w:pPr>
              <w:pStyle w:val="1143"/>
              <w:adjustRightInd w:val="0"/>
              <w:snapToGrid w:val="0"/>
              <w:rPr>
                <w:rFonts w:cs="Times New Roman"/>
                <w:szCs w:val="21"/>
              </w:rPr>
            </w:pPr>
            <w:r>
              <w:rPr>
                <w:rFonts w:cs="Times New Roman"/>
                <w:szCs w:val="21"/>
              </w:rPr>
              <w:t>34.22</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34.22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42</w:t>
            </w:r>
          </w:p>
        </w:tc>
        <w:tc>
          <w:tcPr>
            <w:tcW w:w="3560" w:type="dxa"/>
            <w:noWrap/>
            <w:vAlign w:val="center"/>
          </w:tcPr>
          <w:p>
            <w:pPr>
              <w:pStyle w:val="1143"/>
              <w:adjustRightInd w:val="0"/>
              <w:snapToGrid w:val="0"/>
              <w:rPr>
                <w:rFonts w:cs="Times New Roman"/>
                <w:szCs w:val="21"/>
              </w:rPr>
            </w:pPr>
            <w:r>
              <w:rPr>
                <w:rFonts w:hAnsi="宋体" w:cs="Times New Roman"/>
                <w:szCs w:val="21"/>
              </w:rPr>
              <w:t>上库弃渣场</w:t>
            </w:r>
          </w:p>
        </w:tc>
        <w:tc>
          <w:tcPr>
            <w:tcW w:w="962" w:type="dxa"/>
            <w:noWrap/>
            <w:vAlign w:val="center"/>
          </w:tcPr>
          <w:p>
            <w:pPr>
              <w:pStyle w:val="1143"/>
              <w:adjustRightInd w:val="0"/>
              <w:snapToGrid w:val="0"/>
              <w:rPr>
                <w:rFonts w:cs="Times New Roman"/>
                <w:szCs w:val="21"/>
              </w:rPr>
            </w:pPr>
            <w:r>
              <w:rPr>
                <w:rFonts w:cs="Times New Roman"/>
                <w:szCs w:val="21"/>
              </w:rPr>
              <w:t>228.98</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228.98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43</w:t>
            </w:r>
          </w:p>
        </w:tc>
        <w:tc>
          <w:tcPr>
            <w:tcW w:w="3560" w:type="dxa"/>
            <w:noWrap/>
            <w:vAlign w:val="center"/>
          </w:tcPr>
          <w:p>
            <w:pPr>
              <w:pStyle w:val="1143"/>
              <w:adjustRightInd w:val="0"/>
              <w:snapToGrid w:val="0"/>
              <w:rPr>
                <w:rFonts w:cs="Times New Roman"/>
                <w:szCs w:val="21"/>
              </w:rPr>
            </w:pPr>
            <w:r>
              <w:rPr>
                <w:rFonts w:hAnsi="宋体" w:cs="Times New Roman"/>
                <w:szCs w:val="21"/>
              </w:rPr>
              <w:t>上库石料场</w:t>
            </w:r>
          </w:p>
        </w:tc>
        <w:tc>
          <w:tcPr>
            <w:tcW w:w="962" w:type="dxa"/>
            <w:noWrap/>
            <w:vAlign w:val="center"/>
          </w:tcPr>
          <w:p>
            <w:pPr>
              <w:pStyle w:val="1143"/>
              <w:adjustRightInd w:val="0"/>
              <w:snapToGrid w:val="0"/>
              <w:rPr>
                <w:rFonts w:cs="Times New Roman"/>
                <w:szCs w:val="21"/>
              </w:rPr>
            </w:pPr>
            <w:r>
              <w:rPr>
                <w:rFonts w:cs="Times New Roman"/>
                <w:szCs w:val="21"/>
              </w:rPr>
              <w:t>151.56</w:t>
            </w:r>
          </w:p>
        </w:tc>
        <w:tc>
          <w:tcPr>
            <w:tcW w:w="717" w:type="dxa"/>
            <w:noWrap/>
            <w:vAlign w:val="center"/>
          </w:tcPr>
          <w:p>
            <w:pPr>
              <w:pStyle w:val="1143"/>
              <w:adjustRightInd w:val="0"/>
              <w:snapToGrid w:val="0"/>
              <w:rPr>
                <w:rFonts w:cs="Times New Roman"/>
                <w:szCs w:val="21"/>
              </w:rPr>
            </w:pP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151.57</w:t>
            </w:r>
          </w:p>
        </w:tc>
      </w:tr>
    </w:tbl>
    <w:p/>
    <w:p>
      <w:pPr>
        <w:spacing w:before="120" w:beforeLines="50" w:line="460" w:lineRule="exact"/>
        <w:ind w:firstLine="480" w:firstLineChars="200"/>
        <w:jc w:val="center"/>
        <w:rPr>
          <w:rFonts w:eastAsia="黑体" w:cs="Times New Roman"/>
          <w:sz w:val="24"/>
          <w:szCs w:val="24"/>
        </w:rPr>
      </w:pPr>
      <w:r>
        <w:rPr>
          <w:rFonts w:hint="eastAsia" w:eastAsia="黑体" w:cs="Times New Roman"/>
          <w:sz w:val="24"/>
          <w:szCs w:val="24"/>
        </w:rPr>
        <w:t>表6.5-5(续)</w:t>
      </w:r>
    </w:p>
    <w:tbl>
      <w:tblPr>
        <w:tblStyle w:val="79"/>
        <w:tblW w:w="88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7"/>
        <w:gridCol w:w="3560"/>
        <w:gridCol w:w="962"/>
        <w:gridCol w:w="717"/>
        <w:gridCol w:w="717"/>
        <w:gridCol w:w="11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vMerge w:val="restart"/>
            <w:noWrap/>
            <w:vAlign w:val="center"/>
          </w:tcPr>
          <w:p>
            <w:pPr>
              <w:pStyle w:val="1143"/>
              <w:adjustRightInd w:val="0"/>
              <w:snapToGrid w:val="0"/>
              <w:rPr>
                <w:rFonts w:cs="Times New Roman"/>
                <w:szCs w:val="21"/>
              </w:rPr>
            </w:pPr>
            <w:r>
              <w:rPr>
                <w:rFonts w:hAnsi="宋体" w:cs="Times New Roman"/>
                <w:szCs w:val="21"/>
              </w:rPr>
              <w:t>施工区域编号</w:t>
            </w:r>
          </w:p>
        </w:tc>
        <w:tc>
          <w:tcPr>
            <w:tcW w:w="3560" w:type="dxa"/>
            <w:vMerge w:val="restart"/>
            <w:noWrap/>
            <w:vAlign w:val="center"/>
          </w:tcPr>
          <w:p>
            <w:pPr>
              <w:pStyle w:val="1143"/>
              <w:adjustRightInd w:val="0"/>
              <w:snapToGrid w:val="0"/>
              <w:rPr>
                <w:rFonts w:cs="Times New Roman"/>
                <w:szCs w:val="21"/>
              </w:rPr>
            </w:pPr>
            <w:r>
              <w:rPr>
                <w:rFonts w:hAnsi="宋体" w:cs="Times New Roman"/>
                <w:szCs w:val="21"/>
              </w:rPr>
              <w:t>施工区域名称</w:t>
            </w:r>
          </w:p>
        </w:tc>
        <w:tc>
          <w:tcPr>
            <w:tcW w:w="962" w:type="dxa"/>
            <w:vMerge w:val="restart"/>
            <w:noWrap/>
            <w:vAlign w:val="center"/>
          </w:tcPr>
          <w:p>
            <w:pPr>
              <w:pStyle w:val="1143"/>
              <w:adjustRightInd w:val="0"/>
              <w:snapToGrid w:val="0"/>
              <w:rPr>
                <w:rFonts w:cs="Times New Roman"/>
                <w:szCs w:val="21"/>
              </w:rPr>
            </w:pPr>
            <w:r>
              <w:rPr>
                <w:rFonts w:hAnsi="宋体" w:cs="Times New Roman"/>
                <w:szCs w:val="21"/>
              </w:rPr>
              <w:t>总计</w:t>
            </w:r>
          </w:p>
        </w:tc>
        <w:tc>
          <w:tcPr>
            <w:tcW w:w="717" w:type="dxa"/>
            <w:noWrap/>
            <w:vAlign w:val="center"/>
          </w:tcPr>
          <w:p>
            <w:pPr>
              <w:pStyle w:val="1143"/>
              <w:adjustRightInd w:val="0"/>
              <w:snapToGrid w:val="0"/>
              <w:rPr>
                <w:rFonts w:cs="Times New Roman"/>
                <w:szCs w:val="21"/>
              </w:rPr>
            </w:pPr>
            <w:r>
              <w:rPr>
                <w:rFonts w:hAnsi="宋体" w:cs="Times New Roman"/>
                <w:szCs w:val="21"/>
              </w:rPr>
              <w:t>耕地</w:t>
            </w:r>
          </w:p>
        </w:tc>
        <w:tc>
          <w:tcPr>
            <w:tcW w:w="717" w:type="dxa"/>
            <w:noWrap/>
            <w:vAlign w:val="center"/>
          </w:tcPr>
          <w:p>
            <w:pPr>
              <w:pStyle w:val="1143"/>
              <w:adjustRightInd w:val="0"/>
              <w:snapToGrid w:val="0"/>
              <w:rPr>
                <w:rFonts w:cs="Times New Roman"/>
                <w:szCs w:val="21"/>
              </w:rPr>
            </w:pPr>
            <w:r>
              <w:rPr>
                <w:rFonts w:hAnsi="宋体" w:cs="Times New Roman"/>
                <w:szCs w:val="21"/>
              </w:rPr>
              <w:t>园地</w:t>
            </w:r>
          </w:p>
        </w:tc>
        <w:tc>
          <w:tcPr>
            <w:tcW w:w="1189" w:type="dxa"/>
            <w:noWrap/>
            <w:vAlign w:val="center"/>
          </w:tcPr>
          <w:p>
            <w:pPr>
              <w:pStyle w:val="1143"/>
              <w:adjustRightInd w:val="0"/>
              <w:snapToGrid w:val="0"/>
              <w:rPr>
                <w:rFonts w:cs="Times New Roman"/>
                <w:szCs w:val="21"/>
              </w:rPr>
            </w:pP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vMerge w:val="continue"/>
            <w:vAlign w:val="center"/>
          </w:tcPr>
          <w:p>
            <w:pPr>
              <w:pStyle w:val="1143"/>
              <w:adjustRightInd w:val="0"/>
              <w:snapToGrid w:val="0"/>
              <w:jc w:val="left"/>
              <w:rPr>
                <w:rFonts w:cs="Times New Roman"/>
                <w:szCs w:val="21"/>
              </w:rPr>
            </w:pPr>
          </w:p>
        </w:tc>
        <w:tc>
          <w:tcPr>
            <w:tcW w:w="3560" w:type="dxa"/>
            <w:vMerge w:val="continue"/>
            <w:vAlign w:val="center"/>
          </w:tcPr>
          <w:p>
            <w:pPr>
              <w:pStyle w:val="1143"/>
              <w:adjustRightInd w:val="0"/>
              <w:snapToGrid w:val="0"/>
              <w:jc w:val="left"/>
              <w:rPr>
                <w:rFonts w:cs="Times New Roman"/>
                <w:szCs w:val="21"/>
              </w:rPr>
            </w:pPr>
          </w:p>
        </w:tc>
        <w:tc>
          <w:tcPr>
            <w:tcW w:w="962" w:type="dxa"/>
            <w:vMerge w:val="continue"/>
            <w:vAlign w:val="center"/>
          </w:tcPr>
          <w:p>
            <w:pPr>
              <w:pStyle w:val="1143"/>
              <w:adjustRightInd w:val="0"/>
              <w:snapToGrid w:val="0"/>
              <w:jc w:val="left"/>
              <w:rPr>
                <w:rFonts w:cs="Times New Roman"/>
                <w:szCs w:val="21"/>
              </w:rPr>
            </w:pPr>
          </w:p>
        </w:tc>
        <w:tc>
          <w:tcPr>
            <w:tcW w:w="717" w:type="dxa"/>
            <w:noWrap/>
            <w:vAlign w:val="center"/>
          </w:tcPr>
          <w:p>
            <w:pPr>
              <w:pStyle w:val="1143"/>
              <w:adjustRightInd w:val="0"/>
              <w:snapToGrid w:val="0"/>
              <w:rPr>
                <w:rFonts w:hint="eastAsia" w:cs="Times New Roman"/>
                <w:szCs w:val="21"/>
              </w:rPr>
            </w:pPr>
            <w:r>
              <w:rPr>
                <w:rFonts w:hint="eastAsia" w:hAnsi="宋体" w:cs="Times New Roman"/>
                <w:szCs w:val="21"/>
              </w:rPr>
              <w:t>水田</w:t>
            </w:r>
          </w:p>
        </w:tc>
        <w:tc>
          <w:tcPr>
            <w:tcW w:w="717" w:type="dxa"/>
            <w:noWrap/>
            <w:vAlign w:val="center"/>
          </w:tcPr>
          <w:p>
            <w:pPr>
              <w:pStyle w:val="1143"/>
              <w:adjustRightInd w:val="0"/>
              <w:snapToGrid w:val="0"/>
              <w:rPr>
                <w:rFonts w:cs="Times New Roman"/>
                <w:szCs w:val="21"/>
              </w:rPr>
            </w:pPr>
            <w:r>
              <w:rPr>
                <w:rFonts w:hAnsi="宋体" w:cs="Times New Roman"/>
                <w:szCs w:val="21"/>
              </w:rPr>
              <w:t>果园</w:t>
            </w:r>
          </w:p>
        </w:tc>
        <w:tc>
          <w:tcPr>
            <w:tcW w:w="1189" w:type="dxa"/>
            <w:noWrap/>
            <w:vAlign w:val="center"/>
          </w:tcPr>
          <w:p>
            <w:pPr>
              <w:pStyle w:val="1143"/>
              <w:adjustRightInd w:val="0"/>
              <w:snapToGrid w:val="0"/>
              <w:rPr>
                <w:rFonts w:cs="Times New Roman"/>
                <w:szCs w:val="21"/>
              </w:rPr>
            </w:pPr>
            <w:r>
              <w:rPr>
                <w:rFonts w:hint="eastAsia" w:hAnsi="宋体" w:cs="Times New Roman"/>
                <w:szCs w:val="21"/>
              </w:rPr>
              <w:t>有</w:t>
            </w:r>
            <w:r>
              <w:rPr>
                <w:rFonts w:hAnsi="宋体" w:cs="Times New Roman"/>
                <w:szCs w:val="21"/>
              </w:rPr>
              <w:t>林地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44</w:t>
            </w:r>
          </w:p>
        </w:tc>
        <w:tc>
          <w:tcPr>
            <w:tcW w:w="3560" w:type="dxa"/>
            <w:noWrap/>
            <w:vAlign w:val="center"/>
          </w:tcPr>
          <w:p>
            <w:pPr>
              <w:pStyle w:val="1143"/>
              <w:adjustRightInd w:val="0"/>
              <w:snapToGrid w:val="0"/>
              <w:rPr>
                <w:rFonts w:cs="Times New Roman"/>
                <w:szCs w:val="21"/>
              </w:rPr>
            </w:pPr>
            <w:r>
              <w:rPr>
                <w:rFonts w:hAnsi="宋体" w:cs="Times New Roman"/>
                <w:szCs w:val="21"/>
              </w:rPr>
              <w:t>上库输水发电标施工用地</w:t>
            </w:r>
          </w:p>
        </w:tc>
        <w:tc>
          <w:tcPr>
            <w:tcW w:w="962" w:type="dxa"/>
            <w:noWrap/>
            <w:vAlign w:val="center"/>
          </w:tcPr>
          <w:p>
            <w:pPr>
              <w:pStyle w:val="1143"/>
              <w:adjustRightInd w:val="0"/>
              <w:snapToGrid w:val="0"/>
              <w:rPr>
                <w:rFonts w:cs="Times New Roman"/>
                <w:szCs w:val="21"/>
              </w:rPr>
            </w:pPr>
            <w:r>
              <w:rPr>
                <w:rFonts w:cs="Times New Roman"/>
                <w:szCs w:val="21"/>
              </w:rPr>
              <w:t>94.19</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94.19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45</w:t>
            </w:r>
          </w:p>
        </w:tc>
        <w:tc>
          <w:tcPr>
            <w:tcW w:w="3560" w:type="dxa"/>
            <w:noWrap/>
            <w:vAlign w:val="center"/>
          </w:tcPr>
          <w:p>
            <w:pPr>
              <w:pStyle w:val="1143"/>
              <w:adjustRightInd w:val="0"/>
              <w:snapToGrid w:val="0"/>
              <w:rPr>
                <w:rFonts w:cs="Times New Roman"/>
                <w:szCs w:val="21"/>
              </w:rPr>
            </w:pPr>
            <w:r>
              <w:rPr>
                <w:rFonts w:hAnsi="宋体" w:cs="Times New Roman"/>
                <w:szCs w:val="21"/>
              </w:rPr>
              <w:t>上下库连接路渣场用地</w:t>
            </w:r>
          </w:p>
        </w:tc>
        <w:tc>
          <w:tcPr>
            <w:tcW w:w="962" w:type="dxa"/>
            <w:noWrap/>
            <w:vAlign w:val="center"/>
          </w:tcPr>
          <w:p>
            <w:pPr>
              <w:pStyle w:val="1143"/>
              <w:adjustRightInd w:val="0"/>
              <w:snapToGrid w:val="0"/>
              <w:rPr>
                <w:rFonts w:cs="Times New Roman"/>
                <w:szCs w:val="21"/>
              </w:rPr>
            </w:pPr>
            <w:r>
              <w:rPr>
                <w:rFonts w:cs="Times New Roman"/>
                <w:szCs w:val="21"/>
              </w:rPr>
              <w:t>19.81</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19.81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46</w:t>
            </w:r>
          </w:p>
        </w:tc>
        <w:tc>
          <w:tcPr>
            <w:tcW w:w="3560" w:type="dxa"/>
            <w:noWrap/>
            <w:vAlign w:val="center"/>
          </w:tcPr>
          <w:p>
            <w:pPr>
              <w:pStyle w:val="1143"/>
              <w:adjustRightInd w:val="0"/>
              <w:snapToGrid w:val="0"/>
              <w:rPr>
                <w:rFonts w:cs="Times New Roman"/>
                <w:szCs w:val="21"/>
              </w:rPr>
            </w:pPr>
            <w:r>
              <w:rPr>
                <w:rFonts w:hAnsi="宋体" w:cs="Times New Roman"/>
                <w:szCs w:val="21"/>
              </w:rPr>
              <w:t>中平洞施工场地用地</w:t>
            </w:r>
          </w:p>
        </w:tc>
        <w:tc>
          <w:tcPr>
            <w:tcW w:w="962" w:type="dxa"/>
            <w:noWrap/>
            <w:vAlign w:val="center"/>
          </w:tcPr>
          <w:p>
            <w:pPr>
              <w:pStyle w:val="1143"/>
              <w:adjustRightInd w:val="0"/>
              <w:snapToGrid w:val="0"/>
              <w:rPr>
                <w:rFonts w:cs="Times New Roman"/>
                <w:szCs w:val="21"/>
              </w:rPr>
            </w:pPr>
            <w:r>
              <w:rPr>
                <w:rFonts w:cs="Times New Roman"/>
                <w:szCs w:val="21"/>
              </w:rPr>
              <w:t>5.15</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5.15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47</w:t>
            </w:r>
          </w:p>
        </w:tc>
        <w:tc>
          <w:tcPr>
            <w:tcW w:w="3560" w:type="dxa"/>
            <w:noWrap/>
            <w:vAlign w:val="center"/>
          </w:tcPr>
          <w:p>
            <w:pPr>
              <w:pStyle w:val="1143"/>
              <w:adjustRightInd w:val="0"/>
              <w:snapToGrid w:val="0"/>
              <w:rPr>
                <w:rFonts w:cs="Times New Roman"/>
                <w:szCs w:val="21"/>
              </w:rPr>
            </w:pPr>
            <w:r>
              <w:rPr>
                <w:rFonts w:hAnsi="宋体" w:cs="Times New Roman"/>
                <w:szCs w:val="21"/>
              </w:rPr>
              <w:t>下库弃渣场</w:t>
            </w:r>
          </w:p>
        </w:tc>
        <w:tc>
          <w:tcPr>
            <w:tcW w:w="962" w:type="dxa"/>
            <w:noWrap/>
            <w:vAlign w:val="center"/>
          </w:tcPr>
          <w:p>
            <w:pPr>
              <w:pStyle w:val="1143"/>
              <w:adjustRightInd w:val="0"/>
              <w:snapToGrid w:val="0"/>
              <w:rPr>
                <w:rFonts w:cs="Times New Roman"/>
                <w:szCs w:val="21"/>
              </w:rPr>
            </w:pPr>
            <w:r>
              <w:rPr>
                <w:rFonts w:cs="Times New Roman"/>
                <w:szCs w:val="21"/>
              </w:rPr>
              <w:t>307.13</w:t>
            </w:r>
          </w:p>
        </w:tc>
        <w:tc>
          <w:tcPr>
            <w:tcW w:w="717" w:type="dxa"/>
            <w:noWrap/>
            <w:vAlign w:val="center"/>
          </w:tcPr>
          <w:p>
            <w:pPr>
              <w:pStyle w:val="1143"/>
              <w:adjustRightInd w:val="0"/>
              <w:snapToGrid w:val="0"/>
              <w:jc w:val="left"/>
              <w:rPr>
                <w:rFonts w:cs="Times New Roman"/>
                <w:szCs w:val="21"/>
              </w:rPr>
            </w:pPr>
            <w:r>
              <w:rPr>
                <w:rFonts w:hint="eastAsia" w:hAnsi="宋体" w:cs="Times New Roman"/>
                <w:szCs w:val="21"/>
              </w:rPr>
              <w:t>8</w:t>
            </w:r>
            <w:r>
              <w:rPr>
                <w:rFonts w:hAnsi="宋体" w:cs="Times New Roman"/>
                <w:szCs w:val="21"/>
              </w:rPr>
              <w:t>.35</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298.78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48</w:t>
            </w:r>
          </w:p>
        </w:tc>
        <w:tc>
          <w:tcPr>
            <w:tcW w:w="3560" w:type="dxa"/>
            <w:noWrap/>
            <w:vAlign w:val="center"/>
          </w:tcPr>
          <w:p>
            <w:pPr>
              <w:pStyle w:val="1143"/>
              <w:adjustRightInd w:val="0"/>
              <w:snapToGrid w:val="0"/>
              <w:rPr>
                <w:rFonts w:cs="Times New Roman"/>
                <w:szCs w:val="21"/>
              </w:rPr>
            </w:pPr>
            <w:r>
              <w:rPr>
                <w:rFonts w:hAnsi="宋体" w:cs="Times New Roman"/>
                <w:szCs w:val="21"/>
              </w:rPr>
              <w:t>下库坝后施工场地</w:t>
            </w:r>
          </w:p>
        </w:tc>
        <w:tc>
          <w:tcPr>
            <w:tcW w:w="962" w:type="dxa"/>
            <w:noWrap/>
            <w:vAlign w:val="center"/>
          </w:tcPr>
          <w:p>
            <w:pPr>
              <w:pStyle w:val="1143"/>
              <w:adjustRightInd w:val="0"/>
              <w:snapToGrid w:val="0"/>
              <w:rPr>
                <w:rFonts w:cs="Times New Roman"/>
                <w:szCs w:val="21"/>
              </w:rPr>
            </w:pPr>
            <w:r>
              <w:rPr>
                <w:rFonts w:cs="Times New Roman"/>
                <w:szCs w:val="21"/>
              </w:rPr>
              <w:t>20.53</w:t>
            </w:r>
          </w:p>
        </w:tc>
        <w:tc>
          <w:tcPr>
            <w:tcW w:w="717" w:type="dxa"/>
            <w:noWrap/>
            <w:vAlign w:val="center"/>
          </w:tcPr>
          <w:p>
            <w:pPr>
              <w:pStyle w:val="1143"/>
              <w:adjustRightInd w:val="0"/>
              <w:snapToGrid w:val="0"/>
              <w:rPr>
                <w:rFonts w:cs="Times New Roman"/>
                <w:szCs w:val="21"/>
              </w:rPr>
            </w:pPr>
            <w:r>
              <w:rPr>
                <w:rFonts w:cs="Times New Roman"/>
                <w:szCs w:val="21"/>
              </w:rPr>
              <w:t>7.19</w:t>
            </w:r>
          </w:p>
        </w:tc>
        <w:tc>
          <w:tcPr>
            <w:tcW w:w="717" w:type="dxa"/>
            <w:noWrap/>
            <w:vAlign w:val="center"/>
          </w:tcPr>
          <w:p>
            <w:pPr>
              <w:pStyle w:val="1143"/>
              <w:adjustRightInd w:val="0"/>
              <w:snapToGrid w:val="0"/>
              <w:rPr>
                <w:rFonts w:cs="Times New Roman"/>
                <w:szCs w:val="21"/>
              </w:rPr>
            </w:pPr>
            <w:r>
              <w:rPr>
                <w:rFonts w:cs="Times New Roman"/>
                <w:szCs w:val="21"/>
              </w:rPr>
              <w:t>3.67</w:t>
            </w:r>
          </w:p>
        </w:tc>
        <w:tc>
          <w:tcPr>
            <w:tcW w:w="1189" w:type="dxa"/>
            <w:noWrap/>
            <w:vAlign w:val="center"/>
          </w:tcPr>
          <w:p>
            <w:pPr>
              <w:pStyle w:val="1143"/>
              <w:adjustRightInd w:val="0"/>
              <w:snapToGrid w:val="0"/>
              <w:rPr>
                <w:rFonts w:cs="Times New Roman"/>
                <w:szCs w:val="21"/>
              </w:rPr>
            </w:pPr>
            <w:r>
              <w:rPr>
                <w:rFonts w:cs="Times New Roman"/>
                <w:szCs w:val="21"/>
              </w:rPr>
              <w:t>9.65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49</w:t>
            </w:r>
          </w:p>
        </w:tc>
        <w:tc>
          <w:tcPr>
            <w:tcW w:w="3560" w:type="dxa"/>
            <w:noWrap/>
            <w:vAlign w:val="center"/>
          </w:tcPr>
          <w:p>
            <w:pPr>
              <w:pStyle w:val="1143"/>
              <w:adjustRightInd w:val="0"/>
              <w:snapToGrid w:val="0"/>
              <w:rPr>
                <w:rFonts w:cs="Times New Roman"/>
                <w:szCs w:val="21"/>
              </w:rPr>
            </w:pPr>
            <w:r>
              <w:rPr>
                <w:rFonts w:hAnsi="宋体" w:cs="Times New Roman"/>
                <w:szCs w:val="21"/>
              </w:rPr>
              <w:t>下库坝后道路及大坝标场地用地</w:t>
            </w:r>
          </w:p>
        </w:tc>
        <w:tc>
          <w:tcPr>
            <w:tcW w:w="962" w:type="dxa"/>
            <w:noWrap/>
            <w:vAlign w:val="center"/>
          </w:tcPr>
          <w:p>
            <w:pPr>
              <w:pStyle w:val="1143"/>
              <w:adjustRightInd w:val="0"/>
              <w:snapToGrid w:val="0"/>
              <w:rPr>
                <w:rFonts w:cs="Times New Roman"/>
                <w:szCs w:val="21"/>
              </w:rPr>
            </w:pPr>
            <w:r>
              <w:rPr>
                <w:rFonts w:cs="Times New Roman"/>
                <w:szCs w:val="21"/>
              </w:rPr>
              <w:t>67.09</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67.09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667" w:type="dxa"/>
            <w:noWrap/>
            <w:vAlign w:val="center"/>
          </w:tcPr>
          <w:p>
            <w:pPr>
              <w:pStyle w:val="1143"/>
              <w:adjustRightInd w:val="0"/>
              <w:snapToGrid w:val="0"/>
              <w:rPr>
                <w:rFonts w:cs="Times New Roman"/>
                <w:szCs w:val="21"/>
              </w:rPr>
            </w:pPr>
            <w:r>
              <w:rPr>
                <w:rFonts w:cs="Times New Roman"/>
                <w:szCs w:val="21"/>
              </w:rPr>
              <w:t>50</w:t>
            </w:r>
          </w:p>
        </w:tc>
        <w:tc>
          <w:tcPr>
            <w:tcW w:w="3560" w:type="dxa"/>
            <w:noWrap/>
            <w:vAlign w:val="center"/>
          </w:tcPr>
          <w:p>
            <w:pPr>
              <w:pStyle w:val="1143"/>
              <w:adjustRightInd w:val="0"/>
              <w:snapToGrid w:val="0"/>
              <w:rPr>
                <w:rFonts w:cs="Times New Roman"/>
                <w:szCs w:val="21"/>
              </w:rPr>
            </w:pPr>
            <w:r>
              <w:rPr>
                <w:rFonts w:hAnsi="宋体" w:cs="Times New Roman"/>
                <w:szCs w:val="21"/>
              </w:rPr>
              <w:t>下库大坝标施工营地用地</w:t>
            </w:r>
          </w:p>
        </w:tc>
        <w:tc>
          <w:tcPr>
            <w:tcW w:w="962" w:type="dxa"/>
            <w:noWrap/>
            <w:vAlign w:val="center"/>
          </w:tcPr>
          <w:p>
            <w:pPr>
              <w:pStyle w:val="1143"/>
              <w:adjustRightInd w:val="0"/>
              <w:snapToGrid w:val="0"/>
              <w:rPr>
                <w:rFonts w:cs="Times New Roman"/>
                <w:szCs w:val="21"/>
              </w:rPr>
            </w:pPr>
            <w:r>
              <w:rPr>
                <w:rFonts w:cs="Times New Roman"/>
                <w:szCs w:val="21"/>
              </w:rPr>
              <w:t>33.16</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717" w:type="dxa"/>
            <w:noWrap/>
            <w:vAlign w:val="center"/>
          </w:tcPr>
          <w:p>
            <w:pPr>
              <w:pStyle w:val="1143"/>
              <w:adjustRightInd w:val="0"/>
              <w:snapToGrid w:val="0"/>
              <w:jc w:val="left"/>
              <w:rPr>
                <w:rFonts w:cs="Times New Roman"/>
                <w:szCs w:val="21"/>
              </w:rPr>
            </w:pPr>
            <w:r>
              <w:rPr>
                <w:rFonts w:hAnsi="宋体" w:cs="Times New Roman"/>
                <w:szCs w:val="21"/>
              </w:rPr>
              <w:t>　</w:t>
            </w:r>
          </w:p>
        </w:tc>
        <w:tc>
          <w:tcPr>
            <w:tcW w:w="1189" w:type="dxa"/>
            <w:noWrap/>
            <w:vAlign w:val="center"/>
          </w:tcPr>
          <w:p>
            <w:pPr>
              <w:pStyle w:val="1143"/>
              <w:adjustRightInd w:val="0"/>
              <w:snapToGrid w:val="0"/>
              <w:rPr>
                <w:rFonts w:cs="Times New Roman"/>
                <w:szCs w:val="21"/>
              </w:rPr>
            </w:pPr>
            <w:r>
              <w:rPr>
                <w:rFonts w:cs="Times New Roman"/>
                <w:szCs w:val="21"/>
              </w:rPr>
              <w:t>33.16</w:t>
            </w:r>
          </w:p>
        </w:tc>
      </w:tr>
    </w:tbl>
    <w:p>
      <w:pPr>
        <w:pStyle w:val="4"/>
        <w:adjustRightInd w:val="0"/>
        <w:snapToGrid w:val="0"/>
        <w:spacing w:line="480" w:lineRule="exact"/>
        <w:rPr>
          <w:rFonts w:cs="Times New Roman"/>
          <w:szCs w:val="24"/>
        </w:rPr>
      </w:pPr>
      <w:bookmarkStart w:id="246" w:name="_Toc85660258"/>
      <w:bookmarkStart w:id="247" w:name="_Toc85632490"/>
      <w:r>
        <w:rPr>
          <w:rFonts w:hint="eastAsia" w:cs="Times New Roman"/>
        </w:rPr>
        <w:t>6.5</w:t>
      </w:r>
      <w:r>
        <w:rPr>
          <w:rFonts w:cs="Times New Roman"/>
        </w:rPr>
        <w:t>.4  复垦措施</w:t>
      </w:r>
      <w:bookmarkEnd w:id="246"/>
      <w:bookmarkEnd w:id="247"/>
    </w:p>
    <w:p>
      <w:pPr>
        <w:spacing w:line="460" w:lineRule="exact"/>
        <w:ind w:firstLine="480" w:firstLineChars="200"/>
        <w:rPr>
          <w:rFonts w:hint="eastAsia" w:cs="Times New Roman"/>
          <w:snapToGrid w:val="0"/>
          <w:kern w:val="0"/>
          <w:sz w:val="24"/>
          <w:szCs w:val="24"/>
        </w:rPr>
      </w:pPr>
      <w:r>
        <w:rPr>
          <w:rFonts w:hint="eastAsia" w:cs="Times New Roman"/>
          <w:snapToGrid w:val="0"/>
          <w:kern w:val="0"/>
          <w:sz w:val="24"/>
          <w:szCs w:val="24"/>
        </w:rPr>
        <w:t>在施工前对下库坝后施工场地及上库石料场耕园地耕作层、犁底层土壤分别进行剥离，在上水库表土堆存场就近堆存。表土堆存场表面撒播草籽，并在堆存范围外侧采用尼龙编织袋挡墙临时拦挡，排水系统利用各堆存场地已有的排水系统。</w:t>
      </w:r>
    </w:p>
    <w:p>
      <w:pPr>
        <w:spacing w:line="460" w:lineRule="exact"/>
        <w:ind w:firstLine="480" w:firstLineChars="200"/>
        <w:rPr>
          <w:rFonts w:hint="eastAsia" w:cs="Times New Roman"/>
          <w:snapToGrid w:val="0"/>
          <w:kern w:val="0"/>
          <w:sz w:val="24"/>
          <w:szCs w:val="24"/>
        </w:rPr>
      </w:pPr>
      <w:r>
        <w:rPr>
          <w:rFonts w:hint="eastAsia" w:cs="Times New Roman"/>
          <w:snapToGrid w:val="0"/>
          <w:kern w:val="0"/>
          <w:sz w:val="24"/>
          <w:szCs w:val="24"/>
        </w:rPr>
        <w:t>参考《土地复垦质量控制标准》(TD/T 1036-2013)中D.4东南沿海山地丘陵区土地复垦质量控制标准，水田覆土厚度不小于0.5m(耕作层0.3m，犁底层0.2m)，园地覆土厚度不小于0.4m(耕作层0.3m，犁底层0.1m)，林地覆土厚度不小于0.3m。为满足耕地保水保肥要求，犁底层回填后需夯实。</w:t>
      </w:r>
    </w:p>
    <w:p>
      <w:pPr>
        <w:spacing w:line="460" w:lineRule="exact"/>
        <w:ind w:firstLine="480" w:firstLineChars="200"/>
        <w:rPr>
          <w:rFonts w:hint="eastAsia" w:cs="Times New Roman"/>
          <w:snapToGrid w:val="0"/>
          <w:kern w:val="0"/>
          <w:sz w:val="24"/>
          <w:szCs w:val="24"/>
        </w:rPr>
      </w:pPr>
      <w:r>
        <w:rPr>
          <w:rFonts w:hint="eastAsia" w:cs="Times New Roman"/>
          <w:snapToGrid w:val="0"/>
          <w:kern w:val="0"/>
          <w:sz w:val="24"/>
          <w:szCs w:val="24"/>
        </w:rPr>
        <w:t>根据复垦区地形、地势，以规划沟、路为界来划分田块。田块从有利于组织排水、充分利用原有基础设施、尽可能减少土方工程量的角度进行布设。该区域弃渣后地势平坦，依据《土地整治项目规划设计规范》(TDT</w:t>
      </w:r>
      <w:r>
        <w:rPr>
          <w:rFonts w:cs="Times New Roman"/>
          <w:snapToGrid w:val="0"/>
          <w:kern w:val="0"/>
          <w:sz w:val="24"/>
          <w:szCs w:val="24"/>
        </w:rPr>
        <w:t xml:space="preserve"> </w:t>
      </w:r>
      <w:r>
        <w:rPr>
          <w:rFonts w:hint="eastAsia" w:cs="Times New Roman"/>
          <w:snapToGrid w:val="0"/>
          <w:kern w:val="0"/>
          <w:sz w:val="24"/>
          <w:szCs w:val="24"/>
        </w:rPr>
        <w:t>1012-2016)，耕作田块长边宜南北向，耕作田块宽度应考虑地形地貌、机械作业、灌溉排水等要求，宜为50m~300m。耕作田块宜外形规整，形状宜为长方形，长宽比不宜小于4:1。田埂采用土埂修筑，田埂高度在0.25m~0.4m范围内，田埂要求夯实便于田间行走，田埂顶宽30cm。每块田格之间均设田埂便于下地耕作，具体实施过程中应砌筑牢固，坎面整齐，尽量做到大弯随弯，小弯取直。</w:t>
      </w:r>
    </w:p>
    <w:p>
      <w:pPr>
        <w:spacing w:line="460" w:lineRule="exact"/>
        <w:ind w:firstLine="480" w:firstLineChars="200"/>
        <w:rPr>
          <w:rFonts w:hint="eastAsia" w:cs="Times New Roman"/>
          <w:snapToGrid w:val="0"/>
          <w:kern w:val="0"/>
          <w:sz w:val="24"/>
          <w:szCs w:val="24"/>
        </w:rPr>
      </w:pPr>
      <w:r>
        <w:rPr>
          <w:rFonts w:hint="eastAsia" w:cs="Times New Roman"/>
          <w:snapToGrid w:val="0"/>
          <w:kern w:val="0"/>
          <w:sz w:val="24"/>
          <w:szCs w:val="24"/>
        </w:rPr>
        <w:t>(1) 弃渣场</w:t>
      </w:r>
    </w:p>
    <w:p>
      <w:pPr>
        <w:spacing w:line="460" w:lineRule="exact"/>
        <w:ind w:firstLine="480" w:firstLineChars="200"/>
        <w:rPr>
          <w:rFonts w:hint="eastAsia" w:cs="Times New Roman"/>
          <w:snapToGrid w:val="0"/>
          <w:kern w:val="0"/>
          <w:sz w:val="24"/>
          <w:szCs w:val="24"/>
        </w:rPr>
      </w:pPr>
      <w:r>
        <w:rPr>
          <w:rFonts w:hint="eastAsia" w:cs="Times New Roman"/>
          <w:snapToGrid w:val="0"/>
          <w:kern w:val="0"/>
          <w:sz w:val="24"/>
          <w:szCs w:val="24"/>
        </w:rPr>
        <w:t>弃渣前由施工单位将耕作层30cm、犁底层10cm或垫层10cm粘土先行剥离，运到指定的堆场单独堆放；弃渣结束后对场地进行平整，利用开挖料回填、压实形成犁底层；将原有表层土壤回填平整，修建排水沟等配套设施。</w:t>
      </w:r>
    </w:p>
    <w:p>
      <w:pPr>
        <w:spacing w:line="460" w:lineRule="exact"/>
        <w:ind w:firstLine="480" w:firstLineChars="200"/>
        <w:rPr>
          <w:rFonts w:hint="eastAsia" w:cs="Times New Roman"/>
          <w:snapToGrid w:val="0"/>
          <w:kern w:val="0"/>
          <w:sz w:val="24"/>
          <w:szCs w:val="24"/>
        </w:rPr>
      </w:pPr>
      <w:r>
        <w:rPr>
          <w:rFonts w:hint="eastAsia" w:cs="Times New Roman"/>
          <w:snapToGrid w:val="0"/>
          <w:kern w:val="0"/>
          <w:sz w:val="24"/>
          <w:szCs w:val="24"/>
        </w:rPr>
        <w:t>(2) 临建设施、施工道路</w:t>
      </w:r>
    </w:p>
    <w:p>
      <w:pPr>
        <w:spacing w:line="460" w:lineRule="exact"/>
        <w:ind w:firstLine="480" w:firstLineChars="200"/>
        <w:rPr>
          <w:rFonts w:hint="eastAsia" w:cs="Times New Roman"/>
          <w:snapToGrid w:val="0"/>
          <w:kern w:val="0"/>
          <w:sz w:val="24"/>
          <w:szCs w:val="24"/>
        </w:rPr>
      </w:pPr>
      <w:r>
        <w:rPr>
          <w:rFonts w:hint="eastAsia" w:cs="Times New Roman"/>
          <w:snapToGrid w:val="0"/>
          <w:kern w:val="0"/>
          <w:sz w:val="24"/>
          <w:szCs w:val="24"/>
        </w:rPr>
        <w:t>耕地使用之前，由施工单位将耕作层、犁底层或垫层粘土先行剥离，运到指定的堆存场单独堆放；用地结束后将场地内的混凝土、石渣、构筑物残件、砂石骨料、油料污染土层等清除，并对场地进行平整；将原有表层耕作土回填平整，修筑田埂。</w:t>
      </w:r>
    </w:p>
    <w:p>
      <w:pPr>
        <w:spacing w:line="460" w:lineRule="exact"/>
        <w:ind w:firstLine="480" w:firstLineChars="200"/>
        <w:rPr>
          <w:rFonts w:hint="eastAsia" w:cs="Times New Roman"/>
          <w:snapToGrid w:val="0"/>
          <w:kern w:val="0"/>
          <w:sz w:val="24"/>
          <w:szCs w:val="24"/>
        </w:rPr>
      </w:pPr>
      <w:r>
        <w:rPr>
          <w:rFonts w:hint="eastAsia" w:cs="Times New Roman"/>
          <w:snapToGrid w:val="0"/>
          <w:kern w:val="0"/>
          <w:sz w:val="24"/>
          <w:szCs w:val="24"/>
        </w:rPr>
        <w:t>(3) 道路规划</w:t>
      </w:r>
    </w:p>
    <w:p>
      <w:pPr>
        <w:spacing w:line="460" w:lineRule="exact"/>
        <w:ind w:firstLine="480" w:firstLineChars="200"/>
        <w:rPr>
          <w:rFonts w:ascii="Times New Roman" w:hAnsi="Times New Roman" w:cs="Times New Roman"/>
          <w:snapToGrid w:val="0"/>
          <w:kern w:val="0"/>
          <w:sz w:val="24"/>
          <w:szCs w:val="24"/>
        </w:rPr>
      </w:pPr>
      <w:r>
        <w:rPr>
          <w:rFonts w:hint="eastAsia" w:cs="Times New Roman"/>
          <w:snapToGrid w:val="0"/>
          <w:kern w:val="0"/>
          <w:sz w:val="24"/>
          <w:szCs w:val="24"/>
        </w:rPr>
        <w:t>复垦的耕园地地块周边均有道路或临时进场路通过，可利用这些道路实现对外交通。为达到道路通达、方便农民耕作、出行的目的，对复垦为耕地的区域需设计新修部分田间道以完善道路系统，形成项目区完整的交通路网，为人工田间作业和收获农产品服务。</w:t>
      </w:r>
    </w:p>
    <w:bookmarkEnd w:id="244"/>
    <w:p>
      <w:pPr>
        <w:pStyle w:val="2"/>
        <w:rPr>
          <w:rFonts w:eastAsia="宋体"/>
          <w:kern w:val="44"/>
          <w:sz w:val="24"/>
        </w:rPr>
      </w:pPr>
      <w:r>
        <w:br w:type="page"/>
      </w:r>
      <w:bookmarkStart w:id="248" w:name="_Toc90934881"/>
      <w:r>
        <w:t>7  专业项目处理</w:t>
      </w:r>
      <w:bookmarkEnd w:id="235"/>
      <w:bookmarkEnd w:id="236"/>
      <w:bookmarkEnd w:id="237"/>
      <w:bookmarkEnd w:id="238"/>
      <w:bookmarkEnd w:id="239"/>
      <w:bookmarkEnd w:id="248"/>
      <w:r>
        <w:t xml:space="preserve"> </w:t>
      </w:r>
    </w:p>
    <w:p>
      <w:pPr>
        <w:pStyle w:val="3"/>
      </w:pPr>
      <w:bookmarkStart w:id="249" w:name="_Toc86265088"/>
      <w:bookmarkStart w:id="250" w:name="_Toc24798"/>
      <w:bookmarkStart w:id="251" w:name="_Toc85660262"/>
      <w:bookmarkStart w:id="252" w:name="_Toc90934882"/>
      <w:bookmarkStart w:id="253" w:name="_Toc85487729"/>
      <w:bookmarkStart w:id="254" w:name="_Toc9031"/>
      <w:r>
        <w:t>7.</w:t>
      </w:r>
      <w:r>
        <w:rPr>
          <w:rFonts w:hint="eastAsia"/>
        </w:rPr>
        <w:t>1</w:t>
      </w:r>
      <w:r>
        <w:t xml:space="preserve">  交通运输工程</w:t>
      </w:r>
      <w:bookmarkEnd w:id="249"/>
      <w:bookmarkEnd w:id="250"/>
      <w:bookmarkEnd w:id="251"/>
      <w:bookmarkEnd w:id="252"/>
      <w:bookmarkEnd w:id="253"/>
      <w:bookmarkEnd w:id="254"/>
    </w:p>
    <w:p>
      <w:pPr>
        <w:overflowPunct w:val="0"/>
        <w:autoSpaceDE w:val="0"/>
        <w:autoSpaceDN w:val="0"/>
        <w:adjustRightInd w:val="0"/>
        <w:snapToGrid w:val="0"/>
        <w:spacing w:line="480" w:lineRule="exact"/>
        <w:ind w:firstLine="480" w:firstLineChars="200"/>
        <w:rPr>
          <w:rFonts w:hAnsi="宋体" w:cs="Times New Roman"/>
          <w:sz w:val="24"/>
        </w:rPr>
      </w:pPr>
      <w:bookmarkStart w:id="255" w:name="_Toc86265089"/>
      <w:bookmarkStart w:id="256" w:name="_Toc85660267"/>
      <w:bookmarkStart w:id="257" w:name="_Toc85487733"/>
      <w:bookmarkStart w:id="258" w:name="_Toc6712"/>
      <w:bookmarkStart w:id="259" w:name="_Toc3952"/>
      <w:r>
        <w:rPr>
          <w:rFonts w:hint="eastAsia" w:hAnsi="宋体" w:cs="Times New Roman"/>
          <w:sz w:val="24"/>
        </w:rPr>
        <w:t>受陆河抽水蓄能电站蓄水及电站枢纽建设影响，部分道路失去原有通行功能，结合移民安置规划及相关规范要求，现需对受影响的道路进行复建，道路复建的主要方式为改线新建。</w:t>
      </w:r>
    </w:p>
    <w:p>
      <w:pPr>
        <w:overflowPunct w:val="0"/>
        <w:autoSpaceDE w:val="0"/>
        <w:autoSpaceDN w:val="0"/>
        <w:adjustRightInd w:val="0"/>
        <w:snapToGrid w:val="0"/>
        <w:spacing w:line="480" w:lineRule="exact"/>
        <w:ind w:firstLine="480" w:firstLineChars="200"/>
        <w:rPr>
          <w:rFonts w:hAnsi="宋体" w:cs="Times New Roman"/>
          <w:sz w:val="24"/>
        </w:rPr>
      </w:pPr>
      <w:r>
        <w:rPr>
          <w:rFonts w:hint="eastAsia" w:hAnsi="宋体" w:cs="Times New Roman"/>
          <w:sz w:val="24"/>
        </w:rPr>
        <w:t>本次陆河抽水蓄能电站交通运输工程规划复建道路1条，四级公路(</w:t>
      </w:r>
      <w:r>
        <w:rPr>
          <w:rFonts w:hint="eastAsia" w:hAnsi="Times New Roman" w:cs="Times New Roman"/>
          <w:sz w:val="24"/>
        </w:rPr>
        <w:t>Ⅱ</w:t>
      </w:r>
      <w:r>
        <w:rPr>
          <w:rFonts w:hint="eastAsia" w:hAnsi="宋体" w:cs="Times New Roman"/>
          <w:sz w:val="24"/>
        </w:rPr>
        <w:t>类)，路线长度约2.5km。</w:t>
      </w:r>
    </w:p>
    <w:p>
      <w:pPr>
        <w:pStyle w:val="4"/>
        <w:rPr>
          <w:rFonts w:cs="Times New Roman"/>
        </w:rPr>
      </w:pPr>
      <w:bookmarkStart w:id="260" w:name="_Toc85487730"/>
      <w:bookmarkStart w:id="261" w:name="_Toc85660263"/>
      <w:bookmarkStart w:id="262" w:name="_Toc85632495"/>
      <w:r>
        <w:rPr>
          <w:rFonts w:cs="Times New Roman"/>
        </w:rPr>
        <w:t>7.</w:t>
      </w:r>
      <w:r>
        <w:rPr>
          <w:rFonts w:hint="eastAsia" w:cs="Times New Roman"/>
        </w:rPr>
        <w:t>1</w:t>
      </w:r>
      <w:r>
        <w:rPr>
          <w:rFonts w:cs="Times New Roman"/>
        </w:rPr>
        <w:t xml:space="preserve">.1  </w:t>
      </w:r>
      <w:bookmarkEnd w:id="260"/>
      <w:r>
        <w:rPr>
          <w:rFonts w:hint="eastAsia" w:cs="Times New Roman"/>
        </w:rPr>
        <w:t>复建等级公路</w:t>
      </w:r>
      <w:bookmarkEnd w:id="261"/>
      <w:bookmarkEnd w:id="262"/>
    </w:p>
    <w:p>
      <w:pPr>
        <w:overflowPunct w:val="0"/>
        <w:autoSpaceDE w:val="0"/>
        <w:autoSpaceDN w:val="0"/>
        <w:adjustRightInd w:val="0"/>
        <w:snapToGrid w:val="0"/>
        <w:spacing w:line="480" w:lineRule="exact"/>
        <w:ind w:firstLine="480" w:firstLineChars="200"/>
        <w:rPr>
          <w:rFonts w:hAnsi="宋体" w:cs="Times New Roman"/>
        </w:rPr>
      </w:pPr>
      <w:r>
        <w:rPr>
          <w:rFonts w:hAnsi="宋体" w:cs="Times New Roman"/>
          <w:sz w:val="24"/>
        </w:rPr>
        <w:t>Y850</w:t>
      </w:r>
      <w:r>
        <w:rPr>
          <w:rFonts w:hint="eastAsia" w:hAnsi="宋体" w:cs="Times New Roman"/>
          <w:sz w:val="24"/>
        </w:rPr>
        <w:t>(揭紫公路)受陆河抽水蓄能电站蓄水影响，部分路段被淹没、阻断。为保证原有道路通行能力，拟复建</w:t>
      </w:r>
      <w:r>
        <w:rPr>
          <w:rFonts w:hAnsi="宋体" w:cs="Times New Roman"/>
          <w:sz w:val="24"/>
        </w:rPr>
        <w:t>Y850</w:t>
      </w:r>
      <w:r>
        <w:rPr>
          <w:rFonts w:hint="eastAsia" w:hAnsi="宋体" w:cs="Times New Roman"/>
          <w:sz w:val="24"/>
        </w:rPr>
        <w:t>。经核实被征地影响的局部路段纵坡达到了</w:t>
      </w:r>
      <w:r>
        <w:rPr>
          <w:rFonts w:hAnsi="宋体" w:cs="Times New Roman"/>
          <w:sz w:val="24"/>
        </w:rPr>
        <w:t>12%</w:t>
      </w:r>
      <w:r>
        <w:rPr>
          <w:rFonts w:hint="eastAsia" w:hAnsi="宋体" w:cs="Times New Roman"/>
          <w:sz w:val="24"/>
        </w:rPr>
        <w:t>以上，达不到《公路工程技术标准》</w:t>
      </w:r>
      <w:r>
        <w:rPr>
          <w:rFonts w:hint="eastAsia" w:cs="Times New Roman"/>
          <w:sz w:val="24"/>
        </w:rPr>
        <w:t>(</w:t>
      </w:r>
      <w:r>
        <w:rPr>
          <w:rFonts w:hAnsi="宋体" w:cs="Times New Roman"/>
          <w:sz w:val="24"/>
        </w:rPr>
        <w:t>JTG B01-2014</w:t>
      </w:r>
      <w:r>
        <w:rPr>
          <w:rFonts w:hint="eastAsia" w:cs="Times New Roman"/>
          <w:sz w:val="24"/>
        </w:rPr>
        <w:t>)</w:t>
      </w:r>
      <w:r>
        <w:rPr>
          <w:rFonts w:hint="eastAsia" w:hAnsi="宋体" w:cs="Times New Roman"/>
          <w:sz w:val="24"/>
        </w:rPr>
        <w:t>中四级公路技术指标，因此套用《小交通量农村公路工程技术标椎》</w:t>
      </w:r>
      <w:r>
        <w:rPr>
          <w:rFonts w:hAnsi="宋体" w:cs="Times New Roman"/>
          <w:sz w:val="24"/>
        </w:rPr>
        <w:t>(JTG 2111-2019)</w:t>
      </w:r>
      <w:r>
        <w:rPr>
          <w:rFonts w:hint="eastAsia" w:hAnsi="宋体" w:cs="Times New Roman"/>
          <w:sz w:val="24"/>
        </w:rPr>
        <w:t>对征地影响路段进行复建。路线起点位于</w:t>
      </w:r>
      <w:r>
        <w:rPr>
          <w:rFonts w:hAnsi="宋体" w:cs="Times New Roman"/>
          <w:sz w:val="24"/>
        </w:rPr>
        <w:t>X140</w:t>
      </w:r>
      <w:r>
        <w:rPr>
          <w:rFonts w:hint="eastAsia" w:hAnsi="宋体" w:cs="Times New Roman"/>
          <w:sz w:val="24"/>
        </w:rPr>
        <w:t>县道上激石溪村委往西</w:t>
      </w:r>
      <w:r>
        <w:rPr>
          <w:rFonts w:hAnsi="宋体" w:cs="Times New Roman"/>
          <w:sz w:val="24"/>
        </w:rPr>
        <w:t>2.1km</w:t>
      </w:r>
      <w:r>
        <w:rPr>
          <w:rFonts w:hint="eastAsia" w:hAnsi="宋体" w:cs="Times New Roman"/>
          <w:sz w:val="24"/>
        </w:rPr>
        <w:t>附近，终点位于</w:t>
      </w:r>
      <w:r>
        <w:rPr>
          <w:rFonts w:hAnsi="宋体" w:cs="Times New Roman"/>
          <w:sz w:val="24"/>
        </w:rPr>
        <w:t>Y850</w:t>
      </w:r>
      <w:r>
        <w:rPr>
          <w:rFonts w:hint="eastAsia" w:hAnsi="宋体" w:cs="Times New Roman"/>
          <w:sz w:val="24"/>
        </w:rPr>
        <w:t>原道路与电站征地边界</w:t>
      </w:r>
      <w:r>
        <w:rPr>
          <w:rFonts w:hAnsi="宋体" w:cs="Times New Roman"/>
          <w:sz w:val="24"/>
        </w:rPr>
        <w:t>0.2km</w:t>
      </w:r>
      <w:r>
        <w:rPr>
          <w:rFonts w:hint="eastAsia" w:hAnsi="宋体" w:cs="Times New Roman"/>
          <w:sz w:val="24"/>
        </w:rPr>
        <w:t>附近。复建公路技术标准主要依据“三原”原则确定，其中：道路总长约</w:t>
      </w:r>
      <w:r>
        <w:rPr>
          <w:rFonts w:hAnsi="宋体" w:cs="Times New Roman"/>
          <w:sz w:val="24"/>
        </w:rPr>
        <w:t>2.5km</w:t>
      </w:r>
      <w:r>
        <w:rPr>
          <w:rFonts w:hint="eastAsia" w:hAnsi="宋体" w:cs="Times New Roman"/>
          <w:sz w:val="24"/>
        </w:rPr>
        <w:t>，道路等级为四级公路（Ⅱ类）单车道，设计速度为</w:t>
      </w:r>
      <w:r>
        <w:rPr>
          <w:rFonts w:hAnsi="宋体" w:cs="Times New Roman"/>
          <w:sz w:val="24"/>
        </w:rPr>
        <w:t>15km/h</w:t>
      </w:r>
      <w:r>
        <w:rPr>
          <w:rFonts w:hint="eastAsia" w:hAnsi="宋体" w:cs="Times New Roman"/>
          <w:sz w:val="24"/>
        </w:rPr>
        <w:t>，路面宽度</w:t>
      </w:r>
      <w:r>
        <w:rPr>
          <w:rFonts w:hAnsi="宋体" w:cs="Times New Roman"/>
          <w:sz w:val="24"/>
        </w:rPr>
        <w:t>3.5m</w:t>
      </w:r>
      <w:r>
        <w:rPr>
          <w:rFonts w:hint="eastAsia" w:hAnsi="宋体" w:cs="Times New Roman"/>
          <w:sz w:val="24"/>
        </w:rPr>
        <w:t>，路基宽度</w:t>
      </w:r>
      <w:r>
        <w:rPr>
          <w:rFonts w:hAnsi="宋体" w:cs="Times New Roman"/>
          <w:sz w:val="24"/>
        </w:rPr>
        <w:t>4.5m</w:t>
      </w:r>
      <w:r>
        <w:rPr>
          <w:rFonts w:hint="eastAsia" w:hAnsi="宋体" w:cs="Times New Roman"/>
          <w:sz w:val="24"/>
        </w:rPr>
        <w:t>，路面类型为水泥混凝土，汽车荷载等级公路—Ⅱ级。</w:t>
      </w:r>
    </w:p>
    <w:p>
      <w:pPr>
        <w:overflowPunct w:val="0"/>
        <w:autoSpaceDE w:val="0"/>
        <w:autoSpaceDN w:val="0"/>
        <w:adjustRightInd w:val="0"/>
        <w:snapToGrid w:val="0"/>
        <w:spacing w:line="480" w:lineRule="exact"/>
        <w:ind w:firstLine="480" w:firstLineChars="200"/>
        <w:rPr>
          <w:rFonts w:hAnsi="宋体" w:cs="Times New Roman"/>
          <w:b w:val="0"/>
          <w:bCs w:val="0"/>
          <w:sz w:val="24"/>
        </w:rPr>
      </w:pPr>
      <w:r>
        <w:rPr>
          <w:rFonts w:hint="eastAsia" w:hAnsi="宋体" w:cs="Times New Roman"/>
          <w:sz w:val="24"/>
        </w:rPr>
        <w:t>交通工程具体信息详见附图《陆河抽水蓄能电站库区交通复建总体规划示意图》。</w:t>
      </w:r>
    </w:p>
    <w:p>
      <w:pPr>
        <w:pStyle w:val="4"/>
        <w:rPr>
          <w:rFonts w:cs="Times New Roman"/>
        </w:rPr>
      </w:pPr>
      <w:bookmarkStart w:id="263" w:name="_Toc85632498"/>
      <w:bookmarkStart w:id="264" w:name="_Toc85660266"/>
      <w:r>
        <w:rPr>
          <w:rFonts w:cs="Times New Roman"/>
        </w:rPr>
        <w:t>7.</w:t>
      </w:r>
      <w:r>
        <w:rPr>
          <w:rFonts w:hint="eastAsia" w:cs="Times New Roman"/>
        </w:rPr>
        <w:t>1.2</w:t>
      </w:r>
      <w:r>
        <w:rPr>
          <w:rFonts w:cs="Times New Roman"/>
        </w:rPr>
        <w:t xml:space="preserve">  </w:t>
      </w:r>
      <w:r>
        <w:rPr>
          <w:rFonts w:hint="eastAsia" w:cs="Times New Roman"/>
        </w:rPr>
        <w:t>一次性货币补偿</w:t>
      </w:r>
      <w:bookmarkEnd w:id="263"/>
      <w:bookmarkEnd w:id="264"/>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(1) Y850征地范围内的5条相关支路，总长度约1.00km，因该区域范围内三江口水电站、生产厂房、居民住宅、养殖场等建筑在电站建设过程中被淹没并将做货币补偿，这些区域内受影响的道路再无复建的必要，同时这些受影响的道路权属为集体，考虑采用货币补偿方式。</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(2) Y850大沥唇水电站路口~坪田水电站征地影响路段，总长度约0.23km，因该路段为水电站专用路，其所服务的坪田水电站因征地影响已失去功能并将做货币补偿，该路段再无复建的必要，同时这些受影响的道路权属为集体，考虑采用货币补偿方式。</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(3) 激上线路口~上、下坪田水库路段及该路段相关支路，总长度约</w:t>
      </w:r>
      <w:r>
        <w:rPr>
          <w:rFonts w:hAnsi="宋体" w:cs="Times New Roman"/>
          <w:sz w:val="24"/>
        </w:rPr>
        <w:t>3.</w:t>
      </w:r>
      <w:r>
        <w:rPr>
          <w:rFonts w:hint="eastAsia" w:hAnsi="宋体" w:cs="Times New Roman"/>
          <w:sz w:val="24"/>
        </w:rPr>
        <w:t>05km，受电站建设征地影响，该路段以及该路段衔接的2条支路失去通车行人功能，且区域内受影响的道路再无复建必要，同时这些受影响道路权属单位为集体，考虑采用货币补偿方式。</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(4) 激上线路口(K1+460)~上、下坪田水库路段及该路段3条相关支路，总长度约</w:t>
      </w:r>
      <w:r>
        <w:rPr>
          <w:rFonts w:hAnsi="宋体" w:cs="Times New Roman"/>
          <w:sz w:val="24"/>
        </w:rPr>
        <w:t>4.3</w:t>
      </w:r>
      <w:r>
        <w:rPr>
          <w:rFonts w:hint="eastAsia" w:hAnsi="宋体" w:cs="Times New Roman"/>
          <w:sz w:val="24"/>
        </w:rPr>
        <w:t>3km，受电站建设征地影响，该路段以及该路段衔接的2条支路失去通车行人功能，且区域内受影响的道路再无复建必要，同时这些受影响道路权属单位为集体，考虑采用货币补偿方式。</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(5) 电站建设征地影响范围内的3条零散道路，总长度约2.95km，均失去原有通车行人的能力，但区域内受影响的道路再无复建必要，同时这些受影响道路权属单位为集体，考虑采用货币补偿方式。</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交通复建与补偿工程具体信息</w:t>
      </w:r>
      <w:r>
        <w:rPr>
          <w:rFonts w:hAnsi="宋体" w:cs="Times New Roman"/>
          <w:sz w:val="24"/>
        </w:rPr>
        <w:t>详见</w:t>
      </w:r>
      <w:r>
        <w:rPr>
          <w:rFonts w:hint="eastAsia" w:hAnsi="宋体" w:cs="Times New Roman"/>
          <w:sz w:val="24"/>
        </w:rPr>
        <w:t>附图</w:t>
      </w:r>
      <w:r>
        <w:rPr>
          <w:rFonts w:hAnsi="宋体" w:cs="Times New Roman"/>
          <w:sz w:val="24"/>
        </w:rPr>
        <w:t>《</w:t>
      </w:r>
      <w:r>
        <w:rPr>
          <w:rFonts w:hint="eastAsia" w:hAnsi="宋体" w:cs="Times New Roman"/>
          <w:sz w:val="24"/>
        </w:rPr>
        <w:t>陆河抽水蓄能电站库区交通复建总体规划示意图</w:t>
      </w:r>
      <w:r>
        <w:rPr>
          <w:rFonts w:hAnsi="宋体" w:cs="Times New Roman"/>
          <w:sz w:val="24"/>
        </w:rPr>
        <w:t>》</w:t>
      </w:r>
      <w:r>
        <w:rPr>
          <w:rFonts w:hint="eastAsia" w:hAnsi="宋体" w:cs="Times New Roman"/>
          <w:sz w:val="24"/>
        </w:rPr>
        <w:t>。</w:t>
      </w:r>
    </w:p>
    <w:p>
      <w:pPr>
        <w:pStyle w:val="3"/>
      </w:pPr>
      <w:bookmarkStart w:id="265" w:name="_Toc90934883"/>
      <w:r>
        <w:t>7.</w:t>
      </w:r>
      <w:r>
        <w:rPr>
          <w:rFonts w:hint="eastAsia"/>
        </w:rPr>
        <w:t>2</w:t>
      </w:r>
      <w:r>
        <w:t xml:space="preserve">  水利</w:t>
      </w:r>
      <w:r>
        <w:rPr>
          <w:rFonts w:hint="eastAsia"/>
        </w:rPr>
        <w:t>水电</w:t>
      </w:r>
      <w:r>
        <w:t>工程</w:t>
      </w:r>
      <w:bookmarkEnd w:id="255"/>
      <w:bookmarkEnd w:id="256"/>
      <w:bookmarkEnd w:id="257"/>
      <w:bookmarkEnd w:id="265"/>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陆河抽水蓄能电站建成后，上库区建设将会淹没上坪田水库和下坪田水库，破坏大沥唇电站发电的主要水源，而公路区的建设将破坏输水设施；下库区将会淹没三江口水电站的场区，下库区和进场路的建设将会破坏输水设施；下库区将会淹没三坑水电站的场区，下库区和进场路的建设将会破坏输水设施；上库区建设将会淹没上坪田水库和下坪田水库，破坏坪田电站发电的水源，而公路区的建设将破坏输水设施；下库区建设将会淹没三江口水电站厂房，因此激石溪老区水电站的主要发电水源水源将被淹没。</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根据建设征地影响程度和附近地形条件，无条件对上述五座水电站的厂区和发电水源进行复建，拟对三江口水电站、三坑水电站、坪田水电站以及大沥唇水电站和激石溪老区水电站由于水量减少而损失的装机容量均按以下方法采取一次性货币补偿处理。</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(1) 工程类比法：工程类比法应在手机邻近同类工程设计、造价等资料的基础上，分析建设征地影响水电工程的单位千瓦费用，并按装机容量确定补偿方案。</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(2) 补偿评估法：补偿评估法应按现行行业标准《水电工程建设征地企业处理规划设计规范》NB/T 10605的有关规定执行。</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通过两方案计算成果对比分析，合理确定各小水电站的补偿费用。各小水电站权属单位负责原有的职工安置及其它相关的费用支出。</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陆河抽水蓄能电站总装机容量1400MW，电站运行方式取决于电力系统需求，接受广东电网调度中心统一调度，随时进行调峰、填谷和调频、调相以及紧急事故备用等功能运行。电站发电库容891万m</w:t>
      </w:r>
      <w:r>
        <w:rPr>
          <w:rFonts w:hAnsi="宋体" w:cs="Times New Roman"/>
          <w:sz w:val="24"/>
          <w:vertAlign w:val="superscript"/>
        </w:rPr>
        <w:t>3</w:t>
      </w:r>
      <w:r>
        <w:rPr>
          <w:rFonts w:hint="eastAsia" w:hAnsi="宋体" w:cs="Times New Roman"/>
          <w:sz w:val="24"/>
        </w:rPr>
        <w:t>，设计满发小时数9h。</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广东电网夏季8月统调日负荷一般呈现三个高峰，分别出现在上午的10~11点、下午的14~17点以及晚上的20~21点，日最高负荷一般出现在早高峰10~11点；日最低负荷则出现在早上的6点~7点。广东电网冬季12月份日负荷也呈现三个高峰，一般在上午的10~11点、下午的15点~17点以及晚上的19~21点，日最高负荷一般出现在早高峰10~11点；日最低负荷则一般出现在早上的4~5点。一般情况下电站以日调节方式运行，一天内完成一次抽水和发电过程，利用夜间用电低谷时间(23:00~08:00)作抽水填谷运行，并根据电网要求在白天用电高峰期发电运行，发挥电站调峰作用，陆河抽水蓄能电站可随时根据电网要求进行调频、调相运行。</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上、下水库均不承担综合利用任务，正常运行期间为改善水库主坝下游生态环境，在下水库坝址处设置放空洞泄放生态流量，按多年平均径流量的10%泄放生态流量用水，若来水少于多年平均流量10%，则按来水量泄放。上、下水库的来水，除弥补蒸发渗漏、生态环境放水之外，多余的天然径流通过下水库的泄放设施下泄。</w:t>
      </w:r>
    </w:p>
    <w:p>
      <w:pPr>
        <w:overflowPunct w:val="0"/>
        <w:autoSpaceDE w:val="0"/>
        <w:autoSpaceDN w:val="0"/>
        <w:adjustRightInd w:val="0"/>
        <w:spacing w:line="480" w:lineRule="exact"/>
        <w:ind w:firstLine="480" w:firstLineChars="200"/>
        <w:rPr>
          <w:rFonts w:hAnsi="宋体" w:cs="Times New Roman"/>
          <w:sz w:val="24"/>
        </w:rPr>
      </w:pPr>
      <w:r>
        <w:rPr>
          <w:rFonts w:hint="eastAsia" w:hAnsi="宋体" w:cs="Times New Roman"/>
          <w:sz w:val="24"/>
        </w:rPr>
        <w:t>大沥唇水电站总装机830kW，拥有一台630kW和1台200kW发电机组，其中630kW机组从位于上库区的下坪田水库取水，通过地上钢管(直径0.4m直径)输水1.51km至场区发电，200kW机组从南房水库取水，通过地上钢管(直径0.8m直径)输水0.43km至场区发电，陆河抽水蓄能电站建成后，上库区建设将会淹没上坪田水库和下坪田水库，破坏大沥唇电站发电的主要水源，而公路区的建设将破坏输水设施，因此大沥唇水电站由于上下坪田水库被淹没而损失的装机容量为630kW，本次设计对大沥唇水电站由于发电水源被淹没而损失的装机容量按上述方法采取一次性货币补偿处理</w:t>
      </w:r>
    </w:p>
    <w:p>
      <w:pPr>
        <w:overflowPunct w:val="0"/>
        <w:autoSpaceDE w:val="0"/>
        <w:autoSpaceDN w:val="0"/>
        <w:adjustRightInd w:val="0"/>
        <w:spacing w:line="480" w:lineRule="exact"/>
        <w:ind w:firstLine="480" w:firstLineChars="200"/>
        <w:rPr>
          <w:rFonts w:hAnsi="宋体" w:cs="Times New Roman"/>
          <w:spacing w:val="0"/>
          <w:sz w:val="24"/>
          <w:szCs w:val="21"/>
        </w:rPr>
      </w:pPr>
      <w:r>
        <w:rPr>
          <w:rFonts w:hint="eastAsia" w:hAnsi="宋体" w:cs="Times New Roman"/>
          <w:sz w:val="24"/>
        </w:rPr>
        <w:t>激石溪老区水电站设计发电流量为3.07m</w:t>
      </w:r>
      <w:r>
        <w:rPr>
          <w:rFonts w:hAnsi="宋体" w:cs="Times New Roman"/>
          <w:sz w:val="24"/>
          <w:vertAlign w:val="superscript"/>
        </w:rPr>
        <w:t>3</w:t>
      </w:r>
      <w:r>
        <w:rPr>
          <w:rFonts w:hint="eastAsia" w:hAnsi="宋体" w:cs="Times New Roman"/>
          <w:sz w:val="24"/>
        </w:rPr>
        <w:t>/s，被陆河抽水蓄能电站下水库淹没的主要水源为三江口电站和三坑电站的发电尾水，发电尾水流量为2.502m</w:t>
      </w:r>
      <w:r>
        <w:rPr>
          <w:rFonts w:hAnsi="宋体" w:cs="Times New Roman"/>
          <w:sz w:val="24"/>
          <w:vertAlign w:val="superscript"/>
        </w:rPr>
        <w:t>3</w:t>
      </w:r>
      <w:r>
        <w:rPr>
          <w:rFonts w:hint="eastAsia" w:hAnsi="宋体" w:cs="Times New Roman"/>
          <w:sz w:val="24"/>
        </w:rPr>
        <w:t>/s，占比81.5%，因此激石溪老区水电站由于水量减少而损失的装机容量为1200*0.815=978kW，本次设计对激石溪老区水电站由于水量减少而损失的装机容量按上述方法采取一次性货币补偿处理。</w:t>
      </w:r>
    </w:p>
    <w:bookmarkEnd w:id="258"/>
    <w:bookmarkEnd w:id="259"/>
    <w:p>
      <w:pPr>
        <w:pStyle w:val="3"/>
      </w:pPr>
      <w:bookmarkStart w:id="266" w:name="_Toc2220"/>
      <w:bookmarkStart w:id="267" w:name="_Toc24693"/>
      <w:bookmarkStart w:id="268" w:name="_Toc85660273"/>
      <w:bookmarkStart w:id="269" w:name="_Toc86265090"/>
      <w:bookmarkStart w:id="270" w:name="_Toc85487740"/>
      <w:bookmarkStart w:id="271" w:name="_Toc90934884"/>
      <w:r>
        <w:t>7.</w:t>
      </w:r>
      <w:r>
        <w:rPr>
          <w:rFonts w:hint="eastAsia"/>
        </w:rPr>
        <w:t>3</w:t>
      </w:r>
      <w:r>
        <w:t xml:space="preserve">  电力工程</w:t>
      </w:r>
      <w:bookmarkEnd w:id="266"/>
      <w:bookmarkEnd w:id="267"/>
      <w:bookmarkEnd w:id="268"/>
      <w:bookmarkEnd w:id="269"/>
      <w:bookmarkEnd w:id="270"/>
      <w:bookmarkEnd w:id="271"/>
    </w:p>
    <w:p>
      <w:pPr>
        <w:pStyle w:val="4"/>
      </w:pPr>
      <w:bookmarkStart w:id="272" w:name="_Toc85660274"/>
      <w:bookmarkStart w:id="273" w:name="_Toc85487741"/>
      <w:bookmarkStart w:id="274" w:name="_Toc85632506"/>
      <w:r>
        <w:t>7</w:t>
      </w:r>
      <w:r>
        <w:rPr>
          <w:rFonts w:hint="eastAsia"/>
        </w:rPr>
        <w:t>.3</w:t>
      </w:r>
      <w:r>
        <w:t xml:space="preserve">.1  </w:t>
      </w:r>
      <w:r>
        <w:rPr>
          <w:rFonts w:hint="eastAsia"/>
        </w:rPr>
        <w:t>电力工程规划范围</w:t>
      </w:r>
      <w:bookmarkEnd w:id="272"/>
      <w:bookmarkEnd w:id="273"/>
      <w:bookmarkEnd w:id="274"/>
    </w:p>
    <w:p>
      <w:pPr>
        <w:adjustRightInd w:val="0"/>
        <w:snapToGrid w:val="0"/>
        <w:spacing w:line="480" w:lineRule="exact"/>
        <w:ind w:firstLine="480" w:firstLineChars="200"/>
        <w:rPr>
          <w:rFonts w:hAnsi="宋体"/>
          <w:sz w:val="24"/>
        </w:rPr>
      </w:pPr>
      <w:r>
        <w:rPr>
          <w:rFonts w:hint="eastAsia"/>
          <w:sz w:val="24"/>
          <w:szCs w:val="28"/>
        </w:rPr>
        <w:t>本工程主要对受电站建设征地影响的电力设施按照原规模、原标准、恢复原功能的三原原则进行规划。</w:t>
      </w:r>
      <w:r>
        <w:rPr>
          <w:rFonts w:hint="eastAsia"/>
          <w:sz w:val="24"/>
        </w:rPr>
        <w:t>本次规划主要考虑对受</w:t>
      </w:r>
      <w:r>
        <w:rPr>
          <w:rFonts w:hint="eastAsia"/>
          <w:sz w:val="24"/>
          <w:szCs w:val="28"/>
        </w:rPr>
        <w:t>抽水蓄能电站建设影响的电力设施进行复建规划</w:t>
      </w:r>
      <w:r>
        <w:rPr>
          <w:rFonts w:hint="eastAsia"/>
          <w:sz w:val="24"/>
        </w:rPr>
        <w:t>，规划内容为：复建</w:t>
      </w:r>
      <w:r>
        <w:rPr>
          <w:sz w:val="24"/>
        </w:rPr>
        <w:t>35kV</w:t>
      </w:r>
      <w:r>
        <w:rPr>
          <w:rFonts w:hint="eastAsia"/>
          <w:sz w:val="24"/>
        </w:rPr>
        <w:t>电力线路</w:t>
      </w:r>
      <w:r>
        <w:rPr>
          <w:sz w:val="24"/>
        </w:rPr>
        <w:t>2.2km</w:t>
      </w:r>
      <w:r>
        <w:rPr>
          <w:rFonts w:hint="eastAsia"/>
          <w:sz w:val="24"/>
        </w:rPr>
        <w:t>，复建</w:t>
      </w:r>
      <w:r>
        <w:rPr>
          <w:sz w:val="24"/>
          <w:szCs w:val="28"/>
        </w:rPr>
        <w:t>10kV</w:t>
      </w:r>
      <w:r>
        <w:rPr>
          <w:rFonts w:hint="eastAsia"/>
          <w:sz w:val="24"/>
          <w:szCs w:val="28"/>
        </w:rPr>
        <w:t>电力线路</w:t>
      </w:r>
      <w:r>
        <w:rPr>
          <w:sz w:val="24"/>
          <w:szCs w:val="28"/>
        </w:rPr>
        <w:t>10.90km</w:t>
      </w:r>
      <w:r>
        <w:rPr>
          <w:rFonts w:hint="eastAsia"/>
          <w:sz w:val="24"/>
          <w:szCs w:val="28"/>
        </w:rPr>
        <w:t>，具体</w:t>
      </w:r>
      <w:r>
        <w:rPr>
          <w:rFonts w:hint="eastAsia" w:hAnsi="宋体"/>
          <w:sz w:val="24"/>
        </w:rPr>
        <w:t>详见表</w:t>
      </w:r>
      <w:r>
        <w:rPr>
          <w:sz w:val="24"/>
        </w:rPr>
        <w:t>7.</w:t>
      </w:r>
      <w:r>
        <w:rPr>
          <w:rFonts w:hint="eastAsia"/>
          <w:sz w:val="24"/>
        </w:rPr>
        <w:t>3</w:t>
      </w:r>
      <w:r>
        <w:rPr>
          <w:sz w:val="24"/>
        </w:rPr>
        <w:t>.1-1</w:t>
      </w:r>
      <w:r>
        <w:rPr>
          <w:rFonts w:hint="eastAsia" w:hAnsi="宋体"/>
          <w:sz w:val="24"/>
        </w:rPr>
        <w:t>。</w:t>
      </w:r>
    </w:p>
    <w:p>
      <w:pPr>
        <w:pStyle w:val="517"/>
      </w:pPr>
      <w:r>
        <w:rPr>
          <w:rFonts w:hint="eastAsia"/>
        </w:rPr>
        <w:t xml:space="preserve"> 表</w:t>
      </w:r>
      <w:r>
        <w:t>7.</w:t>
      </w:r>
      <w:r>
        <w:rPr>
          <w:rFonts w:hint="eastAsia"/>
        </w:rPr>
        <w:t>3</w:t>
      </w:r>
      <w:r>
        <w:t xml:space="preserve">.1-1  </w:t>
      </w:r>
      <w:r>
        <w:rPr>
          <w:rFonts w:hint="eastAsia"/>
        </w:rPr>
        <w:t>陆河抽水蓄能电站影响电力设施规划复建汇总表</w:t>
      </w:r>
    </w:p>
    <w:tbl>
      <w:tblPr>
        <w:tblStyle w:val="79"/>
        <w:tblW w:w="86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5"/>
        <w:gridCol w:w="1204"/>
        <w:gridCol w:w="923"/>
        <w:gridCol w:w="793"/>
        <w:gridCol w:w="659"/>
        <w:gridCol w:w="793"/>
        <w:gridCol w:w="981"/>
        <w:gridCol w:w="794"/>
        <w:gridCol w:w="788"/>
        <w:gridCol w:w="11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hAnsi="宋体" w:cs="Times New Roman"/>
                <w:kern w:val="0"/>
                <w:sz w:val="18"/>
                <w:szCs w:val="18"/>
              </w:rPr>
              <w:t>序号</w:t>
            </w:r>
          </w:p>
        </w:tc>
        <w:tc>
          <w:tcPr>
            <w:tcW w:w="1204" w:type="dxa"/>
            <w:vAlign w:val="center"/>
          </w:tcPr>
          <w:p>
            <w:pPr>
              <w:adjustRightInd w:val="0"/>
              <w:snapToGrid w:val="0"/>
              <w:jc w:val="center"/>
              <w:rPr>
                <w:rFonts w:cs="Times New Roman"/>
                <w:kern w:val="0"/>
                <w:sz w:val="18"/>
                <w:szCs w:val="18"/>
              </w:rPr>
            </w:pPr>
            <w:r>
              <w:rPr>
                <w:rFonts w:hAnsi="宋体" w:cs="Times New Roman"/>
                <w:kern w:val="0"/>
                <w:sz w:val="18"/>
                <w:szCs w:val="18"/>
              </w:rPr>
              <w:t>影响线路</w:t>
            </w:r>
          </w:p>
        </w:tc>
        <w:tc>
          <w:tcPr>
            <w:tcW w:w="923" w:type="dxa"/>
            <w:vAlign w:val="center"/>
          </w:tcPr>
          <w:p>
            <w:pPr>
              <w:adjustRightInd w:val="0"/>
              <w:snapToGrid w:val="0"/>
              <w:jc w:val="center"/>
              <w:rPr>
                <w:rFonts w:cs="Times New Roman"/>
                <w:kern w:val="0"/>
                <w:sz w:val="18"/>
                <w:szCs w:val="18"/>
              </w:rPr>
            </w:pPr>
            <w:r>
              <w:rPr>
                <w:rFonts w:hAnsi="宋体" w:cs="Times New Roman"/>
                <w:kern w:val="0"/>
                <w:sz w:val="18"/>
                <w:szCs w:val="18"/>
              </w:rPr>
              <w:t>杆塔号</w:t>
            </w:r>
          </w:p>
        </w:tc>
        <w:tc>
          <w:tcPr>
            <w:tcW w:w="793" w:type="dxa"/>
            <w:vAlign w:val="center"/>
          </w:tcPr>
          <w:p>
            <w:pPr>
              <w:adjustRightInd w:val="0"/>
              <w:snapToGrid w:val="0"/>
              <w:jc w:val="center"/>
              <w:rPr>
                <w:rFonts w:cs="Times New Roman"/>
                <w:kern w:val="0"/>
                <w:sz w:val="18"/>
                <w:szCs w:val="18"/>
              </w:rPr>
            </w:pPr>
            <w:r>
              <w:rPr>
                <w:rFonts w:hAnsi="宋体" w:cs="Times New Roman"/>
                <w:kern w:val="0"/>
                <w:sz w:val="18"/>
                <w:szCs w:val="18"/>
              </w:rPr>
              <w:t>导线</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杆塔</w:t>
            </w:r>
          </w:p>
        </w:tc>
        <w:tc>
          <w:tcPr>
            <w:tcW w:w="793" w:type="dxa"/>
            <w:vAlign w:val="center"/>
          </w:tcPr>
          <w:p>
            <w:pPr>
              <w:adjustRightInd w:val="0"/>
              <w:snapToGrid w:val="0"/>
              <w:jc w:val="center"/>
              <w:rPr>
                <w:rFonts w:cs="Times New Roman"/>
                <w:kern w:val="0"/>
                <w:sz w:val="18"/>
                <w:szCs w:val="18"/>
              </w:rPr>
            </w:pPr>
            <w:r>
              <w:rPr>
                <w:rFonts w:hAnsi="宋体" w:cs="Times New Roman"/>
                <w:kern w:val="0"/>
                <w:sz w:val="18"/>
                <w:szCs w:val="18"/>
              </w:rPr>
              <w:t>影响长度</w:t>
            </w:r>
          </w:p>
          <w:p>
            <w:pPr>
              <w:adjustRightInd w:val="0"/>
              <w:snapToGrid w:val="0"/>
              <w:jc w:val="center"/>
              <w:rPr>
                <w:rFonts w:cs="Times New Roman"/>
                <w:kern w:val="0"/>
                <w:sz w:val="18"/>
                <w:szCs w:val="18"/>
              </w:rPr>
            </w:pPr>
            <w:r>
              <w:rPr>
                <w:rFonts w:cs="Times New Roman"/>
                <w:kern w:val="0"/>
                <w:sz w:val="18"/>
                <w:szCs w:val="18"/>
              </w:rPr>
              <w:t>(km)</w:t>
            </w:r>
          </w:p>
        </w:tc>
        <w:tc>
          <w:tcPr>
            <w:tcW w:w="981" w:type="dxa"/>
            <w:vAlign w:val="center"/>
          </w:tcPr>
          <w:p>
            <w:pPr>
              <w:adjustRightInd w:val="0"/>
              <w:snapToGrid w:val="0"/>
              <w:jc w:val="center"/>
              <w:rPr>
                <w:rFonts w:cs="Times New Roman"/>
                <w:kern w:val="0"/>
                <w:sz w:val="18"/>
                <w:szCs w:val="18"/>
              </w:rPr>
            </w:pPr>
            <w:r>
              <w:rPr>
                <w:rFonts w:hAnsi="宋体" w:cs="Times New Roman"/>
                <w:kern w:val="0"/>
                <w:sz w:val="18"/>
                <w:szCs w:val="18"/>
              </w:rPr>
              <w:t>复建导线</w:t>
            </w:r>
          </w:p>
        </w:tc>
        <w:tc>
          <w:tcPr>
            <w:tcW w:w="794" w:type="dxa"/>
            <w:vAlign w:val="center"/>
          </w:tcPr>
          <w:p>
            <w:pPr>
              <w:adjustRightInd w:val="0"/>
              <w:snapToGrid w:val="0"/>
              <w:jc w:val="center"/>
              <w:rPr>
                <w:rFonts w:cs="Times New Roman"/>
                <w:kern w:val="0"/>
                <w:sz w:val="18"/>
                <w:szCs w:val="18"/>
              </w:rPr>
            </w:pPr>
            <w:r>
              <w:rPr>
                <w:rFonts w:hAnsi="宋体" w:cs="Times New Roman"/>
                <w:kern w:val="0"/>
                <w:sz w:val="18"/>
                <w:szCs w:val="18"/>
              </w:rPr>
              <w:t>复建长度</w:t>
            </w:r>
          </w:p>
          <w:p>
            <w:pPr>
              <w:adjustRightInd w:val="0"/>
              <w:snapToGrid w:val="0"/>
              <w:jc w:val="center"/>
              <w:rPr>
                <w:rFonts w:cs="Times New Roman"/>
                <w:kern w:val="0"/>
                <w:sz w:val="18"/>
                <w:szCs w:val="18"/>
              </w:rPr>
            </w:pPr>
            <w:r>
              <w:rPr>
                <w:rFonts w:cs="Times New Roman"/>
                <w:kern w:val="0"/>
                <w:sz w:val="18"/>
                <w:szCs w:val="18"/>
              </w:rPr>
              <w:t>(km)</w:t>
            </w: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权属单位</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Merge w:val="restart"/>
            <w:vAlign w:val="center"/>
          </w:tcPr>
          <w:p>
            <w:pPr>
              <w:adjustRightInd w:val="0"/>
              <w:snapToGrid w:val="0"/>
              <w:jc w:val="center"/>
              <w:rPr>
                <w:rFonts w:cs="Times New Roman"/>
                <w:kern w:val="0"/>
                <w:sz w:val="18"/>
                <w:szCs w:val="18"/>
              </w:rPr>
            </w:pPr>
            <w:r>
              <w:rPr>
                <w:rFonts w:cs="Times New Roman"/>
                <w:kern w:val="0"/>
                <w:sz w:val="18"/>
                <w:szCs w:val="18"/>
              </w:rPr>
              <w:t>1</w:t>
            </w:r>
          </w:p>
        </w:tc>
        <w:tc>
          <w:tcPr>
            <w:tcW w:w="1204" w:type="dxa"/>
            <w:vMerge w:val="restart"/>
            <w:vAlign w:val="center"/>
          </w:tcPr>
          <w:p>
            <w:pPr>
              <w:adjustRightInd w:val="0"/>
              <w:snapToGrid w:val="0"/>
              <w:jc w:val="center"/>
              <w:rPr>
                <w:rFonts w:cs="Times New Roman"/>
                <w:kern w:val="0"/>
                <w:sz w:val="18"/>
                <w:szCs w:val="18"/>
              </w:rPr>
            </w:pPr>
            <w:r>
              <w:rPr>
                <w:rFonts w:hAnsi="宋体" w:cs="Times New Roman"/>
                <w:kern w:val="0"/>
                <w:sz w:val="18"/>
                <w:szCs w:val="18"/>
              </w:rPr>
              <w:t>合计</w:t>
            </w:r>
          </w:p>
        </w:tc>
        <w:tc>
          <w:tcPr>
            <w:tcW w:w="923" w:type="dxa"/>
            <w:vAlign w:val="center"/>
          </w:tcPr>
          <w:p>
            <w:pPr>
              <w:adjustRightInd w:val="0"/>
              <w:snapToGrid w:val="0"/>
              <w:jc w:val="center"/>
              <w:rPr>
                <w:rFonts w:cs="Times New Roman"/>
                <w:kern w:val="0"/>
                <w:sz w:val="18"/>
                <w:szCs w:val="18"/>
              </w:rPr>
            </w:pPr>
            <w:r>
              <w:rPr>
                <w:rFonts w:cs="Times New Roman"/>
                <w:kern w:val="0"/>
                <w:sz w:val="18"/>
                <w:szCs w:val="18"/>
              </w:rPr>
              <w:t>35</w:t>
            </w:r>
          </w:p>
        </w:tc>
        <w:tc>
          <w:tcPr>
            <w:tcW w:w="793" w:type="dxa"/>
            <w:vAlign w:val="center"/>
          </w:tcPr>
          <w:p>
            <w:pPr>
              <w:adjustRightInd w:val="0"/>
              <w:snapToGrid w:val="0"/>
              <w:jc w:val="center"/>
              <w:rPr>
                <w:rFonts w:cs="Times New Roman"/>
                <w:kern w:val="0"/>
                <w:sz w:val="18"/>
                <w:szCs w:val="18"/>
              </w:rPr>
            </w:pPr>
          </w:p>
        </w:tc>
        <w:tc>
          <w:tcPr>
            <w:tcW w:w="659" w:type="dxa"/>
            <w:vAlign w:val="center"/>
          </w:tcPr>
          <w:p>
            <w:pPr>
              <w:adjustRightInd w:val="0"/>
              <w:snapToGrid w:val="0"/>
              <w:jc w:val="center"/>
              <w:rPr>
                <w:rFonts w:cs="Times New Roman"/>
                <w:kern w:val="0"/>
                <w:sz w:val="18"/>
                <w:szCs w:val="18"/>
              </w:rPr>
            </w:pP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0.80</w:t>
            </w:r>
          </w:p>
        </w:tc>
        <w:tc>
          <w:tcPr>
            <w:tcW w:w="981" w:type="dxa"/>
            <w:vAlign w:val="center"/>
          </w:tcPr>
          <w:p>
            <w:pPr>
              <w:adjustRightInd w:val="0"/>
              <w:snapToGrid w:val="0"/>
              <w:jc w:val="center"/>
              <w:rPr>
                <w:rFonts w:cs="Times New Roman"/>
                <w:kern w:val="0"/>
                <w:sz w:val="18"/>
                <w:szCs w:val="18"/>
              </w:rPr>
            </w:pP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2.20</w:t>
            </w:r>
          </w:p>
        </w:tc>
        <w:tc>
          <w:tcPr>
            <w:tcW w:w="788" w:type="dxa"/>
            <w:vAlign w:val="center"/>
          </w:tcPr>
          <w:p>
            <w:pPr>
              <w:adjustRightInd w:val="0"/>
              <w:snapToGrid w:val="0"/>
              <w:jc w:val="center"/>
              <w:rPr>
                <w:rFonts w:cs="Times New Roman"/>
                <w:kern w:val="0"/>
                <w:sz w:val="18"/>
                <w:szCs w:val="18"/>
              </w:rPr>
            </w:pPr>
          </w:p>
        </w:tc>
        <w:tc>
          <w:tcPr>
            <w:tcW w:w="1190" w:type="dxa"/>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Merge w:val="continue"/>
            <w:vAlign w:val="center"/>
          </w:tcPr>
          <w:p>
            <w:pPr>
              <w:widowControl/>
              <w:adjustRightInd w:val="0"/>
              <w:snapToGrid w:val="0"/>
              <w:jc w:val="left"/>
              <w:rPr>
                <w:rFonts w:cs="Times New Roman"/>
                <w:kern w:val="0"/>
                <w:sz w:val="18"/>
                <w:szCs w:val="18"/>
              </w:rPr>
            </w:pPr>
          </w:p>
        </w:tc>
        <w:tc>
          <w:tcPr>
            <w:tcW w:w="1204" w:type="dxa"/>
            <w:vMerge w:val="continue"/>
            <w:vAlign w:val="center"/>
          </w:tcPr>
          <w:p>
            <w:pPr>
              <w:widowControl/>
              <w:adjustRightInd w:val="0"/>
              <w:snapToGrid w:val="0"/>
              <w:jc w:val="left"/>
              <w:rPr>
                <w:rFonts w:cs="Times New Roman"/>
                <w:kern w:val="0"/>
                <w:sz w:val="18"/>
                <w:szCs w:val="18"/>
              </w:rPr>
            </w:pPr>
          </w:p>
        </w:tc>
        <w:tc>
          <w:tcPr>
            <w:tcW w:w="923" w:type="dxa"/>
            <w:vAlign w:val="center"/>
          </w:tcPr>
          <w:p>
            <w:pPr>
              <w:adjustRightInd w:val="0"/>
              <w:snapToGrid w:val="0"/>
              <w:jc w:val="center"/>
              <w:rPr>
                <w:rFonts w:cs="Times New Roman"/>
                <w:kern w:val="0"/>
                <w:sz w:val="18"/>
                <w:szCs w:val="18"/>
              </w:rPr>
            </w:pPr>
            <w:r>
              <w:rPr>
                <w:rFonts w:cs="Times New Roman"/>
                <w:kern w:val="0"/>
                <w:sz w:val="18"/>
                <w:szCs w:val="18"/>
              </w:rPr>
              <w:t>10</w:t>
            </w:r>
          </w:p>
        </w:tc>
        <w:tc>
          <w:tcPr>
            <w:tcW w:w="793" w:type="dxa"/>
            <w:vAlign w:val="center"/>
          </w:tcPr>
          <w:p>
            <w:pPr>
              <w:adjustRightInd w:val="0"/>
              <w:snapToGrid w:val="0"/>
              <w:jc w:val="center"/>
              <w:rPr>
                <w:rFonts w:cs="Times New Roman"/>
                <w:kern w:val="0"/>
                <w:sz w:val="18"/>
                <w:szCs w:val="18"/>
              </w:rPr>
            </w:pPr>
          </w:p>
        </w:tc>
        <w:tc>
          <w:tcPr>
            <w:tcW w:w="659" w:type="dxa"/>
            <w:vAlign w:val="center"/>
          </w:tcPr>
          <w:p>
            <w:pPr>
              <w:adjustRightInd w:val="0"/>
              <w:snapToGrid w:val="0"/>
              <w:jc w:val="center"/>
              <w:rPr>
                <w:rFonts w:cs="Times New Roman"/>
                <w:kern w:val="0"/>
                <w:sz w:val="18"/>
                <w:szCs w:val="18"/>
              </w:rPr>
            </w:pP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10.14</w:t>
            </w:r>
          </w:p>
        </w:tc>
        <w:tc>
          <w:tcPr>
            <w:tcW w:w="981" w:type="dxa"/>
            <w:vAlign w:val="center"/>
          </w:tcPr>
          <w:p>
            <w:pPr>
              <w:adjustRightInd w:val="0"/>
              <w:snapToGrid w:val="0"/>
              <w:jc w:val="center"/>
              <w:rPr>
                <w:rFonts w:cs="Times New Roman"/>
                <w:kern w:val="0"/>
                <w:sz w:val="18"/>
                <w:szCs w:val="18"/>
              </w:rPr>
            </w:pP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10.90</w:t>
            </w:r>
          </w:p>
        </w:tc>
        <w:tc>
          <w:tcPr>
            <w:tcW w:w="788" w:type="dxa"/>
            <w:vAlign w:val="center"/>
          </w:tcPr>
          <w:p>
            <w:pPr>
              <w:adjustRightInd w:val="0"/>
              <w:snapToGrid w:val="0"/>
              <w:jc w:val="center"/>
              <w:rPr>
                <w:rFonts w:cs="Times New Roman"/>
                <w:kern w:val="0"/>
                <w:sz w:val="18"/>
                <w:szCs w:val="18"/>
              </w:rPr>
            </w:pPr>
          </w:p>
        </w:tc>
        <w:tc>
          <w:tcPr>
            <w:tcW w:w="1190" w:type="dxa"/>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Merge w:val="continue"/>
            <w:vAlign w:val="center"/>
          </w:tcPr>
          <w:p>
            <w:pPr>
              <w:widowControl/>
              <w:adjustRightInd w:val="0"/>
              <w:snapToGrid w:val="0"/>
              <w:jc w:val="left"/>
              <w:rPr>
                <w:rFonts w:cs="Times New Roman"/>
                <w:kern w:val="0"/>
                <w:sz w:val="18"/>
                <w:szCs w:val="18"/>
              </w:rPr>
            </w:pPr>
          </w:p>
        </w:tc>
        <w:tc>
          <w:tcPr>
            <w:tcW w:w="1204" w:type="dxa"/>
            <w:vMerge w:val="continue"/>
            <w:vAlign w:val="center"/>
          </w:tcPr>
          <w:p>
            <w:pPr>
              <w:widowControl/>
              <w:adjustRightInd w:val="0"/>
              <w:snapToGrid w:val="0"/>
              <w:jc w:val="left"/>
              <w:rPr>
                <w:rFonts w:cs="Times New Roman"/>
                <w:kern w:val="0"/>
                <w:sz w:val="18"/>
                <w:szCs w:val="18"/>
              </w:rPr>
            </w:pPr>
          </w:p>
        </w:tc>
        <w:tc>
          <w:tcPr>
            <w:tcW w:w="923" w:type="dxa"/>
            <w:vAlign w:val="center"/>
          </w:tcPr>
          <w:p>
            <w:pPr>
              <w:adjustRightInd w:val="0"/>
              <w:snapToGrid w:val="0"/>
              <w:jc w:val="center"/>
              <w:rPr>
                <w:rFonts w:cs="Times New Roman"/>
                <w:kern w:val="0"/>
                <w:sz w:val="18"/>
                <w:szCs w:val="18"/>
              </w:rPr>
            </w:pPr>
            <w:r>
              <w:rPr>
                <w:rFonts w:cs="Times New Roman"/>
                <w:kern w:val="0"/>
                <w:sz w:val="18"/>
                <w:szCs w:val="18"/>
              </w:rPr>
              <w:t>0.4</w:t>
            </w:r>
          </w:p>
        </w:tc>
        <w:tc>
          <w:tcPr>
            <w:tcW w:w="793" w:type="dxa"/>
            <w:vAlign w:val="center"/>
          </w:tcPr>
          <w:p>
            <w:pPr>
              <w:adjustRightInd w:val="0"/>
              <w:snapToGrid w:val="0"/>
              <w:jc w:val="center"/>
              <w:rPr>
                <w:rFonts w:cs="Times New Roman"/>
                <w:kern w:val="0"/>
                <w:sz w:val="18"/>
                <w:szCs w:val="18"/>
              </w:rPr>
            </w:pPr>
          </w:p>
        </w:tc>
        <w:tc>
          <w:tcPr>
            <w:tcW w:w="659" w:type="dxa"/>
            <w:vAlign w:val="center"/>
          </w:tcPr>
          <w:p>
            <w:pPr>
              <w:adjustRightInd w:val="0"/>
              <w:snapToGrid w:val="0"/>
              <w:jc w:val="center"/>
              <w:rPr>
                <w:rFonts w:cs="Times New Roman"/>
                <w:kern w:val="0"/>
                <w:sz w:val="18"/>
                <w:szCs w:val="18"/>
              </w:rPr>
            </w:pP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0.40</w:t>
            </w:r>
          </w:p>
        </w:tc>
        <w:tc>
          <w:tcPr>
            <w:tcW w:w="981" w:type="dxa"/>
            <w:vAlign w:val="center"/>
          </w:tcPr>
          <w:p>
            <w:pPr>
              <w:adjustRightInd w:val="0"/>
              <w:snapToGrid w:val="0"/>
              <w:jc w:val="center"/>
              <w:rPr>
                <w:rFonts w:cs="Times New Roman"/>
                <w:kern w:val="0"/>
                <w:sz w:val="18"/>
                <w:szCs w:val="18"/>
              </w:rPr>
            </w:pP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0</w:t>
            </w:r>
          </w:p>
        </w:tc>
        <w:tc>
          <w:tcPr>
            <w:tcW w:w="788" w:type="dxa"/>
            <w:vAlign w:val="center"/>
          </w:tcPr>
          <w:p>
            <w:pPr>
              <w:adjustRightInd w:val="0"/>
              <w:snapToGrid w:val="0"/>
              <w:jc w:val="center"/>
              <w:rPr>
                <w:rFonts w:cs="Times New Roman"/>
                <w:kern w:val="0"/>
                <w:sz w:val="18"/>
                <w:szCs w:val="18"/>
              </w:rPr>
            </w:pPr>
          </w:p>
        </w:tc>
        <w:tc>
          <w:tcPr>
            <w:tcW w:w="1190" w:type="dxa"/>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1</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35kV</w:t>
            </w:r>
            <w:r>
              <w:rPr>
                <w:rFonts w:hAnsi="宋体" w:cs="Times New Roman"/>
                <w:kern w:val="0"/>
                <w:sz w:val="18"/>
                <w:szCs w:val="18"/>
              </w:rPr>
              <w:t>马三线</w:t>
            </w:r>
          </w:p>
        </w:tc>
        <w:tc>
          <w:tcPr>
            <w:tcW w:w="923" w:type="dxa"/>
            <w:vAlign w:val="center"/>
          </w:tcPr>
          <w:p>
            <w:pPr>
              <w:adjustRightInd w:val="0"/>
              <w:snapToGrid w:val="0"/>
              <w:jc w:val="center"/>
              <w:rPr>
                <w:rFonts w:cs="Times New Roman"/>
                <w:kern w:val="0"/>
                <w:sz w:val="18"/>
                <w:szCs w:val="18"/>
              </w:rPr>
            </w:pPr>
            <w:r>
              <w:rPr>
                <w:rFonts w:cs="Times New Roman"/>
                <w:kern w:val="0"/>
                <w:sz w:val="18"/>
                <w:szCs w:val="18"/>
              </w:rPr>
              <w:t>#61-#64</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 xml:space="preserve">LGJ-70 </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铁塔</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0.80</w:t>
            </w:r>
          </w:p>
        </w:tc>
        <w:tc>
          <w:tcPr>
            <w:tcW w:w="981" w:type="dxa"/>
            <w:vAlign w:val="center"/>
          </w:tcPr>
          <w:p>
            <w:pPr>
              <w:adjustRightInd w:val="0"/>
              <w:snapToGrid w:val="0"/>
              <w:jc w:val="center"/>
              <w:rPr>
                <w:rFonts w:cs="Times New Roman"/>
                <w:kern w:val="0"/>
                <w:sz w:val="18"/>
                <w:szCs w:val="18"/>
              </w:rPr>
            </w:pPr>
            <w:r>
              <w:rPr>
                <w:rFonts w:cs="Times New Roman"/>
                <w:kern w:val="0"/>
                <w:sz w:val="18"/>
                <w:szCs w:val="18"/>
              </w:rPr>
              <w:t>LGJ-70</w:t>
            </w: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2.20</w:t>
            </w: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供电局</w:t>
            </w:r>
          </w:p>
        </w:tc>
        <w:tc>
          <w:tcPr>
            <w:tcW w:w="1190" w:type="dxa"/>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10kV</w:t>
            </w:r>
            <w:r>
              <w:rPr>
                <w:rFonts w:hAnsi="宋体" w:cs="Times New Roman"/>
                <w:kern w:val="0"/>
                <w:sz w:val="18"/>
                <w:szCs w:val="18"/>
              </w:rPr>
              <w:t>电力线路</w:t>
            </w:r>
          </w:p>
        </w:tc>
        <w:tc>
          <w:tcPr>
            <w:tcW w:w="923" w:type="dxa"/>
            <w:vAlign w:val="center"/>
          </w:tcPr>
          <w:p>
            <w:pPr>
              <w:adjustRightInd w:val="0"/>
              <w:snapToGrid w:val="0"/>
              <w:jc w:val="center"/>
              <w:rPr>
                <w:rFonts w:cs="Times New Roman"/>
                <w:kern w:val="0"/>
                <w:sz w:val="18"/>
                <w:szCs w:val="18"/>
              </w:rPr>
            </w:pPr>
          </w:p>
        </w:tc>
        <w:tc>
          <w:tcPr>
            <w:tcW w:w="793" w:type="dxa"/>
            <w:vAlign w:val="center"/>
          </w:tcPr>
          <w:p>
            <w:pPr>
              <w:adjustRightInd w:val="0"/>
              <w:snapToGrid w:val="0"/>
              <w:jc w:val="center"/>
              <w:rPr>
                <w:rFonts w:cs="Times New Roman"/>
                <w:kern w:val="0"/>
                <w:sz w:val="18"/>
                <w:szCs w:val="18"/>
              </w:rPr>
            </w:pPr>
          </w:p>
        </w:tc>
        <w:tc>
          <w:tcPr>
            <w:tcW w:w="659" w:type="dxa"/>
            <w:vAlign w:val="center"/>
          </w:tcPr>
          <w:p>
            <w:pPr>
              <w:adjustRightInd w:val="0"/>
              <w:snapToGrid w:val="0"/>
              <w:jc w:val="center"/>
              <w:rPr>
                <w:rFonts w:cs="Times New Roman"/>
                <w:kern w:val="0"/>
                <w:sz w:val="18"/>
                <w:szCs w:val="18"/>
              </w:rPr>
            </w:pP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10.14</w:t>
            </w:r>
          </w:p>
        </w:tc>
        <w:tc>
          <w:tcPr>
            <w:tcW w:w="981" w:type="dxa"/>
            <w:vAlign w:val="center"/>
          </w:tcPr>
          <w:p>
            <w:pPr>
              <w:adjustRightInd w:val="0"/>
              <w:snapToGrid w:val="0"/>
              <w:jc w:val="center"/>
              <w:rPr>
                <w:rFonts w:cs="Times New Roman"/>
                <w:kern w:val="0"/>
                <w:sz w:val="18"/>
                <w:szCs w:val="18"/>
              </w:rPr>
            </w:pPr>
          </w:p>
        </w:tc>
        <w:tc>
          <w:tcPr>
            <w:tcW w:w="794" w:type="dxa"/>
            <w:vAlign w:val="center"/>
          </w:tcPr>
          <w:p>
            <w:pPr>
              <w:adjustRightInd w:val="0"/>
              <w:snapToGrid w:val="0"/>
              <w:jc w:val="center"/>
              <w:rPr>
                <w:rFonts w:cs="Times New Roman"/>
                <w:kern w:val="0"/>
                <w:sz w:val="18"/>
                <w:szCs w:val="18"/>
              </w:rPr>
            </w:pPr>
          </w:p>
        </w:tc>
        <w:tc>
          <w:tcPr>
            <w:tcW w:w="788" w:type="dxa"/>
            <w:vAlign w:val="center"/>
          </w:tcPr>
          <w:p>
            <w:pPr>
              <w:adjustRightInd w:val="0"/>
              <w:snapToGrid w:val="0"/>
              <w:jc w:val="center"/>
              <w:rPr>
                <w:rFonts w:cs="Times New Roman"/>
                <w:kern w:val="0"/>
                <w:sz w:val="18"/>
                <w:szCs w:val="18"/>
              </w:rPr>
            </w:pPr>
          </w:p>
        </w:tc>
        <w:tc>
          <w:tcPr>
            <w:tcW w:w="1190" w:type="dxa"/>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2.1</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10kV</w:t>
            </w:r>
            <w:r>
              <w:rPr>
                <w:rFonts w:hAnsi="宋体" w:cs="Times New Roman"/>
                <w:kern w:val="0"/>
                <w:sz w:val="18"/>
                <w:szCs w:val="18"/>
              </w:rPr>
              <w:t>激石溪线联络支线</w:t>
            </w:r>
          </w:p>
        </w:tc>
        <w:tc>
          <w:tcPr>
            <w:tcW w:w="923" w:type="dxa"/>
            <w:vAlign w:val="center"/>
          </w:tcPr>
          <w:p>
            <w:pPr>
              <w:adjustRightInd w:val="0"/>
              <w:snapToGrid w:val="0"/>
              <w:jc w:val="center"/>
              <w:rPr>
                <w:rFonts w:cs="Times New Roman"/>
                <w:kern w:val="0"/>
                <w:sz w:val="18"/>
                <w:szCs w:val="18"/>
              </w:rPr>
            </w:pPr>
            <w:r>
              <w:rPr>
                <w:rFonts w:cs="Times New Roman"/>
                <w:kern w:val="0"/>
                <w:sz w:val="18"/>
                <w:szCs w:val="18"/>
              </w:rPr>
              <w:t>#6-#37</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LGJ-120</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水泥杆</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1.82</w:t>
            </w:r>
          </w:p>
        </w:tc>
        <w:tc>
          <w:tcPr>
            <w:tcW w:w="981" w:type="dxa"/>
            <w:vAlign w:val="center"/>
          </w:tcPr>
          <w:p>
            <w:pPr>
              <w:adjustRightInd w:val="0"/>
              <w:snapToGrid w:val="0"/>
              <w:jc w:val="center"/>
              <w:rPr>
                <w:rFonts w:cs="Times New Roman"/>
                <w:kern w:val="0"/>
                <w:sz w:val="18"/>
                <w:szCs w:val="18"/>
              </w:rPr>
            </w:pPr>
            <w:r>
              <w:rPr>
                <w:rFonts w:cs="Times New Roman"/>
                <w:kern w:val="0"/>
                <w:sz w:val="18"/>
                <w:szCs w:val="18"/>
              </w:rPr>
              <w:t>JKLGYJ-120</w:t>
            </w: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2.70</w:t>
            </w: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供电局</w:t>
            </w:r>
          </w:p>
        </w:tc>
        <w:tc>
          <w:tcPr>
            <w:tcW w:w="1190" w:type="dxa"/>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Merge w:val="restart"/>
            <w:vAlign w:val="center"/>
          </w:tcPr>
          <w:p>
            <w:pPr>
              <w:adjustRightInd w:val="0"/>
              <w:snapToGrid w:val="0"/>
              <w:jc w:val="center"/>
              <w:rPr>
                <w:rFonts w:cs="Times New Roman"/>
                <w:kern w:val="0"/>
                <w:sz w:val="18"/>
                <w:szCs w:val="18"/>
              </w:rPr>
            </w:pPr>
            <w:r>
              <w:rPr>
                <w:rFonts w:cs="Times New Roman"/>
                <w:kern w:val="0"/>
                <w:sz w:val="18"/>
                <w:szCs w:val="18"/>
              </w:rPr>
              <w:t>2.2</w:t>
            </w:r>
          </w:p>
        </w:tc>
        <w:tc>
          <w:tcPr>
            <w:tcW w:w="1204" w:type="dxa"/>
            <w:vMerge w:val="restart"/>
            <w:vAlign w:val="center"/>
          </w:tcPr>
          <w:p>
            <w:pPr>
              <w:adjustRightInd w:val="0"/>
              <w:snapToGrid w:val="0"/>
              <w:jc w:val="center"/>
              <w:rPr>
                <w:rFonts w:cs="Times New Roman"/>
                <w:kern w:val="0"/>
                <w:sz w:val="18"/>
                <w:szCs w:val="18"/>
              </w:rPr>
            </w:pPr>
            <w:r>
              <w:rPr>
                <w:rFonts w:cs="Times New Roman"/>
                <w:kern w:val="0"/>
                <w:sz w:val="18"/>
                <w:szCs w:val="18"/>
              </w:rPr>
              <w:t>10kV</w:t>
            </w:r>
            <w:r>
              <w:rPr>
                <w:rFonts w:hAnsi="宋体" w:cs="Times New Roman"/>
                <w:kern w:val="0"/>
                <w:sz w:val="18"/>
                <w:szCs w:val="18"/>
              </w:rPr>
              <w:t>上三线</w:t>
            </w:r>
          </w:p>
        </w:tc>
        <w:tc>
          <w:tcPr>
            <w:tcW w:w="923" w:type="dxa"/>
            <w:vMerge w:val="restart"/>
            <w:vAlign w:val="center"/>
          </w:tcPr>
          <w:p>
            <w:pPr>
              <w:adjustRightInd w:val="0"/>
              <w:snapToGrid w:val="0"/>
              <w:jc w:val="center"/>
              <w:rPr>
                <w:rFonts w:cs="Times New Roman"/>
                <w:kern w:val="0"/>
                <w:sz w:val="18"/>
                <w:szCs w:val="18"/>
              </w:rPr>
            </w:pPr>
            <w:r>
              <w:rPr>
                <w:rFonts w:hAnsi="宋体" w:cs="Times New Roman"/>
                <w:kern w:val="0"/>
                <w:sz w:val="18"/>
                <w:szCs w:val="18"/>
              </w:rPr>
              <w:t>上下库区段</w:t>
            </w:r>
          </w:p>
        </w:tc>
        <w:tc>
          <w:tcPr>
            <w:tcW w:w="793" w:type="dxa"/>
            <w:vMerge w:val="restart"/>
            <w:vAlign w:val="center"/>
          </w:tcPr>
          <w:p>
            <w:pPr>
              <w:adjustRightInd w:val="0"/>
              <w:snapToGrid w:val="0"/>
              <w:jc w:val="center"/>
              <w:rPr>
                <w:rFonts w:cs="Times New Roman"/>
                <w:kern w:val="0"/>
                <w:sz w:val="18"/>
                <w:szCs w:val="18"/>
              </w:rPr>
            </w:pPr>
            <w:r>
              <w:rPr>
                <w:rFonts w:cs="Times New Roman"/>
                <w:kern w:val="0"/>
                <w:sz w:val="18"/>
                <w:szCs w:val="18"/>
              </w:rPr>
              <w:t>LGJ-70</w:t>
            </w:r>
          </w:p>
        </w:tc>
        <w:tc>
          <w:tcPr>
            <w:tcW w:w="659" w:type="dxa"/>
            <w:vMerge w:val="restart"/>
            <w:vAlign w:val="center"/>
          </w:tcPr>
          <w:p>
            <w:pPr>
              <w:adjustRightInd w:val="0"/>
              <w:snapToGrid w:val="0"/>
              <w:jc w:val="center"/>
              <w:rPr>
                <w:rFonts w:cs="Times New Roman"/>
                <w:kern w:val="0"/>
                <w:sz w:val="18"/>
                <w:szCs w:val="18"/>
              </w:rPr>
            </w:pPr>
            <w:r>
              <w:rPr>
                <w:rFonts w:hAnsi="宋体" w:cs="Times New Roman"/>
                <w:kern w:val="0"/>
                <w:sz w:val="18"/>
                <w:szCs w:val="18"/>
              </w:rPr>
              <w:t>水泥杆</w:t>
            </w:r>
          </w:p>
        </w:tc>
        <w:tc>
          <w:tcPr>
            <w:tcW w:w="793" w:type="dxa"/>
            <w:vMerge w:val="restart"/>
            <w:vAlign w:val="center"/>
          </w:tcPr>
          <w:p>
            <w:pPr>
              <w:adjustRightInd w:val="0"/>
              <w:snapToGrid w:val="0"/>
              <w:jc w:val="center"/>
              <w:rPr>
                <w:rFonts w:cs="Times New Roman"/>
                <w:kern w:val="0"/>
                <w:sz w:val="18"/>
                <w:szCs w:val="18"/>
              </w:rPr>
            </w:pPr>
            <w:r>
              <w:rPr>
                <w:rFonts w:cs="Times New Roman"/>
                <w:kern w:val="0"/>
                <w:sz w:val="18"/>
                <w:szCs w:val="18"/>
              </w:rPr>
              <w:t>2.80</w:t>
            </w:r>
          </w:p>
        </w:tc>
        <w:tc>
          <w:tcPr>
            <w:tcW w:w="981" w:type="dxa"/>
            <w:vAlign w:val="center"/>
          </w:tcPr>
          <w:p>
            <w:pPr>
              <w:adjustRightInd w:val="0"/>
              <w:snapToGrid w:val="0"/>
              <w:jc w:val="center"/>
              <w:rPr>
                <w:rFonts w:cs="Times New Roman"/>
                <w:kern w:val="0"/>
                <w:sz w:val="18"/>
                <w:szCs w:val="18"/>
              </w:rPr>
            </w:pPr>
            <w:r>
              <w:rPr>
                <w:rFonts w:cs="Times New Roman"/>
                <w:kern w:val="0"/>
                <w:sz w:val="18"/>
                <w:szCs w:val="18"/>
              </w:rPr>
              <w:t>LGJ-70</w:t>
            </w: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4.00</w:t>
            </w:r>
          </w:p>
        </w:tc>
        <w:tc>
          <w:tcPr>
            <w:tcW w:w="788" w:type="dxa"/>
            <w:vMerge w:val="restart"/>
            <w:vAlign w:val="center"/>
          </w:tcPr>
          <w:p>
            <w:pPr>
              <w:adjustRightInd w:val="0"/>
              <w:snapToGrid w:val="0"/>
              <w:jc w:val="center"/>
              <w:rPr>
                <w:rFonts w:cs="Times New Roman"/>
                <w:kern w:val="0"/>
                <w:sz w:val="18"/>
                <w:szCs w:val="18"/>
              </w:rPr>
            </w:pPr>
            <w:r>
              <w:rPr>
                <w:rFonts w:hAnsi="宋体" w:cs="Times New Roman"/>
                <w:kern w:val="0"/>
                <w:sz w:val="18"/>
                <w:szCs w:val="18"/>
              </w:rPr>
              <w:t>泰源伟业</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上库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Merge w:val="continue"/>
            <w:vAlign w:val="center"/>
          </w:tcPr>
          <w:p>
            <w:pPr>
              <w:adjustRightInd w:val="0"/>
              <w:snapToGrid w:val="0"/>
              <w:jc w:val="center"/>
              <w:rPr>
                <w:rFonts w:cs="Times New Roman"/>
                <w:kern w:val="0"/>
                <w:sz w:val="18"/>
                <w:szCs w:val="18"/>
              </w:rPr>
            </w:pPr>
          </w:p>
        </w:tc>
        <w:tc>
          <w:tcPr>
            <w:tcW w:w="1204" w:type="dxa"/>
            <w:vMerge w:val="continue"/>
            <w:vAlign w:val="center"/>
          </w:tcPr>
          <w:p>
            <w:pPr>
              <w:adjustRightInd w:val="0"/>
              <w:snapToGrid w:val="0"/>
              <w:jc w:val="center"/>
              <w:rPr>
                <w:rFonts w:cs="Times New Roman"/>
                <w:kern w:val="0"/>
                <w:sz w:val="18"/>
                <w:szCs w:val="18"/>
              </w:rPr>
            </w:pPr>
          </w:p>
        </w:tc>
        <w:tc>
          <w:tcPr>
            <w:tcW w:w="923" w:type="dxa"/>
            <w:vMerge w:val="continue"/>
            <w:vAlign w:val="center"/>
          </w:tcPr>
          <w:p>
            <w:pPr>
              <w:adjustRightInd w:val="0"/>
              <w:snapToGrid w:val="0"/>
              <w:jc w:val="center"/>
              <w:rPr>
                <w:rFonts w:cs="Times New Roman"/>
                <w:kern w:val="0"/>
                <w:sz w:val="18"/>
                <w:szCs w:val="18"/>
              </w:rPr>
            </w:pPr>
          </w:p>
        </w:tc>
        <w:tc>
          <w:tcPr>
            <w:tcW w:w="793" w:type="dxa"/>
            <w:vMerge w:val="continue"/>
            <w:vAlign w:val="center"/>
          </w:tcPr>
          <w:p>
            <w:pPr>
              <w:adjustRightInd w:val="0"/>
              <w:snapToGrid w:val="0"/>
              <w:jc w:val="center"/>
              <w:rPr>
                <w:rFonts w:cs="Times New Roman"/>
                <w:kern w:val="0"/>
                <w:sz w:val="18"/>
                <w:szCs w:val="18"/>
              </w:rPr>
            </w:pPr>
          </w:p>
        </w:tc>
        <w:tc>
          <w:tcPr>
            <w:tcW w:w="659" w:type="dxa"/>
            <w:vMerge w:val="continue"/>
            <w:vAlign w:val="center"/>
          </w:tcPr>
          <w:p>
            <w:pPr>
              <w:adjustRightInd w:val="0"/>
              <w:snapToGrid w:val="0"/>
              <w:jc w:val="center"/>
              <w:rPr>
                <w:rFonts w:cs="Times New Roman"/>
                <w:kern w:val="0"/>
                <w:sz w:val="18"/>
                <w:szCs w:val="18"/>
              </w:rPr>
            </w:pPr>
          </w:p>
        </w:tc>
        <w:tc>
          <w:tcPr>
            <w:tcW w:w="793" w:type="dxa"/>
            <w:vMerge w:val="continue"/>
            <w:vAlign w:val="center"/>
          </w:tcPr>
          <w:p>
            <w:pPr>
              <w:adjustRightInd w:val="0"/>
              <w:snapToGrid w:val="0"/>
              <w:jc w:val="center"/>
              <w:rPr>
                <w:rFonts w:cs="Times New Roman"/>
                <w:kern w:val="0"/>
                <w:sz w:val="18"/>
                <w:szCs w:val="18"/>
              </w:rPr>
            </w:pPr>
          </w:p>
        </w:tc>
        <w:tc>
          <w:tcPr>
            <w:tcW w:w="981" w:type="dxa"/>
            <w:vAlign w:val="center"/>
          </w:tcPr>
          <w:p>
            <w:pPr>
              <w:adjustRightInd w:val="0"/>
              <w:snapToGrid w:val="0"/>
              <w:jc w:val="center"/>
              <w:rPr>
                <w:rFonts w:cs="Times New Roman"/>
                <w:kern w:val="0"/>
                <w:sz w:val="18"/>
                <w:szCs w:val="18"/>
              </w:rPr>
            </w:pPr>
            <w:r>
              <w:rPr>
                <w:rFonts w:cs="Times New Roman"/>
                <w:kern w:val="0"/>
                <w:sz w:val="18"/>
                <w:szCs w:val="18"/>
              </w:rPr>
              <w:t>JKLGYJ-70</w:t>
            </w: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2.00</w:t>
            </w:r>
          </w:p>
        </w:tc>
        <w:tc>
          <w:tcPr>
            <w:tcW w:w="788" w:type="dxa"/>
            <w:vMerge w:val="continue"/>
            <w:vAlign w:val="center"/>
          </w:tcPr>
          <w:p>
            <w:pPr>
              <w:adjustRightInd w:val="0"/>
              <w:snapToGrid w:val="0"/>
              <w:jc w:val="center"/>
              <w:rPr>
                <w:rFonts w:cs="Times New Roman"/>
                <w:kern w:val="0"/>
                <w:sz w:val="18"/>
                <w:szCs w:val="18"/>
              </w:rPr>
            </w:pPr>
          </w:p>
        </w:tc>
        <w:tc>
          <w:tcPr>
            <w:tcW w:w="1190" w:type="dxa"/>
            <w:vMerge w:val="restart"/>
            <w:vAlign w:val="center"/>
          </w:tcPr>
          <w:p>
            <w:pPr>
              <w:adjustRightInd w:val="0"/>
              <w:snapToGrid w:val="0"/>
              <w:jc w:val="center"/>
              <w:rPr>
                <w:rFonts w:cs="Times New Roman"/>
                <w:kern w:val="0"/>
                <w:sz w:val="18"/>
                <w:szCs w:val="18"/>
              </w:rPr>
            </w:pPr>
            <w:r>
              <w:rPr>
                <w:rFonts w:hAnsi="宋体" w:cs="Times New Roman"/>
                <w:kern w:val="0"/>
                <w:sz w:val="18"/>
                <w:szCs w:val="18"/>
              </w:rPr>
              <w:t>下库区段</w:t>
            </w:r>
          </w:p>
          <w:p>
            <w:pPr>
              <w:adjustRightInd w:val="0"/>
              <w:snapToGrid w:val="0"/>
              <w:jc w:val="center"/>
              <w:rPr>
                <w:rFonts w:cs="Times New Roman"/>
                <w:kern w:val="0"/>
                <w:sz w:val="18"/>
                <w:szCs w:val="18"/>
              </w:rPr>
            </w:pPr>
            <w:r>
              <w:rPr>
                <w:rFonts w:hAnsi="宋体" w:cs="Times New Roman"/>
                <w:kern w:val="0"/>
                <w:sz w:val="18"/>
                <w:szCs w:val="18"/>
              </w:rPr>
              <w:t>共杆复建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2.3</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10kV</w:t>
            </w:r>
            <w:r>
              <w:rPr>
                <w:rFonts w:hAnsi="宋体" w:cs="Times New Roman"/>
                <w:kern w:val="0"/>
                <w:sz w:val="18"/>
                <w:szCs w:val="18"/>
              </w:rPr>
              <w:t>上咸线</w:t>
            </w:r>
          </w:p>
        </w:tc>
        <w:tc>
          <w:tcPr>
            <w:tcW w:w="923" w:type="dxa"/>
            <w:vAlign w:val="center"/>
          </w:tcPr>
          <w:p>
            <w:pPr>
              <w:adjustRightInd w:val="0"/>
              <w:snapToGrid w:val="0"/>
              <w:jc w:val="center"/>
              <w:rPr>
                <w:rFonts w:cs="Times New Roman"/>
                <w:kern w:val="0"/>
                <w:sz w:val="18"/>
                <w:szCs w:val="18"/>
              </w:rPr>
            </w:pPr>
            <w:r>
              <w:rPr>
                <w:rFonts w:hAnsi="宋体" w:cs="Times New Roman"/>
                <w:kern w:val="0"/>
                <w:sz w:val="18"/>
                <w:szCs w:val="18"/>
              </w:rPr>
              <w:t>下库区段</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LGJ-70</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水泥杆</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0.80</w:t>
            </w:r>
          </w:p>
        </w:tc>
        <w:tc>
          <w:tcPr>
            <w:tcW w:w="981" w:type="dxa"/>
            <w:vAlign w:val="center"/>
          </w:tcPr>
          <w:p>
            <w:pPr>
              <w:adjustRightInd w:val="0"/>
              <w:snapToGrid w:val="0"/>
              <w:jc w:val="center"/>
              <w:rPr>
                <w:rFonts w:cs="Times New Roman"/>
                <w:kern w:val="0"/>
                <w:sz w:val="18"/>
                <w:szCs w:val="18"/>
              </w:rPr>
            </w:pPr>
            <w:r>
              <w:rPr>
                <w:rFonts w:cs="Times New Roman"/>
                <w:kern w:val="0"/>
                <w:sz w:val="18"/>
                <w:szCs w:val="18"/>
              </w:rPr>
              <w:t>JKLGYJ-70</w:t>
            </w: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2.00</w:t>
            </w:r>
          </w:p>
        </w:tc>
        <w:tc>
          <w:tcPr>
            <w:tcW w:w="788" w:type="dxa"/>
            <w:vMerge w:val="continue"/>
            <w:vAlign w:val="center"/>
          </w:tcPr>
          <w:p>
            <w:pPr>
              <w:adjustRightInd w:val="0"/>
              <w:snapToGrid w:val="0"/>
              <w:jc w:val="center"/>
              <w:rPr>
                <w:rFonts w:cs="Times New Roman"/>
                <w:kern w:val="0"/>
                <w:sz w:val="18"/>
                <w:szCs w:val="18"/>
              </w:rPr>
            </w:pPr>
          </w:p>
        </w:tc>
        <w:tc>
          <w:tcPr>
            <w:tcW w:w="1190" w:type="dxa"/>
            <w:vMerge w:val="continue"/>
            <w:vAlign w:val="center"/>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2.4</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10kV</w:t>
            </w:r>
            <w:r>
              <w:rPr>
                <w:rFonts w:hAnsi="宋体" w:cs="Times New Roman"/>
                <w:kern w:val="0"/>
                <w:sz w:val="18"/>
                <w:szCs w:val="18"/>
              </w:rPr>
              <w:t>深三线</w:t>
            </w:r>
          </w:p>
        </w:tc>
        <w:tc>
          <w:tcPr>
            <w:tcW w:w="923" w:type="dxa"/>
            <w:vAlign w:val="center"/>
          </w:tcPr>
          <w:p>
            <w:pPr>
              <w:adjustRightInd w:val="0"/>
              <w:snapToGrid w:val="0"/>
              <w:jc w:val="center"/>
              <w:rPr>
                <w:rFonts w:cs="Times New Roman"/>
                <w:kern w:val="0"/>
                <w:sz w:val="18"/>
                <w:szCs w:val="18"/>
              </w:rPr>
            </w:pPr>
            <w:r>
              <w:rPr>
                <w:rFonts w:hAnsi="宋体" w:cs="Times New Roman"/>
                <w:kern w:val="0"/>
                <w:sz w:val="18"/>
                <w:szCs w:val="18"/>
              </w:rPr>
              <w:t>下库枢纽</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LGJ-70</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水泥杆</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1.60</w:t>
            </w:r>
          </w:p>
        </w:tc>
        <w:tc>
          <w:tcPr>
            <w:tcW w:w="981" w:type="dxa"/>
            <w:vAlign w:val="center"/>
          </w:tcPr>
          <w:p>
            <w:pPr>
              <w:adjustRightInd w:val="0"/>
              <w:snapToGrid w:val="0"/>
              <w:jc w:val="center"/>
              <w:rPr>
                <w:rFonts w:cs="Times New Roman"/>
                <w:kern w:val="0"/>
                <w:sz w:val="18"/>
                <w:szCs w:val="18"/>
              </w:rPr>
            </w:pPr>
            <w:r>
              <w:rPr>
                <w:rFonts w:cs="Times New Roman"/>
                <w:kern w:val="0"/>
                <w:sz w:val="18"/>
                <w:szCs w:val="18"/>
              </w:rPr>
              <w:t>LGJ-70</w:t>
            </w: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0.20</w:t>
            </w: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深嘉路</w:t>
            </w:r>
          </w:p>
        </w:tc>
        <w:tc>
          <w:tcPr>
            <w:tcW w:w="1190" w:type="dxa"/>
            <w:vAlign w:val="center"/>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2.5</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10kV</w:t>
            </w:r>
            <w:r>
              <w:rPr>
                <w:rFonts w:hAnsi="宋体" w:cs="Times New Roman"/>
                <w:kern w:val="0"/>
                <w:sz w:val="18"/>
                <w:szCs w:val="18"/>
              </w:rPr>
              <w:t>老三线</w:t>
            </w:r>
          </w:p>
        </w:tc>
        <w:tc>
          <w:tcPr>
            <w:tcW w:w="923" w:type="dxa"/>
            <w:vAlign w:val="center"/>
          </w:tcPr>
          <w:p>
            <w:pPr>
              <w:adjustRightInd w:val="0"/>
              <w:snapToGrid w:val="0"/>
              <w:jc w:val="center"/>
              <w:rPr>
                <w:rFonts w:cs="Times New Roman"/>
                <w:kern w:val="0"/>
                <w:sz w:val="18"/>
                <w:szCs w:val="18"/>
              </w:rPr>
            </w:pPr>
            <w:r>
              <w:rPr>
                <w:rFonts w:hAnsi="宋体" w:cs="Times New Roman"/>
                <w:kern w:val="0"/>
                <w:sz w:val="18"/>
                <w:szCs w:val="18"/>
              </w:rPr>
              <w:t>下库枢纽</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LGJ-70</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水泥杆</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1.00</w:t>
            </w:r>
          </w:p>
        </w:tc>
        <w:tc>
          <w:tcPr>
            <w:tcW w:w="981" w:type="dxa"/>
            <w:vAlign w:val="center"/>
          </w:tcPr>
          <w:p>
            <w:pPr>
              <w:adjustRightInd w:val="0"/>
              <w:snapToGrid w:val="0"/>
              <w:jc w:val="center"/>
              <w:rPr>
                <w:rFonts w:cs="Times New Roman"/>
                <w:kern w:val="0"/>
                <w:sz w:val="18"/>
                <w:szCs w:val="18"/>
              </w:rPr>
            </w:pPr>
          </w:p>
        </w:tc>
        <w:tc>
          <w:tcPr>
            <w:tcW w:w="794" w:type="dxa"/>
            <w:vAlign w:val="center"/>
          </w:tcPr>
          <w:p>
            <w:pPr>
              <w:adjustRightInd w:val="0"/>
              <w:snapToGrid w:val="0"/>
              <w:jc w:val="center"/>
              <w:rPr>
                <w:rFonts w:cs="Times New Roman"/>
                <w:kern w:val="0"/>
                <w:sz w:val="18"/>
                <w:szCs w:val="18"/>
              </w:rPr>
            </w:pP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老区电站</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不复建，纳入小水电赔偿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2.6</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10kV</w:t>
            </w:r>
            <w:r>
              <w:rPr>
                <w:rFonts w:hAnsi="宋体" w:cs="Times New Roman"/>
                <w:kern w:val="0"/>
                <w:sz w:val="18"/>
                <w:szCs w:val="18"/>
              </w:rPr>
              <w:t>南坪线</w:t>
            </w:r>
          </w:p>
        </w:tc>
        <w:tc>
          <w:tcPr>
            <w:tcW w:w="923" w:type="dxa"/>
            <w:vAlign w:val="center"/>
          </w:tcPr>
          <w:p>
            <w:pPr>
              <w:adjustRightInd w:val="0"/>
              <w:snapToGrid w:val="0"/>
              <w:jc w:val="center"/>
              <w:rPr>
                <w:rFonts w:cs="Times New Roman"/>
                <w:kern w:val="0"/>
                <w:sz w:val="18"/>
                <w:szCs w:val="18"/>
              </w:rPr>
            </w:pPr>
            <w:r>
              <w:rPr>
                <w:rFonts w:hAnsi="宋体" w:cs="Times New Roman"/>
                <w:kern w:val="0"/>
                <w:sz w:val="18"/>
                <w:szCs w:val="18"/>
              </w:rPr>
              <w:t>连接道</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LGJ-70</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水泥杆</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0.97</w:t>
            </w:r>
          </w:p>
        </w:tc>
        <w:tc>
          <w:tcPr>
            <w:tcW w:w="981" w:type="dxa"/>
            <w:vAlign w:val="center"/>
          </w:tcPr>
          <w:p>
            <w:pPr>
              <w:adjustRightInd w:val="0"/>
              <w:snapToGrid w:val="0"/>
              <w:jc w:val="center"/>
              <w:rPr>
                <w:rFonts w:cs="Times New Roman"/>
                <w:kern w:val="0"/>
                <w:sz w:val="18"/>
                <w:szCs w:val="18"/>
              </w:rPr>
            </w:pPr>
          </w:p>
        </w:tc>
        <w:tc>
          <w:tcPr>
            <w:tcW w:w="794" w:type="dxa"/>
            <w:vAlign w:val="center"/>
          </w:tcPr>
          <w:p>
            <w:pPr>
              <w:adjustRightInd w:val="0"/>
              <w:snapToGrid w:val="0"/>
              <w:jc w:val="center"/>
              <w:rPr>
                <w:rFonts w:cs="Times New Roman"/>
                <w:kern w:val="0"/>
                <w:sz w:val="18"/>
                <w:szCs w:val="18"/>
              </w:rPr>
            </w:pP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泰源伟业</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不复建，纳入小水电赔偿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2.7</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10kV</w:t>
            </w:r>
            <w:r>
              <w:rPr>
                <w:rFonts w:hAnsi="宋体" w:cs="Times New Roman"/>
                <w:kern w:val="0"/>
                <w:sz w:val="18"/>
                <w:szCs w:val="18"/>
              </w:rPr>
              <w:t>激石溪线博背支线</w:t>
            </w:r>
          </w:p>
        </w:tc>
        <w:tc>
          <w:tcPr>
            <w:tcW w:w="923" w:type="dxa"/>
            <w:vAlign w:val="center"/>
          </w:tcPr>
          <w:p>
            <w:pPr>
              <w:adjustRightInd w:val="0"/>
              <w:snapToGrid w:val="0"/>
              <w:jc w:val="center"/>
              <w:rPr>
                <w:rFonts w:cs="Times New Roman"/>
                <w:kern w:val="0"/>
                <w:sz w:val="18"/>
                <w:szCs w:val="18"/>
              </w:rPr>
            </w:pPr>
            <w:r>
              <w:rPr>
                <w:rFonts w:cs="Times New Roman"/>
                <w:kern w:val="0"/>
                <w:sz w:val="18"/>
                <w:szCs w:val="18"/>
              </w:rPr>
              <w:t>#4-#14</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LGJ-35</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水泥杆</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1.15</w:t>
            </w:r>
          </w:p>
        </w:tc>
        <w:tc>
          <w:tcPr>
            <w:tcW w:w="981" w:type="dxa"/>
            <w:vAlign w:val="center"/>
          </w:tcPr>
          <w:p>
            <w:pPr>
              <w:adjustRightInd w:val="0"/>
              <w:snapToGrid w:val="0"/>
              <w:jc w:val="center"/>
              <w:rPr>
                <w:rFonts w:cs="Times New Roman"/>
                <w:kern w:val="0"/>
                <w:sz w:val="18"/>
                <w:szCs w:val="18"/>
              </w:rPr>
            </w:pPr>
          </w:p>
        </w:tc>
        <w:tc>
          <w:tcPr>
            <w:tcW w:w="794" w:type="dxa"/>
            <w:vAlign w:val="center"/>
          </w:tcPr>
          <w:p>
            <w:pPr>
              <w:adjustRightInd w:val="0"/>
              <w:snapToGrid w:val="0"/>
              <w:jc w:val="center"/>
              <w:rPr>
                <w:rFonts w:cs="Times New Roman"/>
                <w:kern w:val="0"/>
                <w:sz w:val="18"/>
                <w:szCs w:val="18"/>
              </w:rPr>
            </w:pP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供电局</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含一个</w:t>
            </w:r>
            <w:r>
              <w:rPr>
                <w:rFonts w:cs="Times New Roman"/>
                <w:kern w:val="0"/>
                <w:sz w:val="18"/>
                <w:szCs w:val="18"/>
              </w:rPr>
              <w:t>20kVA</w:t>
            </w:r>
            <w:r>
              <w:rPr>
                <w:rFonts w:hAnsi="宋体" w:cs="Times New Roman"/>
                <w:kern w:val="0"/>
                <w:sz w:val="18"/>
                <w:szCs w:val="18"/>
              </w:rPr>
              <w:t>的台区，已停运，不复建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2.8</w:t>
            </w:r>
          </w:p>
        </w:tc>
        <w:tc>
          <w:tcPr>
            <w:tcW w:w="1204" w:type="dxa"/>
            <w:vAlign w:val="center"/>
          </w:tcPr>
          <w:p>
            <w:pPr>
              <w:adjustRightInd w:val="0"/>
              <w:snapToGrid w:val="0"/>
              <w:jc w:val="center"/>
              <w:rPr>
                <w:rFonts w:cs="Times New Roman"/>
                <w:kern w:val="0"/>
                <w:sz w:val="18"/>
                <w:szCs w:val="18"/>
              </w:rPr>
            </w:pPr>
            <w:r>
              <w:rPr>
                <w:rFonts w:cs="Times New Roman"/>
                <w:kern w:val="0"/>
                <w:sz w:val="18"/>
                <w:szCs w:val="18"/>
              </w:rPr>
              <w:t>0.4kV</w:t>
            </w:r>
            <w:r>
              <w:rPr>
                <w:rFonts w:hAnsi="宋体" w:cs="Times New Roman"/>
                <w:kern w:val="0"/>
                <w:sz w:val="18"/>
                <w:szCs w:val="18"/>
              </w:rPr>
              <w:t>博背</w:t>
            </w:r>
          </w:p>
          <w:p>
            <w:pPr>
              <w:adjustRightInd w:val="0"/>
              <w:snapToGrid w:val="0"/>
              <w:jc w:val="center"/>
              <w:rPr>
                <w:rFonts w:cs="Times New Roman"/>
                <w:kern w:val="0"/>
                <w:sz w:val="18"/>
                <w:szCs w:val="18"/>
              </w:rPr>
            </w:pPr>
            <w:r>
              <w:rPr>
                <w:rFonts w:hAnsi="宋体" w:cs="Times New Roman"/>
                <w:kern w:val="0"/>
                <w:sz w:val="18"/>
                <w:szCs w:val="18"/>
              </w:rPr>
              <w:t>低压线</w:t>
            </w:r>
          </w:p>
        </w:tc>
        <w:tc>
          <w:tcPr>
            <w:tcW w:w="923" w:type="dxa"/>
            <w:vAlign w:val="center"/>
          </w:tcPr>
          <w:p>
            <w:pPr>
              <w:adjustRightInd w:val="0"/>
              <w:snapToGrid w:val="0"/>
              <w:jc w:val="center"/>
              <w:rPr>
                <w:rFonts w:cs="Times New Roman"/>
                <w:kern w:val="0"/>
                <w:sz w:val="18"/>
                <w:szCs w:val="18"/>
              </w:rPr>
            </w:pPr>
            <w:r>
              <w:rPr>
                <w:rFonts w:cs="Times New Roman"/>
                <w:kern w:val="0"/>
                <w:sz w:val="18"/>
                <w:szCs w:val="18"/>
              </w:rPr>
              <w:t>#1-#2</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BVV-25</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水泥杆</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0.40</w:t>
            </w:r>
          </w:p>
        </w:tc>
        <w:tc>
          <w:tcPr>
            <w:tcW w:w="981" w:type="dxa"/>
            <w:vAlign w:val="center"/>
          </w:tcPr>
          <w:p>
            <w:pPr>
              <w:adjustRightInd w:val="0"/>
              <w:snapToGrid w:val="0"/>
              <w:jc w:val="center"/>
              <w:rPr>
                <w:rFonts w:cs="Times New Roman"/>
                <w:kern w:val="0"/>
                <w:sz w:val="18"/>
                <w:szCs w:val="18"/>
              </w:rPr>
            </w:pPr>
          </w:p>
        </w:tc>
        <w:tc>
          <w:tcPr>
            <w:tcW w:w="794" w:type="dxa"/>
            <w:vAlign w:val="center"/>
          </w:tcPr>
          <w:p>
            <w:pPr>
              <w:adjustRightInd w:val="0"/>
              <w:snapToGrid w:val="0"/>
              <w:jc w:val="center"/>
              <w:rPr>
                <w:rFonts w:cs="Times New Roman"/>
                <w:kern w:val="0"/>
                <w:sz w:val="18"/>
                <w:szCs w:val="18"/>
              </w:rPr>
            </w:pP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供电局</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已停运不复建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5" w:type="dxa"/>
            <w:vAlign w:val="center"/>
          </w:tcPr>
          <w:p>
            <w:pPr>
              <w:adjustRightInd w:val="0"/>
              <w:snapToGrid w:val="0"/>
              <w:jc w:val="center"/>
              <w:rPr>
                <w:rFonts w:cs="Times New Roman"/>
                <w:kern w:val="0"/>
                <w:sz w:val="18"/>
                <w:szCs w:val="18"/>
              </w:rPr>
            </w:pPr>
            <w:r>
              <w:rPr>
                <w:rFonts w:cs="Times New Roman"/>
                <w:kern w:val="0"/>
                <w:sz w:val="18"/>
                <w:szCs w:val="18"/>
              </w:rPr>
              <w:t>2.9</w:t>
            </w:r>
          </w:p>
        </w:tc>
        <w:tc>
          <w:tcPr>
            <w:tcW w:w="1204" w:type="dxa"/>
            <w:vAlign w:val="center"/>
          </w:tcPr>
          <w:p>
            <w:pPr>
              <w:adjustRightInd w:val="0"/>
              <w:snapToGrid w:val="0"/>
              <w:jc w:val="center"/>
              <w:rPr>
                <w:rFonts w:cs="Times New Roman"/>
                <w:kern w:val="0"/>
                <w:sz w:val="18"/>
                <w:szCs w:val="18"/>
              </w:rPr>
            </w:pPr>
            <w:r>
              <w:rPr>
                <w:rFonts w:hAnsi="宋体" w:cs="Times New Roman"/>
                <w:kern w:val="0"/>
                <w:sz w:val="18"/>
                <w:szCs w:val="18"/>
              </w:rPr>
              <w:t>通信光缆</w:t>
            </w:r>
          </w:p>
        </w:tc>
        <w:tc>
          <w:tcPr>
            <w:tcW w:w="923" w:type="dxa"/>
            <w:vAlign w:val="center"/>
          </w:tcPr>
          <w:p>
            <w:pPr>
              <w:adjustRightInd w:val="0"/>
              <w:snapToGrid w:val="0"/>
              <w:jc w:val="center"/>
              <w:rPr>
                <w:rFonts w:cs="Times New Roman"/>
                <w:kern w:val="0"/>
                <w:sz w:val="18"/>
                <w:szCs w:val="18"/>
              </w:rPr>
            </w:pP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ADSS-16</w:t>
            </w:r>
          </w:p>
        </w:tc>
        <w:tc>
          <w:tcPr>
            <w:tcW w:w="659" w:type="dxa"/>
            <w:vAlign w:val="center"/>
          </w:tcPr>
          <w:p>
            <w:pPr>
              <w:adjustRightInd w:val="0"/>
              <w:snapToGrid w:val="0"/>
              <w:jc w:val="center"/>
              <w:rPr>
                <w:rFonts w:cs="Times New Roman"/>
                <w:kern w:val="0"/>
                <w:sz w:val="18"/>
                <w:szCs w:val="18"/>
              </w:rPr>
            </w:pPr>
            <w:r>
              <w:rPr>
                <w:rFonts w:hAnsi="宋体" w:cs="Times New Roman"/>
                <w:kern w:val="0"/>
                <w:sz w:val="18"/>
                <w:szCs w:val="18"/>
              </w:rPr>
              <w:t>共杆</w:t>
            </w:r>
          </w:p>
        </w:tc>
        <w:tc>
          <w:tcPr>
            <w:tcW w:w="793" w:type="dxa"/>
            <w:vAlign w:val="center"/>
          </w:tcPr>
          <w:p>
            <w:pPr>
              <w:adjustRightInd w:val="0"/>
              <w:snapToGrid w:val="0"/>
              <w:jc w:val="center"/>
              <w:rPr>
                <w:rFonts w:cs="Times New Roman"/>
                <w:kern w:val="0"/>
                <w:sz w:val="18"/>
                <w:szCs w:val="18"/>
              </w:rPr>
            </w:pPr>
            <w:r>
              <w:rPr>
                <w:rFonts w:cs="Times New Roman"/>
                <w:kern w:val="0"/>
                <w:sz w:val="18"/>
                <w:szCs w:val="18"/>
              </w:rPr>
              <w:t>2.80</w:t>
            </w:r>
          </w:p>
        </w:tc>
        <w:tc>
          <w:tcPr>
            <w:tcW w:w="981" w:type="dxa"/>
            <w:vAlign w:val="center"/>
          </w:tcPr>
          <w:p>
            <w:pPr>
              <w:adjustRightInd w:val="0"/>
              <w:snapToGrid w:val="0"/>
              <w:jc w:val="center"/>
              <w:rPr>
                <w:rFonts w:cs="Times New Roman"/>
                <w:kern w:val="0"/>
                <w:sz w:val="18"/>
                <w:szCs w:val="18"/>
              </w:rPr>
            </w:pPr>
            <w:r>
              <w:rPr>
                <w:rFonts w:cs="Times New Roman"/>
                <w:kern w:val="0"/>
                <w:sz w:val="18"/>
                <w:szCs w:val="18"/>
              </w:rPr>
              <w:t>ADSS-16</w:t>
            </w:r>
            <w:r>
              <w:rPr>
                <w:rFonts w:hAnsi="宋体" w:cs="Times New Roman"/>
                <w:kern w:val="0"/>
                <w:sz w:val="18"/>
                <w:szCs w:val="18"/>
              </w:rPr>
              <w:t>芯</w:t>
            </w:r>
          </w:p>
        </w:tc>
        <w:tc>
          <w:tcPr>
            <w:tcW w:w="794" w:type="dxa"/>
            <w:vAlign w:val="center"/>
          </w:tcPr>
          <w:p>
            <w:pPr>
              <w:adjustRightInd w:val="0"/>
              <w:snapToGrid w:val="0"/>
              <w:jc w:val="center"/>
              <w:rPr>
                <w:rFonts w:cs="Times New Roman"/>
                <w:kern w:val="0"/>
                <w:sz w:val="18"/>
                <w:szCs w:val="18"/>
              </w:rPr>
            </w:pPr>
            <w:r>
              <w:rPr>
                <w:rFonts w:cs="Times New Roman"/>
                <w:kern w:val="0"/>
                <w:sz w:val="18"/>
                <w:szCs w:val="18"/>
              </w:rPr>
              <w:t>6.00</w:t>
            </w:r>
          </w:p>
        </w:tc>
        <w:tc>
          <w:tcPr>
            <w:tcW w:w="788" w:type="dxa"/>
            <w:vAlign w:val="center"/>
          </w:tcPr>
          <w:p>
            <w:pPr>
              <w:adjustRightInd w:val="0"/>
              <w:snapToGrid w:val="0"/>
              <w:jc w:val="center"/>
              <w:rPr>
                <w:rFonts w:cs="Times New Roman"/>
                <w:kern w:val="0"/>
                <w:sz w:val="18"/>
                <w:szCs w:val="18"/>
              </w:rPr>
            </w:pPr>
            <w:r>
              <w:rPr>
                <w:rFonts w:hAnsi="宋体" w:cs="Times New Roman"/>
                <w:kern w:val="0"/>
                <w:sz w:val="18"/>
                <w:szCs w:val="18"/>
              </w:rPr>
              <w:t>泰源伟业</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与上三线同杆架设</w:t>
            </w:r>
          </w:p>
        </w:tc>
      </w:tr>
    </w:tbl>
    <w:p>
      <w:pPr>
        <w:adjustRightInd w:val="0"/>
        <w:snapToGrid w:val="0"/>
        <w:spacing w:before="60" w:after="60" w:line="480" w:lineRule="exact"/>
        <w:outlineLvl w:val="2"/>
        <w:rPr>
          <w:rFonts w:eastAsia="黑体"/>
          <w:bCs/>
          <w:sz w:val="24"/>
          <w:szCs w:val="32"/>
        </w:rPr>
      </w:pPr>
      <w:bookmarkStart w:id="275" w:name="_Toc85632507"/>
      <w:bookmarkStart w:id="276" w:name="_Toc85660275"/>
      <w:r>
        <w:rPr>
          <w:rFonts w:eastAsia="黑体"/>
          <w:bCs/>
          <w:sz w:val="24"/>
          <w:szCs w:val="32"/>
        </w:rPr>
        <w:t>7.</w:t>
      </w:r>
      <w:r>
        <w:rPr>
          <w:rFonts w:hint="eastAsia" w:eastAsia="黑体"/>
          <w:bCs/>
          <w:sz w:val="24"/>
          <w:szCs w:val="32"/>
        </w:rPr>
        <w:t>3</w:t>
      </w:r>
      <w:r>
        <w:rPr>
          <w:rFonts w:eastAsia="黑体"/>
          <w:bCs/>
          <w:sz w:val="24"/>
          <w:szCs w:val="32"/>
        </w:rPr>
        <w:t xml:space="preserve">.2  </w:t>
      </w:r>
      <w:r>
        <w:rPr>
          <w:rFonts w:hint="eastAsia" w:eastAsia="黑体"/>
          <w:bCs/>
          <w:sz w:val="24"/>
          <w:szCs w:val="32"/>
        </w:rPr>
        <w:t>电力工程复建规划方案</w:t>
      </w:r>
      <w:bookmarkEnd w:id="275"/>
      <w:bookmarkEnd w:id="276"/>
    </w:p>
    <w:p>
      <w:pPr>
        <w:spacing w:line="480" w:lineRule="exact"/>
        <w:ind w:firstLine="480" w:firstLineChars="200"/>
        <w:rPr>
          <w:sz w:val="24"/>
          <w:szCs w:val="28"/>
        </w:rPr>
      </w:pPr>
      <w:r>
        <w:rPr>
          <w:rFonts w:hint="eastAsia"/>
          <w:sz w:val="24"/>
          <w:szCs w:val="28"/>
        </w:rPr>
        <w:t>陆河抽水蓄能电站建设征地影响的电力设施情况包括：</w:t>
      </w:r>
      <w:r>
        <w:rPr>
          <w:sz w:val="24"/>
          <w:szCs w:val="28"/>
        </w:rPr>
        <w:t>35kV</w:t>
      </w:r>
      <w:r>
        <w:rPr>
          <w:rFonts w:hint="eastAsia"/>
          <w:sz w:val="24"/>
          <w:szCs w:val="28"/>
        </w:rPr>
        <w:t>架空电力线路</w:t>
      </w:r>
      <w:r>
        <w:rPr>
          <w:sz w:val="24"/>
          <w:szCs w:val="28"/>
        </w:rPr>
        <w:t>1</w:t>
      </w:r>
      <w:r>
        <w:rPr>
          <w:rFonts w:hint="eastAsia"/>
          <w:sz w:val="24"/>
          <w:szCs w:val="28"/>
        </w:rPr>
        <w:t>回，影响长度</w:t>
      </w:r>
      <w:r>
        <w:rPr>
          <w:sz w:val="24"/>
          <w:szCs w:val="28"/>
        </w:rPr>
        <w:t>0.8km</w:t>
      </w:r>
      <w:r>
        <w:rPr>
          <w:rFonts w:hint="eastAsia"/>
          <w:sz w:val="24"/>
          <w:szCs w:val="28"/>
        </w:rPr>
        <w:t>，</w:t>
      </w:r>
      <w:r>
        <w:rPr>
          <w:sz w:val="24"/>
          <w:szCs w:val="28"/>
        </w:rPr>
        <w:t>10kV</w:t>
      </w:r>
      <w:r>
        <w:rPr>
          <w:rFonts w:hint="eastAsia"/>
          <w:sz w:val="24"/>
          <w:szCs w:val="28"/>
        </w:rPr>
        <w:t>架空电力线路</w:t>
      </w:r>
      <w:r>
        <w:rPr>
          <w:sz w:val="24"/>
          <w:szCs w:val="28"/>
        </w:rPr>
        <w:t>7</w:t>
      </w:r>
      <w:r>
        <w:rPr>
          <w:rFonts w:hint="eastAsia"/>
          <w:sz w:val="24"/>
          <w:szCs w:val="28"/>
        </w:rPr>
        <w:t>回，影响共长度共计1</w:t>
      </w:r>
      <w:r>
        <w:rPr>
          <w:sz w:val="24"/>
          <w:szCs w:val="28"/>
        </w:rPr>
        <w:t>0.14km</w:t>
      </w:r>
      <w:r>
        <w:rPr>
          <w:rFonts w:hint="eastAsia"/>
          <w:sz w:val="24"/>
          <w:szCs w:val="28"/>
        </w:rPr>
        <w:t>，</w:t>
      </w:r>
      <w:r>
        <w:rPr>
          <w:sz w:val="24"/>
          <w:szCs w:val="28"/>
        </w:rPr>
        <w:t>0.4kV</w:t>
      </w:r>
      <w:r>
        <w:rPr>
          <w:rFonts w:hint="eastAsia"/>
          <w:sz w:val="24"/>
          <w:szCs w:val="28"/>
        </w:rPr>
        <w:t>台区架空电力线路</w:t>
      </w:r>
      <w:r>
        <w:rPr>
          <w:sz w:val="24"/>
          <w:szCs w:val="28"/>
        </w:rPr>
        <w:t>1</w:t>
      </w:r>
      <w:r>
        <w:rPr>
          <w:rFonts w:hint="eastAsia"/>
          <w:sz w:val="24"/>
          <w:szCs w:val="28"/>
        </w:rPr>
        <w:t>处，共</w:t>
      </w:r>
      <w:r>
        <w:rPr>
          <w:sz w:val="24"/>
          <w:szCs w:val="28"/>
        </w:rPr>
        <w:t>0.40km</w:t>
      </w:r>
      <w:r>
        <w:rPr>
          <w:rFonts w:hint="eastAsia"/>
          <w:sz w:val="24"/>
          <w:szCs w:val="28"/>
        </w:rPr>
        <w:t>，</w:t>
      </w:r>
      <w:r>
        <w:rPr>
          <w:sz w:val="24"/>
          <w:szCs w:val="28"/>
        </w:rPr>
        <w:t>10/0.4kV</w:t>
      </w:r>
      <w:r>
        <w:rPr>
          <w:rFonts w:hint="eastAsia"/>
          <w:sz w:val="24"/>
          <w:szCs w:val="28"/>
        </w:rPr>
        <w:t>配电双杠变台</w:t>
      </w:r>
      <w:r>
        <w:rPr>
          <w:sz w:val="24"/>
          <w:szCs w:val="28"/>
        </w:rPr>
        <w:t>1</w:t>
      </w:r>
      <w:r>
        <w:rPr>
          <w:rFonts w:hint="eastAsia"/>
          <w:sz w:val="24"/>
          <w:szCs w:val="28"/>
        </w:rPr>
        <w:t>套，总容量为</w:t>
      </w:r>
      <w:r>
        <w:rPr>
          <w:sz w:val="24"/>
          <w:szCs w:val="28"/>
        </w:rPr>
        <w:t>20kVA</w:t>
      </w:r>
      <w:r>
        <w:rPr>
          <w:rFonts w:hint="eastAsia"/>
          <w:sz w:val="24"/>
          <w:szCs w:val="28"/>
        </w:rPr>
        <w:t>，详细情况详见表7</w:t>
      </w:r>
      <w:r>
        <w:rPr>
          <w:sz w:val="24"/>
          <w:szCs w:val="28"/>
        </w:rPr>
        <w:t>.</w:t>
      </w:r>
      <w:r>
        <w:rPr>
          <w:rFonts w:hint="eastAsia"/>
          <w:sz w:val="24"/>
          <w:szCs w:val="28"/>
        </w:rPr>
        <w:t>3</w:t>
      </w:r>
      <w:r>
        <w:rPr>
          <w:sz w:val="24"/>
          <w:szCs w:val="28"/>
        </w:rPr>
        <w:t>.1</w:t>
      </w:r>
      <w:r>
        <w:rPr>
          <w:rFonts w:hint="eastAsia"/>
          <w:sz w:val="24"/>
          <w:szCs w:val="28"/>
        </w:rPr>
        <w:t>-</w:t>
      </w:r>
      <w:r>
        <w:rPr>
          <w:sz w:val="24"/>
          <w:szCs w:val="28"/>
        </w:rPr>
        <w:t>1</w:t>
      </w:r>
      <w:r>
        <w:rPr>
          <w:rFonts w:hint="eastAsia"/>
          <w:sz w:val="24"/>
          <w:szCs w:val="28"/>
        </w:rPr>
        <w:t>，</w:t>
      </w:r>
      <w:r>
        <w:rPr>
          <w:rFonts w:hint="eastAsia"/>
          <w:sz w:val="24"/>
        </w:rPr>
        <w:t>其中：陆河供电局权属以外1</w:t>
      </w:r>
      <w:r>
        <w:rPr>
          <w:sz w:val="24"/>
        </w:rPr>
        <w:t>0kV</w:t>
      </w:r>
      <w:r>
        <w:rPr>
          <w:rFonts w:hint="eastAsia"/>
          <w:sz w:val="24"/>
        </w:rPr>
        <w:t>线路为广东泰源伟业有限公司旗下水电站、老区水电站和深嘉路水电站的1</w:t>
      </w:r>
      <w:r>
        <w:rPr>
          <w:sz w:val="24"/>
        </w:rPr>
        <w:t>0kV</w:t>
      </w:r>
      <w:r>
        <w:rPr>
          <w:rFonts w:hint="eastAsia"/>
          <w:sz w:val="24"/>
        </w:rPr>
        <w:t>送出线，该部分线路的终点站均为三江口水电站站内的3</w:t>
      </w:r>
      <w:r>
        <w:rPr>
          <w:sz w:val="24"/>
        </w:rPr>
        <w:t>5kV</w:t>
      </w:r>
      <w:r>
        <w:rPr>
          <w:rFonts w:hint="eastAsia"/>
          <w:sz w:val="24"/>
        </w:rPr>
        <w:t>升压站，再通过3</w:t>
      </w:r>
      <w:r>
        <w:rPr>
          <w:sz w:val="24"/>
        </w:rPr>
        <w:t>5kV</w:t>
      </w:r>
      <w:r>
        <w:rPr>
          <w:rFonts w:hint="eastAsia"/>
          <w:sz w:val="24"/>
        </w:rPr>
        <w:t>马三线上南方电网，3</w:t>
      </w:r>
      <w:r>
        <w:rPr>
          <w:sz w:val="24"/>
        </w:rPr>
        <w:t>5kV</w:t>
      </w:r>
      <w:r>
        <w:rPr>
          <w:rFonts w:hint="eastAsia"/>
          <w:sz w:val="24"/>
        </w:rPr>
        <w:t>马三线是</w:t>
      </w:r>
      <w:r>
        <w:rPr>
          <w:rFonts w:hint="eastAsia" w:hAnsi="宋体"/>
          <w:sz w:val="24"/>
        </w:rPr>
        <w:t>连接三江口水电站3</w:t>
      </w:r>
      <w:r>
        <w:rPr>
          <w:rFonts w:hAnsi="宋体"/>
          <w:sz w:val="24"/>
        </w:rPr>
        <w:t>5kV</w:t>
      </w:r>
      <w:r>
        <w:rPr>
          <w:rFonts w:hint="eastAsia" w:hAnsi="宋体"/>
          <w:sz w:val="24"/>
        </w:rPr>
        <w:t>升压站与1</w:t>
      </w:r>
      <w:r>
        <w:rPr>
          <w:rFonts w:hAnsi="宋体"/>
          <w:sz w:val="24"/>
        </w:rPr>
        <w:t>10kV</w:t>
      </w:r>
      <w:r>
        <w:rPr>
          <w:rFonts w:hint="eastAsia" w:hAnsi="宋体"/>
          <w:sz w:val="24"/>
        </w:rPr>
        <w:t>马田站的输电线路。</w:t>
      </w:r>
    </w:p>
    <w:p>
      <w:pPr>
        <w:adjustRightInd w:val="0"/>
        <w:snapToGrid w:val="0"/>
        <w:spacing w:line="480" w:lineRule="exact"/>
        <w:ind w:firstLine="480" w:firstLineChars="200"/>
        <w:rPr>
          <w:sz w:val="24"/>
        </w:rPr>
      </w:pPr>
      <w:r>
        <w:rPr>
          <w:sz w:val="24"/>
        </w:rPr>
        <w:t>a) 35kV</w:t>
      </w:r>
      <w:r>
        <w:rPr>
          <w:rFonts w:hint="eastAsia" w:hAnsi="宋体"/>
          <w:sz w:val="24"/>
        </w:rPr>
        <w:t>马三线复建工程</w:t>
      </w:r>
    </w:p>
    <w:p>
      <w:pPr>
        <w:adjustRightInd w:val="0"/>
        <w:snapToGrid w:val="0"/>
        <w:spacing w:line="480" w:lineRule="exact"/>
        <w:ind w:firstLine="480" w:firstLineChars="200"/>
        <w:rPr>
          <w:sz w:val="24"/>
        </w:rPr>
      </w:pPr>
      <w:r>
        <w:rPr>
          <w:sz w:val="24"/>
        </w:rPr>
        <w:t>35kV</w:t>
      </w:r>
      <w:r>
        <w:rPr>
          <w:rFonts w:hint="eastAsia" w:hAnsi="宋体"/>
          <w:sz w:val="24"/>
        </w:rPr>
        <w:t>马三线是连接三江口水电站3</w:t>
      </w:r>
      <w:r>
        <w:rPr>
          <w:rFonts w:hAnsi="宋体"/>
          <w:sz w:val="24"/>
        </w:rPr>
        <w:t>5kV</w:t>
      </w:r>
      <w:r>
        <w:rPr>
          <w:rFonts w:hint="eastAsia" w:hAnsi="宋体"/>
          <w:sz w:val="24"/>
        </w:rPr>
        <w:t>升压站与1</w:t>
      </w:r>
      <w:r>
        <w:rPr>
          <w:rFonts w:hAnsi="宋体"/>
          <w:sz w:val="24"/>
        </w:rPr>
        <w:t>10kV</w:t>
      </w:r>
      <w:r>
        <w:rPr>
          <w:rFonts w:hint="eastAsia" w:hAnsi="宋体"/>
          <w:sz w:val="24"/>
        </w:rPr>
        <w:t>马田站的输电线路，其#</w:t>
      </w:r>
      <w:r>
        <w:rPr>
          <w:rFonts w:hAnsi="宋体"/>
          <w:sz w:val="24"/>
        </w:rPr>
        <w:t>61</w:t>
      </w:r>
      <w:r>
        <w:rPr>
          <w:rFonts w:hint="eastAsia" w:hAnsi="宋体"/>
          <w:sz w:val="24"/>
        </w:rPr>
        <w:t>-#</w:t>
      </w:r>
      <w:r>
        <w:rPr>
          <w:rFonts w:hAnsi="宋体"/>
          <w:sz w:val="24"/>
        </w:rPr>
        <w:t>64</w:t>
      </w:r>
      <w:r>
        <w:rPr>
          <w:rFonts w:hint="eastAsia" w:hAnsi="宋体"/>
          <w:sz w:val="24"/>
        </w:rPr>
        <w:t>塔段受抽水蓄能电站下库区建设征地影响，经与三江口水电站水电站的权属单位广东泰源伟业集团公司沟通，该公司计划对原三江口水电站及配套的3</w:t>
      </w:r>
      <w:r>
        <w:rPr>
          <w:rFonts w:hAnsi="宋体"/>
          <w:sz w:val="24"/>
        </w:rPr>
        <w:t>5kV</w:t>
      </w:r>
      <w:r>
        <w:rPr>
          <w:rFonts w:hint="eastAsia" w:hAnsi="宋体"/>
          <w:sz w:val="24"/>
        </w:rPr>
        <w:t>升压站进行复建，复建站址位于Y</w:t>
      </w:r>
      <w:r>
        <w:rPr>
          <w:rFonts w:hAnsi="宋体"/>
          <w:sz w:val="24"/>
        </w:rPr>
        <w:t>850</w:t>
      </w:r>
      <w:r>
        <w:rPr>
          <w:rFonts w:hint="eastAsia" w:hAnsi="宋体"/>
          <w:sz w:val="24"/>
        </w:rPr>
        <w:t>四级复建道路的起点，故规划从</w:t>
      </w:r>
      <w:r>
        <w:rPr>
          <w:sz w:val="24"/>
        </w:rPr>
        <w:t>35kV</w:t>
      </w:r>
      <w:r>
        <w:rPr>
          <w:rFonts w:hint="eastAsia" w:hAnsi="宋体"/>
          <w:sz w:val="24"/>
        </w:rPr>
        <w:t>马三线原#</w:t>
      </w:r>
      <w:r>
        <w:rPr>
          <w:rFonts w:hAnsi="宋体"/>
          <w:sz w:val="24"/>
        </w:rPr>
        <w:t>61</w:t>
      </w:r>
      <w:r>
        <w:rPr>
          <w:rFonts w:hint="eastAsia" w:hAnsi="宋体"/>
          <w:sz w:val="24"/>
        </w:rPr>
        <w:t>塔起复建至新建的3</w:t>
      </w:r>
      <w:r>
        <w:rPr>
          <w:rFonts w:hAnsi="宋体"/>
          <w:sz w:val="24"/>
        </w:rPr>
        <w:t>5kV</w:t>
      </w:r>
      <w:r>
        <w:rPr>
          <w:rFonts w:hint="eastAsia" w:hAnsi="宋体"/>
          <w:sz w:val="24"/>
        </w:rPr>
        <w:t>三江口水电站升压站，复建3</w:t>
      </w:r>
      <w:r>
        <w:rPr>
          <w:rFonts w:hAnsi="宋体"/>
          <w:sz w:val="24"/>
        </w:rPr>
        <w:t>5kV</w:t>
      </w:r>
      <w:r>
        <w:rPr>
          <w:rFonts w:hint="eastAsia" w:hAnsi="宋体"/>
          <w:sz w:val="24"/>
        </w:rPr>
        <w:t>线路长度</w:t>
      </w:r>
      <w:r>
        <w:rPr>
          <w:sz w:val="24"/>
        </w:rPr>
        <w:t>2.20km</w:t>
      </w:r>
      <w:r>
        <w:rPr>
          <w:rFonts w:hint="eastAsia" w:hAnsi="宋体"/>
          <w:sz w:val="24"/>
        </w:rPr>
        <w:t>，复建线路按原有标准规划，导线采用</w:t>
      </w:r>
      <w:r>
        <w:rPr>
          <w:sz w:val="24"/>
        </w:rPr>
        <w:t>LGJ-70</w:t>
      </w:r>
      <w:r>
        <w:rPr>
          <w:rFonts w:hint="eastAsia" w:hAnsi="宋体"/>
          <w:sz w:val="24"/>
        </w:rPr>
        <w:t>型钢芯铝绞线。</w:t>
      </w:r>
    </w:p>
    <w:p>
      <w:pPr>
        <w:adjustRightInd w:val="0"/>
        <w:snapToGrid w:val="0"/>
        <w:spacing w:line="480" w:lineRule="exact"/>
        <w:ind w:firstLine="480" w:firstLineChars="200"/>
        <w:rPr>
          <w:sz w:val="24"/>
        </w:rPr>
      </w:pPr>
      <w:r>
        <w:rPr>
          <w:sz w:val="24"/>
        </w:rPr>
        <w:t>b) 10kV</w:t>
      </w:r>
      <w:r>
        <w:rPr>
          <w:rFonts w:hint="eastAsia" w:hAnsi="宋体"/>
          <w:sz w:val="24"/>
        </w:rPr>
        <w:t>激石溪线联络支线复建</w:t>
      </w:r>
    </w:p>
    <w:p>
      <w:pPr>
        <w:adjustRightInd w:val="0"/>
        <w:snapToGrid w:val="0"/>
        <w:spacing w:line="480" w:lineRule="exact"/>
        <w:ind w:firstLine="480" w:firstLineChars="200"/>
        <w:rPr>
          <w:rFonts w:hAnsi="宋体"/>
          <w:sz w:val="24"/>
        </w:rPr>
      </w:pPr>
      <w:r>
        <w:rPr>
          <w:sz w:val="24"/>
        </w:rPr>
        <w:t>10kV</w:t>
      </w:r>
      <w:r>
        <w:rPr>
          <w:rFonts w:hint="eastAsia" w:hAnsi="宋体"/>
          <w:sz w:val="24"/>
        </w:rPr>
        <w:t>激石溪线联络支线是从位于Y</w:t>
      </w:r>
      <w:r>
        <w:rPr>
          <w:rFonts w:hAnsi="宋体"/>
          <w:sz w:val="24"/>
        </w:rPr>
        <w:t>850</w:t>
      </w:r>
      <w:r>
        <w:rPr>
          <w:rFonts w:hint="eastAsia" w:hAnsi="宋体"/>
          <w:sz w:val="24"/>
        </w:rPr>
        <w:t>四级道路起点的</w:t>
      </w:r>
      <w:r>
        <w:rPr>
          <w:sz w:val="24"/>
        </w:rPr>
        <w:t>10kV</w:t>
      </w:r>
      <w:r>
        <w:rPr>
          <w:rFonts w:hint="eastAsia" w:hAnsi="宋体"/>
          <w:sz w:val="24"/>
        </w:rPr>
        <w:t>激石溪线T接引出的一条1</w:t>
      </w:r>
      <w:r>
        <w:rPr>
          <w:rFonts w:hAnsi="宋体"/>
          <w:sz w:val="24"/>
        </w:rPr>
        <w:t>0kV</w:t>
      </w:r>
      <w:r>
        <w:rPr>
          <w:rFonts w:hint="eastAsia" w:hAnsi="宋体"/>
          <w:sz w:val="24"/>
        </w:rPr>
        <w:t>线路，沿Y</w:t>
      </w:r>
      <w:r>
        <w:rPr>
          <w:rFonts w:hAnsi="宋体"/>
          <w:sz w:val="24"/>
        </w:rPr>
        <w:t>850</w:t>
      </w:r>
      <w:r>
        <w:rPr>
          <w:rFonts w:hint="eastAsia" w:hAnsi="宋体"/>
          <w:sz w:val="24"/>
        </w:rPr>
        <w:t>四级道路沿线敷设，其#</w:t>
      </w:r>
      <w:r>
        <w:rPr>
          <w:rFonts w:hAnsi="宋体"/>
          <w:sz w:val="24"/>
        </w:rPr>
        <w:t>6</w:t>
      </w:r>
      <w:r>
        <w:rPr>
          <w:rFonts w:hint="eastAsia" w:hAnsi="宋体"/>
          <w:sz w:val="24"/>
        </w:rPr>
        <w:t>-#</w:t>
      </w:r>
      <w:r>
        <w:rPr>
          <w:rFonts w:hAnsi="宋体"/>
          <w:sz w:val="24"/>
        </w:rPr>
        <w:t>37</w:t>
      </w:r>
      <w:r>
        <w:rPr>
          <w:rFonts w:hint="eastAsia" w:hAnsi="宋体"/>
          <w:sz w:val="24"/>
        </w:rPr>
        <w:t>杆段受抽水蓄能电站的下库及枢纽工程建设去影响，故需对其进行复建规划，参照Y</w:t>
      </w:r>
      <w:r>
        <w:rPr>
          <w:rFonts w:hAnsi="宋体"/>
          <w:sz w:val="24"/>
        </w:rPr>
        <w:t>850</w:t>
      </w:r>
      <w:r>
        <w:rPr>
          <w:rFonts w:hint="eastAsia" w:hAnsi="宋体"/>
          <w:sz w:val="24"/>
        </w:rPr>
        <w:t>四级道路的复建规划，</w:t>
      </w:r>
      <w:r>
        <w:rPr>
          <w:sz w:val="24"/>
        </w:rPr>
        <w:t>10kV</w:t>
      </w:r>
      <w:r>
        <w:rPr>
          <w:rFonts w:hint="eastAsia" w:hAnsi="宋体"/>
          <w:sz w:val="24"/>
        </w:rPr>
        <w:t>激石溪线联络支线从原#</w:t>
      </w:r>
      <w:r>
        <w:rPr>
          <w:rFonts w:hAnsi="宋体"/>
          <w:sz w:val="24"/>
        </w:rPr>
        <w:t>2</w:t>
      </w:r>
      <w:r>
        <w:rPr>
          <w:rFonts w:hint="eastAsia" w:hAnsi="宋体"/>
          <w:sz w:val="24"/>
        </w:rPr>
        <w:t>号杆先西沿着进场道路、枢纽工程建设区红线外围敷设，接至原有的#</w:t>
      </w:r>
      <w:r>
        <w:rPr>
          <w:rFonts w:hAnsi="宋体"/>
          <w:sz w:val="24"/>
        </w:rPr>
        <w:t>37</w:t>
      </w:r>
      <w:r>
        <w:rPr>
          <w:rFonts w:hint="eastAsia" w:hAnsi="宋体"/>
          <w:sz w:val="24"/>
        </w:rPr>
        <w:t>号杆，复建</w:t>
      </w:r>
      <w:r>
        <w:rPr>
          <w:rFonts w:hAnsi="宋体"/>
          <w:sz w:val="24"/>
        </w:rPr>
        <w:t>10kV</w:t>
      </w:r>
      <w:r>
        <w:rPr>
          <w:rFonts w:hint="eastAsia" w:hAnsi="宋体"/>
          <w:sz w:val="24"/>
        </w:rPr>
        <w:t>线路长度</w:t>
      </w:r>
      <w:r>
        <w:rPr>
          <w:sz w:val="24"/>
        </w:rPr>
        <w:t>2.70km</w:t>
      </w:r>
      <w:r>
        <w:rPr>
          <w:rFonts w:hint="eastAsia" w:hAnsi="宋体"/>
          <w:sz w:val="24"/>
        </w:rPr>
        <w:t>，因复建线路跨越林区，按照南方电网的相关要求，导线采用J</w:t>
      </w:r>
      <w:r>
        <w:rPr>
          <w:rFonts w:hAnsi="宋体"/>
          <w:sz w:val="24"/>
        </w:rPr>
        <w:t>KLGYJ</w:t>
      </w:r>
      <w:r>
        <w:rPr>
          <w:sz w:val="24"/>
        </w:rPr>
        <w:t>-120</w:t>
      </w:r>
      <w:r>
        <w:rPr>
          <w:rFonts w:hint="eastAsia" w:hAnsi="宋体"/>
          <w:sz w:val="24"/>
        </w:rPr>
        <w:t>型绝缘导线。</w:t>
      </w:r>
    </w:p>
    <w:p>
      <w:pPr>
        <w:adjustRightInd w:val="0"/>
        <w:snapToGrid w:val="0"/>
        <w:spacing w:line="480" w:lineRule="exact"/>
        <w:ind w:firstLine="480" w:firstLineChars="200"/>
        <w:rPr>
          <w:sz w:val="24"/>
        </w:rPr>
      </w:pPr>
      <w:r>
        <w:rPr>
          <w:sz w:val="24"/>
        </w:rPr>
        <w:t>c) 10kV</w:t>
      </w:r>
      <w:r>
        <w:rPr>
          <w:rFonts w:hint="eastAsia" w:hAnsi="宋体"/>
          <w:sz w:val="24"/>
        </w:rPr>
        <w:t>上三线复建</w:t>
      </w:r>
    </w:p>
    <w:p>
      <w:pPr>
        <w:adjustRightInd w:val="0"/>
        <w:snapToGrid w:val="0"/>
        <w:spacing w:line="480" w:lineRule="exact"/>
        <w:ind w:firstLine="480" w:firstLineChars="200"/>
        <w:rPr>
          <w:rFonts w:hAnsi="宋体"/>
          <w:sz w:val="24"/>
        </w:rPr>
      </w:pPr>
      <w:r>
        <w:rPr>
          <w:sz w:val="24"/>
        </w:rPr>
        <w:t>10kV</w:t>
      </w:r>
      <w:r>
        <w:rPr>
          <w:rFonts w:hint="eastAsia" w:hAnsi="宋体"/>
          <w:sz w:val="24"/>
        </w:rPr>
        <w:t>上三线是连接上坑水电站至3</w:t>
      </w:r>
      <w:r>
        <w:rPr>
          <w:rFonts w:hAnsi="宋体"/>
          <w:sz w:val="24"/>
        </w:rPr>
        <w:t>5kV</w:t>
      </w:r>
      <w:r>
        <w:rPr>
          <w:rFonts w:hint="eastAsia" w:hAnsi="宋体"/>
          <w:sz w:val="24"/>
        </w:rPr>
        <w:t>三江口升压站的1</w:t>
      </w:r>
      <w:r>
        <w:rPr>
          <w:rFonts w:hAnsi="宋体"/>
          <w:sz w:val="24"/>
        </w:rPr>
        <w:t>0kV</w:t>
      </w:r>
      <w:r>
        <w:rPr>
          <w:rFonts w:hint="eastAsia" w:hAnsi="宋体"/>
          <w:sz w:val="24"/>
        </w:rPr>
        <w:t>送出线路，导线型号为L</w:t>
      </w:r>
      <w:r>
        <w:rPr>
          <w:rFonts w:hAnsi="宋体"/>
          <w:sz w:val="24"/>
        </w:rPr>
        <w:t>GJ-3x70</w:t>
      </w:r>
      <w:r>
        <w:rPr>
          <w:rFonts w:hint="eastAsia" w:hAnsi="宋体"/>
          <w:sz w:val="24"/>
        </w:rPr>
        <w:t>，线路全长7</w:t>
      </w:r>
      <w:r>
        <w:rPr>
          <w:rFonts w:hAnsi="宋体"/>
          <w:sz w:val="24"/>
        </w:rPr>
        <w:t>.</w:t>
      </w:r>
      <w:r>
        <w:rPr>
          <w:rFonts w:hint="eastAsia" w:hAnsi="宋体"/>
          <w:sz w:val="24"/>
        </w:rPr>
        <w:t>0</w:t>
      </w:r>
      <w:r>
        <w:rPr>
          <w:rFonts w:hAnsi="宋体"/>
          <w:sz w:val="24"/>
        </w:rPr>
        <w:t>4km</w:t>
      </w:r>
      <w:r>
        <w:rPr>
          <w:rFonts w:hint="eastAsia" w:hAnsi="宋体"/>
          <w:sz w:val="24"/>
        </w:rPr>
        <w:t>，受抽水蓄能电站的上、下库区影响的长度分别为2</w:t>
      </w:r>
      <w:r>
        <w:rPr>
          <w:rFonts w:hAnsi="宋体"/>
          <w:sz w:val="24"/>
        </w:rPr>
        <w:t>.0km</w:t>
      </w:r>
      <w:r>
        <w:rPr>
          <w:rFonts w:hint="eastAsia" w:hAnsi="宋体"/>
          <w:sz w:val="24"/>
        </w:rPr>
        <w:t>、0</w:t>
      </w:r>
      <w:r>
        <w:rPr>
          <w:rFonts w:hAnsi="宋体"/>
          <w:sz w:val="24"/>
        </w:rPr>
        <w:t>.8</w:t>
      </w:r>
      <w:r>
        <w:rPr>
          <w:rFonts w:hint="eastAsia" w:hAnsi="宋体"/>
          <w:sz w:val="24"/>
        </w:rPr>
        <w:t>km，因上坑水电站没有受电站建设影响，故需对其1</w:t>
      </w:r>
      <w:r>
        <w:rPr>
          <w:rFonts w:hAnsi="宋体"/>
          <w:sz w:val="24"/>
        </w:rPr>
        <w:t>0kV</w:t>
      </w:r>
      <w:r>
        <w:rPr>
          <w:rFonts w:hint="eastAsia" w:hAnsi="宋体"/>
          <w:sz w:val="24"/>
        </w:rPr>
        <w:t>上网线路进行复建，经与三江口水电站水电站的权属单位广东泰源伟业集团公司沟通，该公司计划对原三江口水电站及配套的3</w:t>
      </w:r>
      <w:r>
        <w:rPr>
          <w:rFonts w:hAnsi="宋体"/>
          <w:sz w:val="24"/>
        </w:rPr>
        <w:t>5kV</w:t>
      </w:r>
      <w:r>
        <w:rPr>
          <w:rFonts w:hint="eastAsia" w:hAnsi="宋体"/>
          <w:sz w:val="24"/>
        </w:rPr>
        <w:t>升压站进行复建，故复建后的</w:t>
      </w:r>
      <w:r>
        <w:rPr>
          <w:sz w:val="24"/>
        </w:rPr>
        <w:t>10kV</w:t>
      </w:r>
      <w:r>
        <w:rPr>
          <w:rFonts w:hint="eastAsia" w:hAnsi="宋体"/>
          <w:sz w:val="24"/>
        </w:rPr>
        <w:t>上三线将连接上坑水电站至新建的3</w:t>
      </w:r>
      <w:r>
        <w:rPr>
          <w:rFonts w:hAnsi="宋体"/>
          <w:sz w:val="24"/>
        </w:rPr>
        <w:t>5kV</w:t>
      </w:r>
      <w:r>
        <w:rPr>
          <w:rFonts w:hint="eastAsia" w:hAnsi="宋体"/>
          <w:sz w:val="24"/>
        </w:rPr>
        <w:t>三江口升压站，因原1</w:t>
      </w:r>
      <w:r>
        <w:rPr>
          <w:rFonts w:hAnsi="宋体"/>
          <w:sz w:val="24"/>
        </w:rPr>
        <w:t>0kV</w:t>
      </w:r>
      <w:r>
        <w:rPr>
          <w:rFonts w:hint="eastAsia" w:hAnsi="宋体"/>
          <w:sz w:val="24"/>
        </w:rPr>
        <w:t>线行路径基本全部受上库区影响，故对复建的1</w:t>
      </w:r>
      <w:r>
        <w:rPr>
          <w:rFonts w:hAnsi="宋体"/>
          <w:sz w:val="24"/>
        </w:rPr>
        <w:t>0kV</w:t>
      </w:r>
      <w:r>
        <w:rPr>
          <w:rFonts w:hint="eastAsia" w:hAnsi="宋体"/>
          <w:sz w:val="24"/>
        </w:rPr>
        <w:t>线路进行易址复建，新建路径沿着现有Y</w:t>
      </w:r>
      <w:r>
        <w:rPr>
          <w:rFonts w:hAnsi="宋体"/>
          <w:sz w:val="24"/>
        </w:rPr>
        <w:t>850</w:t>
      </w:r>
      <w:r>
        <w:rPr>
          <w:rFonts w:hint="eastAsia" w:hAnsi="宋体"/>
          <w:sz w:val="24"/>
        </w:rPr>
        <w:t>四级道路沿线敷设至大沥唇电站的水库，接回现有的1</w:t>
      </w:r>
      <w:r>
        <w:rPr>
          <w:rFonts w:hAnsi="宋体"/>
          <w:sz w:val="24"/>
        </w:rPr>
        <w:t>0</w:t>
      </w:r>
      <w:r>
        <w:rPr>
          <w:rFonts w:hint="eastAsia" w:hAnsi="宋体"/>
          <w:sz w:val="24"/>
        </w:rPr>
        <w:t>kV线路至下库区的红线外侧，再沿着规划的Y</w:t>
      </w:r>
      <w:r>
        <w:rPr>
          <w:rFonts w:hAnsi="宋体"/>
          <w:sz w:val="24"/>
        </w:rPr>
        <w:t>850</w:t>
      </w:r>
      <w:r>
        <w:rPr>
          <w:rFonts w:hint="eastAsia" w:hAnsi="宋体"/>
          <w:sz w:val="24"/>
        </w:rPr>
        <w:t>四级道路架空敷设至新建的3</w:t>
      </w:r>
      <w:r>
        <w:rPr>
          <w:rFonts w:hAnsi="宋体"/>
          <w:sz w:val="24"/>
        </w:rPr>
        <w:t>5kV</w:t>
      </w:r>
      <w:r>
        <w:rPr>
          <w:rFonts w:hint="eastAsia" w:hAnsi="宋体"/>
          <w:sz w:val="24"/>
        </w:rPr>
        <w:t>三江口升压站。全线复建</w:t>
      </w:r>
      <w:r>
        <w:rPr>
          <w:rFonts w:hAnsi="宋体"/>
          <w:sz w:val="24"/>
        </w:rPr>
        <w:t>10kV</w:t>
      </w:r>
      <w:r>
        <w:rPr>
          <w:rFonts w:hint="eastAsia" w:hAnsi="宋体"/>
          <w:sz w:val="24"/>
        </w:rPr>
        <w:t>线路总长度6</w:t>
      </w:r>
      <w:r>
        <w:rPr>
          <w:rFonts w:hAnsi="宋体"/>
          <w:sz w:val="24"/>
        </w:rPr>
        <w:t>.0</w:t>
      </w:r>
      <w:r>
        <w:rPr>
          <w:sz w:val="24"/>
        </w:rPr>
        <w:t>0km</w:t>
      </w:r>
      <w:r>
        <w:rPr>
          <w:rFonts w:hint="eastAsia" w:hAnsi="宋体"/>
          <w:sz w:val="24"/>
        </w:rPr>
        <w:t>，其中上库区段沿着现有Y</w:t>
      </w:r>
      <w:r>
        <w:rPr>
          <w:rFonts w:hAnsi="宋体"/>
          <w:sz w:val="24"/>
        </w:rPr>
        <w:t>850</w:t>
      </w:r>
      <w:r>
        <w:rPr>
          <w:rFonts w:hint="eastAsia" w:hAnsi="宋体"/>
          <w:sz w:val="24"/>
        </w:rPr>
        <w:t>四级道路沿线敷设，复建长度为4</w:t>
      </w:r>
      <w:r>
        <w:rPr>
          <w:rFonts w:hAnsi="宋体"/>
          <w:sz w:val="24"/>
        </w:rPr>
        <w:t>.0km</w:t>
      </w:r>
      <w:r>
        <w:rPr>
          <w:rFonts w:hint="eastAsia" w:hAnsi="宋体"/>
          <w:sz w:val="24"/>
        </w:rPr>
        <w:t>，导线采用</w:t>
      </w:r>
      <w:r>
        <w:rPr>
          <w:rFonts w:hAnsi="宋体"/>
          <w:sz w:val="24"/>
        </w:rPr>
        <w:t>LGJ</w:t>
      </w:r>
      <w:r>
        <w:rPr>
          <w:sz w:val="24"/>
        </w:rPr>
        <w:t>-70</w:t>
      </w:r>
      <w:r>
        <w:rPr>
          <w:rFonts w:hint="eastAsia" w:hAnsi="宋体"/>
          <w:sz w:val="24"/>
        </w:rPr>
        <w:t>型钢芯铝绞线；下库区段横穿林区，复建长度为2</w:t>
      </w:r>
      <w:r>
        <w:rPr>
          <w:rFonts w:hAnsi="宋体"/>
          <w:sz w:val="24"/>
        </w:rPr>
        <w:t>.0km</w:t>
      </w:r>
      <w:r>
        <w:rPr>
          <w:rFonts w:hint="eastAsia" w:hAnsi="宋体"/>
          <w:sz w:val="24"/>
        </w:rPr>
        <w:t>，导线采用J</w:t>
      </w:r>
      <w:r>
        <w:rPr>
          <w:rFonts w:hAnsi="宋体"/>
          <w:sz w:val="24"/>
        </w:rPr>
        <w:t>KLGYJ</w:t>
      </w:r>
      <w:r>
        <w:rPr>
          <w:sz w:val="24"/>
        </w:rPr>
        <w:t>-70</w:t>
      </w:r>
      <w:r>
        <w:rPr>
          <w:rFonts w:hint="eastAsia" w:hAnsi="宋体"/>
          <w:sz w:val="24"/>
        </w:rPr>
        <w:t>型绝缘导线。</w:t>
      </w:r>
    </w:p>
    <w:p>
      <w:pPr>
        <w:adjustRightInd w:val="0"/>
        <w:snapToGrid w:val="0"/>
        <w:spacing w:line="480" w:lineRule="exact"/>
        <w:ind w:firstLine="480" w:firstLineChars="200"/>
        <w:rPr>
          <w:sz w:val="24"/>
        </w:rPr>
      </w:pPr>
      <w:r>
        <w:rPr>
          <w:sz w:val="24"/>
        </w:rPr>
        <w:t>d) 10kV</w:t>
      </w:r>
      <w:r>
        <w:rPr>
          <w:rFonts w:hint="eastAsia" w:hAnsi="宋体"/>
          <w:sz w:val="24"/>
        </w:rPr>
        <w:t>上咸线复建</w:t>
      </w:r>
    </w:p>
    <w:p>
      <w:pPr>
        <w:adjustRightInd w:val="0"/>
        <w:snapToGrid w:val="0"/>
        <w:spacing w:line="480" w:lineRule="exact"/>
        <w:ind w:firstLine="480" w:firstLineChars="200"/>
        <w:rPr>
          <w:rFonts w:hAnsi="宋体"/>
          <w:sz w:val="24"/>
        </w:rPr>
      </w:pPr>
      <w:r>
        <w:rPr>
          <w:sz w:val="24"/>
        </w:rPr>
        <w:t>10kV</w:t>
      </w:r>
      <w:r>
        <w:rPr>
          <w:rFonts w:hint="eastAsia" w:hAnsi="宋体"/>
          <w:sz w:val="24"/>
        </w:rPr>
        <w:t>上咸线是连接咸菜沥水电站至3</w:t>
      </w:r>
      <w:r>
        <w:rPr>
          <w:rFonts w:hAnsi="宋体"/>
          <w:sz w:val="24"/>
        </w:rPr>
        <w:t>5kV</w:t>
      </w:r>
      <w:r>
        <w:rPr>
          <w:rFonts w:hint="eastAsia" w:hAnsi="宋体"/>
          <w:sz w:val="24"/>
        </w:rPr>
        <w:t>三江口升压站的1</w:t>
      </w:r>
      <w:r>
        <w:rPr>
          <w:rFonts w:hAnsi="宋体"/>
          <w:sz w:val="24"/>
        </w:rPr>
        <w:t>0kV</w:t>
      </w:r>
      <w:r>
        <w:rPr>
          <w:rFonts w:hint="eastAsia" w:hAnsi="宋体"/>
          <w:sz w:val="24"/>
        </w:rPr>
        <w:t>送出线路，导线型号为L</w:t>
      </w:r>
      <w:r>
        <w:rPr>
          <w:rFonts w:hAnsi="宋体"/>
          <w:sz w:val="24"/>
        </w:rPr>
        <w:t>GJ-3x70</w:t>
      </w:r>
      <w:r>
        <w:rPr>
          <w:rFonts w:hint="eastAsia" w:hAnsi="宋体"/>
          <w:sz w:val="24"/>
        </w:rPr>
        <w:t>，线路全长</w:t>
      </w:r>
      <w:r>
        <w:rPr>
          <w:rFonts w:hAnsi="宋体"/>
          <w:sz w:val="24"/>
        </w:rPr>
        <w:t>3.69km</w:t>
      </w:r>
      <w:r>
        <w:rPr>
          <w:rFonts w:hint="eastAsia" w:hAnsi="宋体"/>
          <w:sz w:val="24"/>
        </w:rPr>
        <w:t>，受抽水蓄能电站的下库区影响长度为0</w:t>
      </w:r>
      <w:r>
        <w:rPr>
          <w:rFonts w:hAnsi="宋体"/>
          <w:sz w:val="24"/>
        </w:rPr>
        <w:t>.8</w:t>
      </w:r>
      <w:r>
        <w:rPr>
          <w:rFonts w:hint="eastAsia" w:hAnsi="宋体"/>
          <w:sz w:val="24"/>
        </w:rPr>
        <w:t>km，因上坑水电站没有受电站建设影响，故需对其1</w:t>
      </w:r>
      <w:r>
        <w:rPr>
          <w:rFonts w:hAnsi="宋体"/>
          <w:sz w:val="24"/>
        </w:rPr>
        <w:t>0kV</w:t>
      </w:r>
      <w:r>
        <w:rPr>
          <w:rFonts w:hint="eastAsia" w:hAnsi="宋体"/>
          <w:sz w:val="24"/>
        </w:rPr>
        <w:t>上网线路进行复建，经与三江口水电站水电站的权属单位广东泰源伟业集团公司沟通，该公司计划对原三江口水电站及配套的3</w:t>
      </w:r>
      <w:r>
        <w:rPr>
          <w:rFonts w:hAnsi="宋体"/>
          <w:sz w:val="24"/>
        </w:rPr>
        <w:t>5kV</w:t>
      </w:r>
      <w:r>
        <w:rPr>
          <w:rFonts w:hint="eastAsia" w:hAnsi="宋体"/>
          <w:sz w:val="24"/>
        </w:rPr>
        <w:t>升压站进行复建，故复建后的</w:t>
      </w:r>
      <w:r>
        <w:rPr>
          <w:sz w:val="24"/>
        </w:rPr>
        <w:t>10kV</w:t>
      </w:r>
      <w:r>
        <w:rPr>
          <w:rFonts w:hint="eastAsia" w:hAnsi="宋体"/>
          <w:sz w:val="24"/>
        </w:rPr>
        <w:t>上咸线将连接咸菜沥水电站至新建的3</w:t>
      </w:r>
      <w:r>
        <w:rPr>
          <w:rFonts w:hAnsi="宋体"/>
          <w:sz w:val="24"/>
        </w:rPr>
        <w:t>5kV</w:t>
      </w:r>
      <w:r>
        <w:rPr>
          <w:rFonts w:hint="eastAsia" w:hAnsi="宋体"/>
          <w:sz w:val="24"/>
        </w:rPr>
        <w:t>三江口升压站，因受影响段的1</w:t>
      </w:r>
      <w:r>
        <w:rPr>
          <w:rFonts w:hAnsi="宋体"/>
          <w:sz w:val="24"/>
        </w:rPr>
        <w:t>0kV</w:t>
      </w:r>
      <w:r>
        <w:rPr>
          <w:rFonts w:hint="eastAsia" w:hAnsi="宋体"/>
          <w:sz w:val="24"/>
        </w:rPr>
        <w:t>上咸线是与1</w:t>
      </w:r>
      <w:r>
        <w:rPr>
          <w:rFonts w:hAnsi="宋体"/>
          <w:sz w:val="24"/>
        </w:rPr>
        <w:t>0kV</w:t>
      </w:r>
      <w:r>
        <w:rPr>
          <w:rFonts w:hint="eastAsia" w:hAnsi="宋体"/>
          <w:sz w:val="24"/>
        </w:rPr>
        <w:t>上三线同杆架设，本次复建仍然考虑与1</w:t>
      </w:r>
      <w:r>
        <w:rPr>
          <w:rFonts w:hAnsi="宋体"/>
          <w:sz w:val="24"/>
        </w:rPr>
        <w:t>0kV</w:t>
      </w:r>
      <w:r>
        <w:rPr>
          <w:rFonts w:hint="eastAsia" w:hAnsi="宋体"/>
          <w:sz w:val="24"/>
        </w:rPr>
        <w:t>上三线同杆架设，即沿着规划的Y</w:t>
      </w:r>
      <w:r>
        <w:rPr>
          <w:rFonts w:hAnsi="宋体"/>
          <w:sz w:val="24"/>
        </w:rPr>
        <w:t>850</w:t>
      </w:r>
      <w:r>
        <w:rPr>
          <w:rFonts w:hint="eastAsia" w:hAnsi="宋体"/>
          <w:sz w:val="24"/>
        </w:rPr>
        <w:t>四级道路架空敷设至新建的3</w:t>
      </w:r>
      <w:r>
        <w:rPr>
          <w:rFonts w:hAnsi="宋体"/>
          <w:sz w:val="24"/>
        </w:rPr>
        <w:t>5kV</w:t>
      </w:r>
      <w:r>
        <w:rPr>
          <w:rFonts w:hint="eastAsia" w:hAnsi="宋体"/>
          <w:sz w:val="24"/>
        </w:rPr>
        <w:t>三江口升压站。全线复建</w:t>
      </w:r>
      <w:r>
        <w:rPr>
          <w:rFonts w:hAnsi="宋体"/>
          <w:sz w:val="24"/>
        </w:rPr>
        <w:t>10kV</w:t>
      </w:r>
      <w:r>
        <w:rPr>
          <w:rFonts w:hint="eastAsia" w:hAnsi="宋体"/>
          <w:sz w:val="24"/>
        </w:rPr>
        <w:t>线路长度</w:t>
      </w:r>
      <w:r>
        <w:rPr>
          <w:rFonts w:hAnsi="宋体"/>
          <w:sz w:val="24"/>
        </w:rPr>
        <w:t>2.0</w:t>
      </w:r>
      <w:r>
        <w:rPr>
          <w:sz w:val="24"/>
        </w:rPr>
        <w:t>0km</w:t>
      </w:r>
      <w:r>
        <w:rPr>
          <w:rFonts w:hint="eastAsia" w:hAnsi="宋体"/>
          <w:sz w:val="24"/>
        </w:rPr>
        <w:t>，因复建线路横穿林区，导线采用J</w:t>
      </w:r>
      <w:r>
        <w:rPr>
          <w:rFonts w:hAnsi="宋体"/>
          <w:sz w:val="24"/>
        </w:rPr>
        <w:t>KLGYJ</w:t>
      </w:r>
      <w:r>
        <w:rPr>
          <w:sz w:val="24"/>
        </w:rPr>
        <w:t>-70</w:t>
      </w:r>
      <w:r>
        <w:rPr>
          <w:rFonts w:hint="eastAsia" w:hAnsi="宋体"/>
          <w:sz w:val="24"/>
        </w:rPr>
        <w:t>型绝缘导线。</w:t>
      </w:r>
    </w:p>
    <w:p>
      <w:pPr>
        <w:adjustRightInd w:val="0"/>
        <w:snapToGrid w:val="0"/>
        <w:spacing w:line="480" w:lineRule="exact"/>
        <w:ind w:firstLine="480" w:firstLineChars="200"/>
        <w:rPr>
          <w:sz w:val="24"/>
        </w:rPr>
      </w:pPr>
      <w:r>
        <w:rPr>
          <w:sz w:val="24"/>
        </w:rPr>
        <w:t>e) 10kV</w:t>
      </w:r>
      <w:r>
        <w:rPr>
          <w:rFonts w:hint="eastAsia" w:hAnsi="宋体"/>
          <w:sz w:val="24"/>
        </w:rPr>
        <w:t>深三线复建</w:t>
      </w:r>
    </w:p>
    <w:p>
      <w:pPr>
        <w:adjustRightInd w:val="0"/>
        <w:snapToGrid w:val="0"/>
        <w:spacing w:line="480" w:lineRule="exact"/>
        <w:ind w:firstLine="480" w:firstLineChars="200"/>
        <w:rPr>
          <w:rFonts w:hAnsi="宋体"/>
          <w:sz w:val="24"/>
        </w:rPr>
      </w:pPr>
      <w:r>
        <w:rPr>
          <w:sz w:val="24"/>
        </w:rPr>
        <w:t>10kV</w:t>
      </w:r>
      <w:r>
        <w:rPr>
          <w:rFonts w:hint="eastAsia" w:hAnsi="宋体"/>
          <w:sz w:val="24"/>
        </w:rPr>
        <w:t>深三线是连接深嘉路水电站至3</w:t>
      </w:r>
      <w:r>
        <w:rPr>
          <w:rFonts w:hAnsi="宋体"/>
          <w:sz w:val="24"/>
        </w:rPr>
        <w:t>5kV</w:t>
      </w:r>
      <w:r>
        <w:rPr>
          <w:rFonts w:hint="eastAsia" w:hAnsi="宋体"/>
          <w:sz w:val="24"/>
        </w:rPr>
        <w:t>三江口升压站的1</w:t>
      </w:r>
      <w:r>
        <w:rPr>
          <w:rFonts w:hAnsi="宋体"/>
          <w:sz w:val="24"/>
        </w:rPr>
        <w:t>0kV</w:t>
      </w:r>
      <w:r>
        <w:rPr>
          <w:rFonts w:hint="eastAsia" w:hAnsi="宋体"/>
          <w:sz w:val="24"/>
        </w:rPr>
        <w:t>送出线路，导线型号为L</w:t>
      </w:r>
      <w:r>
        <w:rPr>
          <w:rFonts w:hAnsi="宋体"/>
          <w:sz w:val="24"/>
        </w:rPr>
        <w:t>GJ-3x70</w:t>
      </w:r>
      <w:r>
        <w:rPr>
          <w:rFonts w:hint="eastAsia" w:hAnsi="宋体"/>
          <w:sz w:val="24"/>
        </w:rPr>
        <w:t>，受抽水蓄能电站的下库及枢纽工程建设区影响长度为</w:t>
      </w:r>
      <w:r>
        <w:rPr>
          <w:rFonts w:hAnsi="宋体"/>
          <w:sz w:val="24"/>
        </w:rPr>
        <w:t>1.60</w:t>
      </w:r>
      <w:r>
        <w:rPr>
          <w:rFonts w:hint="eastAsia" w:hAnsi="宋体"/>
          <w:sz w:val="24"/>
        </w:rPr>
        <w:t>km，因深嘉路水电站没有受电站建设影响，故需对其1</w:t>
      </w:r>
      <w:r>
        <w:rPr>
          <w:rFonts w:hAnsi="宋体"/>
          <w:sz w:val="24"/>
        </w:rPr>
        <w:t>0kV</w:t>
      </w:r>
      <w:r>
        <w:rPr>
          <w:rFonts w:hint="eastAsia" w:hAnsi="宋体"/>
          <w:sz w:val="24"/>
        </w:rPr>
        <w:t>上网线路进行复建，经与三江口水电站水电站的权属单位广东泰源伟业集团公司沟通，该公司计划对原三江口水电站及配套的3</w:t>
      </w:r>
      <w:r>
        <w:rPr>
          <w:rFonts w:hAnsi="宋体"/>
          <w:sz w:val="24"/>
        </w:rPr>
        <w:t>5kV</w:t>
      </w:r>
      <w:r>
        <w:rPr>
          <w:rFonts w:hint="eastAsia" w:hAnsi="宋体"/>
          <w:sz w:val="24"/>
        </w:rPr>
        <w:t>升压站进行复建，故复建后的</w:t>
      </w:r>
      <w:r>
        <w:rPr>
          <w:sz w:val="24"/>
        </w:rPr>
        <w:t>10kV</w:t>
      </w:r>
      <w:r>
        <w:rPr>
          <w:rFonts w:hint="eastAsia" w:hAnsi="宋体"/>
          <w:sz w:val="24"/>
        </w:rPr>
        <w:t>深三线将连接深嘉路水电站至新建的3</w:t>
      </w:r>
      <w:r>
        <w:rPr>
          <w:rFonts w:hAnsi="宋体"/>
          <w:sz w:val="24"/>
        </w:rPr>
        <w:t>5kV</w:t>
      </w:r>
      <w:r>
        <w:rPr>
          <w:rFonts w:hint="eastAsia" w:hAnsi="宋体"/>
          <w:sz w:val="24"/>
        </w:rPr>
        <w:t>三江口升压站，因新建的3</w:t>
      </w:r>
      <w:r>
        <w:rPr>
          <w:rFonts w:hAnsi="宋体"/>
          <w:sz w:val="24"/>
        </w:rPr>
        <w:t>5kV</w:t>
      </w:r>
      <w:r>
        <w:rPr>
          <w:rFonts w:hint="eastAsia" w:hAnsi="宋体"/>
          <w:sz w:val="24"/>
        </w:rPr>
        <w:t>三江口升压站刚好位于原</w:t>
      </w:r>
      <w:r>
        <w:rPr>
          <w:sz w:val="24"/>
        </w:rPr>
        <w:t>10kV</w:t>
      </w:r>
      <w:r>
        <w:rPr>
          <w:rFonts w:hint="eastAsia" w:hAnsi="宋体"/>
          <w:sz w:val="24"/>
        </w:rPr>
        <w:t>深三线线行附近，故直接从最近的杆塔上T接引至3</w:t>
      </w:r>
      <w:r>
        <w:rPr>
          <w:rFonts w:hAnsi="宋体"/>
          <w:sz w:val="24"/>
        </w:rPr>
        <w:t>5kV</w:t>
      </w:r>
      <w:r>
        <w:rPr>
          <w:rFonts w:hint="eastAsia" w:hAnsi="宋体"/>
          <w:sz w:val="24"/>
        </w:rPr>
        <w:t>三江口升压站，全线复建</w:t>
      </w:r>
      <w:r>
        <w:rPr>
          <w:rFonts w:hAnsi="宋体"/>
          <w:sz w:val="24"/>
        </w:rPr>
        <w:t>10kV</w:t>
      </w:r>
      <w:r>
        <w:rPr>
          <w:rFonts w:hint="eastAsia" w:hAnsi="宋体"/>
          <w:sz w:val="24"/>
        </w:rPr>
        <w:t>线路长度</w:t>
      </w:r>
      <w:r>
        <w:rPr>
          <w:rFonts w:hAnsi="宋体"/>
          <w:sz w:val="24"/>
        </w:rPr>
        <w:t>0.2</w:t>
      </w:r>
      <w:r>
        <w:rPr>
          <w:sz w:val="24"/>
        </w:rPr>
        <w:t>0km</w:t>
      </w:r>
      <w:r>
        <w:rPr>
          <w:rFonts w:hint="eastAsia" w:hAnsi="宋体"/>
          <w:sz w:val="24"/>
        </w:rPr>
        <w:t>，导线采用</w:t>
      </w:r>
      <w:r>
        <w:rPr>
          <w:rFonts w:hAnsi="宋体"/>
          <w:sz w:val="24"/>
        </w:rPr>
        <w:t>LGJ</w:t>
      </w:r>
      <w:r>
        <w:rPr>
          <w:sz w:val="24"/>
        </w:rPr>
        <w:t>-70</w:t>
      </w:r>
      <w:r>
        <w:rPr>
          <w:rFonts w:hint="eastAsia" w:hAnsi="宋体"/>
          <w:sz w:val="24"/>
        </w:rPr>
        <w:t>型钢芯铝绞线。</w:t>
      </w:r>
    </w:p>
    <w:p>
      <w:pPr>
        <w:adjustRightInd w:val="0"/>
        <w:snapToGrid w:val="0"/>
        <w:spacing w:line="480" w:lineRule="exact"/>
        <w:ind w:firstLine="480" w:firstLineChars="200"/>
        <w:rPr>
          <w:sz w:val="24"/>
        </w:rPr>
      </w:pPr>
      <w:r>
        <w:rPr>
          <w:sz w:val="24"/>
        </w:rPr>
        <w:t>f) 10kV</w:t>
      </w:r>
      <w:r>
        <w:rPr>
          <w:rFonts w:hint="eastAsia" w:hAnsi="宋体"/>
          <w:sz w:val="24"/>
        </w:rPr>
        <w:t>老三线复建</w:t>
      </w:r>
    </w:p>
    <w:p>
      <w:pPr>
        <w:adjustRightInd w:val="0"/>
        <w:snapToGrid w:val="0"/>
        <w:spacing w:line="480" w:lineRule="exact"/>
        <w:ind w:firstLine="480" w:firstLineChars="200"/>
        <w:rPr>
          <w:rFonts w:hAnsi="宋体"/>
          <w:sz w:val="24"/>
        </w:rPr>
      </w:pPr>
      <w:r>
        <w:rPr>
          <w:rFonts w:hAnsi="宋体"/>
          <w:sz w:val="24"/>
        </w:rPr>
        <w:t>10kV</w:t>
      </w:r>
      <w:r>
        <w:rPr>
          <w:rFonts w:hint="eastAsia" w:hAnsi="宋体"/>
          <w:sz w:val="24"/>
        </w:rPr>
        <w:t>老三线是连接激石溪老区水电站至3</w:t>
      </w:r>
      <w:r>
        <w:rPr>
          <w:rFonts w:hAnsi="宋体"/>
          <w:sz w:val="24"/>
        </w:rPr>
        <w:t>5kV</w:t>
      </w:r>
      <w:r>
        <w:rPr>
          <w:rFonts w:hint="eastAsia" w:hAnsi="宋体"/>
          <w:sz w:val="24"/>
        </w:rPr>
        <w:t>三江口升压站的1</w:t>
      </w:r>
      <w:r>
        <w:rPr>
          <w:rFonts w:hAnsi="宋体"/>
          <w:sz w:val="24"/>
        </w:rPr>
        <w:t>0kV</w:t>
      </w:r>
      <w:r>
        <w:rPr>
          <w:rFonts w:hint="eastAsia" w:hAnsi="宋体"/>
          <w:sz w:val="24"/>
        </w:rPr>
        <w:t>送出线路，导线型号为L</w:t>
      </w:r>
      <w:r>
        <w:rPr>
          <w:rFonts w:hAnsi="宋体"/>
          <w:sz w:val="24"/>
        </w:rPr>
        <w:t>GJ-3x70</w:t>
      </w:r>
      <w:r>
        <w:rPr>
          <w:rFonts w:hint="eastAsia" w:hAnsi="宋体"/>
          <w:sz w:val="24"/>
        </w:rPr>
        <w:t>，受抽水蓄能电站的下库及枢纽工程建设区影响长度为</w:t>
      </w:r>
      <w:r>
        <w:rPr>
          <w:rFonts w:hAnsi="宋体"/>
          <w:sz w:val="24"/>
        </w:rPr>
        <w:t>1.00</w:t>
      </w:r>
      <w:r>
        <w:rPr>
          <w:rFonts w:hint="eastAsia" w:hAnsi="宋体"/>
          <w:sz w:val="24"/>
        </w:rPr>
        <w:t>km，因激石溪老区水电站厂房受抽水蓄能电站建设影响，无复建条件，其1</w:t>
      </w:r>
      <w:r>
        <w:rPr>
          <w:rFonts w:hAnsi="宋体"/>
          <w:sz w:val="24"/>
        </w:rPr>
        <w:t>0kV</w:t>
      </w:r>
      <w:r>
        <w:rPr>
          <w:rFonts w:hint="eastAsia" w:hAnsi="宋体"/>
          <w:sz w:val="24"/>
        </w:rPr>
        <w:t>上网线路也没有复建的必要性，故该线路不再复建，其受影响的1</w:t>
      </w:r>
      <w:r>
        <w:rPr>
          <w:rFonts w:hAnsi="宋体"/>
          <w:sz w:val="24"/>
        </w:rPr>
        <w:t>.00km</w:t>
      </w:r>
      <w:r>
        <w:rPr>
          <w:rFonts w:hint="eastAsia" w:hAnsi="宋体"/>
          <w:sz w:val="24"/>
        </w:rPr>
        <w:t>长线路纳入小水电站的赔偿中解决，电力专项不再单独处理。</w:t>
      </w:r>
    </w:p>
    <w:p>
      <w:pPr>
        <w:adjustRightInd w:val="0"/>
        <w:snapToGrid w:val="0"/>
        <w:spacing w:line="480" w:lineRule="exact"/>
        <w:ind w:firstLine="480" w:firstLineChars="200"/>
        <w:rPr>
          <w:sz w:val="24"/>
        </w:rPr>
      </w:pPr>
      <w:r>
        <w:rPr>
          <w:sz w:val="24"/>
        </w:rPr>
        <w:t>g) 10kV</w:t>
      </w:r>
      <w:r>
        <w:rPr>
          <w:rFonts w:hint="eastAsia" w:hAnsi="宋体"/>
          <w:sz w:val="24"/>
        </w:rPr>
        <w:t>南坪线复建</w:t>
      </w:r>
    </w:p>
    <w:p>
      <w:pPr>
        <w:adjustRightInd w:val="0"/>
        <w:snapToGrid w:val="0"/>
        <w:spacing w:line="480" w:lineRule="exact"/>
        <w:ind w:firstLine="480" w:firstLineChars="200"/>
        <w:rPr>
          <w:rFonts w:hAnsi="宋体"/>
          <w:sz w:val="24"/>
        </w:rPr>
      </w:pPr>
      <w:r>
        <w:rPr>
          <w:rFonts w:hAnsi="宋体"/>
          <w:sz w:val="24"/>
        </w:rPr>
        <w:t>10kV</w:t>
      </w:r>
      <w:r>
        <w:rPr>
          <w:rFonts w:hint="eastAsia" w:hAnsi="宋体"/>
          <w:sz w:val="24"/>
        </w:rPr>
        <w:t>南坪线是连接坪田水电站至3</w:t>
      </w:r>
      <w:r>
        <w:rPr>
          <w:rFonts w:hAnsi="宋体"/>
          <w:sz w:val="24"/>
        </w:rPr>
        <w:t>5kV</w:t>
      </w:r>
      <w:r>
        <w:rPr>
          <w:rFonts w:hint="eastAsia" w:hAnsi="宋体"/>
          <w:sz w:val="24"/>
        </w:rPr>
        <w:t>三江口升压站的1</w:t>
      </w:r>
      <w:r>
        <w:rPr>
          <w:rFonts w:hAnsi="宋体"/>
          <w:sz w:val="24"/>
        </w:rPr>
        <w:t>0kV</w:t>
      </w:r>
      <w:r>
        <w:rPr>
          <w:rFonts w:hint="eastAsia" w:hAnsi="宋体"/>
          <w:sz w:val="24"/>
        </w:rPr>
        <w:t>送出线路，导线型号为L</w:t>
      </w:r>
      <w:r>
        <w:rPr>
          <w:rFonts w:hAnsi="宋体"/>
          <w:sz w:val="24"/>
        </w:rPr>
        <w:t>GJ-3x70</w:t>
      </w:r>
      <w:r>
        <w:rPr>
          <w:rFonts w:hint="eastAsia" w:hAnsi="宋体"/>
          <w:sz w:val="24"/>
        </w:rPr>
        <w:t>，受抽水蓄能电站的上下库连接道的影响长度为</w:t>
      </w:r>
      <w:r>
        <w:rPr>
          <w:rFonts w:hAnsi="宋体"/>
          <w:sz w:val="24"/>
        </w:rPr>
        <w:t>0.97</w:t>
      </w:r>
      <w:r>
        <w:rPr>
          <w:rFonts w:hint="eastAsia" w:hAnsi="宋体"/>
          <w:sz w:val="24"/>
        </w:rPr>
        <w:t>km，因坪田水电站的水头受抽水蓄能电站建设影响，无复建条件，其1</w:t>
      </w:r>
      <w:r>
        <w:rPr>
          <w:rFonts w:hAnsi="宋体"/>
          <w:sz w:val="24"/>
        </w:rPr>
        <w:t>0kV</w:t>
      </w:r>
      <w:r>
        <w:rPr>
          <w:rFonts w:hint="eastAsia" w:hAnsi="宋体"/>
          <w:sz w:val="24"/>
        </w:rPr>
        <w:t>上网线路也没有复建的必要性，故该线路不再复建，其受影响的</w:t>
      </w:r>
      <w:r>
        <w:rPr>
          <w:rFonts w:hAnsi="宋体"/>
          <w:sz w:val="24"/>
        </w:rPr>
        <w:t>0.97km</w:t>
      </w:r>
      <w:r>
        <w:rPr>
          <w:rFonts w:hint="eastAsia" w:hAnsi="宋体"/>
          <w:sz w:val="24"/>
        </w:rPr>
        <w:t>长线路纳入小水电站的赔偿中解决，电力专项不再单独处理。</w:t>
      </w:r>
    </w:p>
    <w:p>
      <w:pPr>
        <w:adjustRightInd w:val="0"/>
        <w:snapToGrid w:val="0"/>
        <w:spacing w:line="480" w:lineRule="exact"/>
        <w:ind w:firstLine="480" w:firstLineChars="200"/>
        <w:rPr>
          <w:sz w:val="24"/>
        </w:rPr>
      </w:pPr>
      <w:r>
        <w:rPr>
          <w:sz w:val="24"/>
        </w:rPr>
        <w:t>h) 10kV</w:t>
      </w:r>
      <w:r>
        <w:rPr>
          <w:rFonts w:hint="eastAsia" w:hAnsi="宋体"/>
          <w:sz w:val="24"/>
        </w:rPr>
        <w:t>激石溪线博背支线及附属台区</w:t>
      </w:r>
    </w:p>
    <w:p>
      <w:pPr>
        <w:adjustRightInd w:val="0"/>
        <w:snapToGrid w:val="0"/>
        <w:spacing w:line="480" w:lineRule="exact"/>
        <w:ind w:firstLine="480" w:firstLineChars="200"/>
        <w:rPr>
          <w:rFonts w:hAnsi="宋体"/>
          <w:sz w:val="24"/>
        </w:rPr>
      </w:pPr>
      <w:r>
        <w:rPr>
          <w:sz w:val="24"/>
        </w:rPr>
        <w:t>10kV</w:t>
      </w:r>
      <w:r>
        <w:rPr>
          <w:rFonts w:hint="eastAsia" w:hAnsi="宋体"/>
          <w:sz w:val="24"/>
        </w:rPr>
        <w:t>激石溪线博背支线是从</w:t>
      </w:r>
      <w:r>
        <w:rPr>
          <w:sz w:val="24"/>
        </w:rPr>
        <w:t>10kV</w:t>
      </w:r>
      <w:r>
        <w:rPr>
          <w:rFonts w:hint="eastAsia" w:hAnsi="宋体"/>
          <w:sz w:val="24"/>
        </w:rPr>
        <w:t>激石溪线联络支线引出至1</w:t>
      </w:r>
      <w:r>
        <w:rPr>
          <w:rFonts w:hAnsi="宋体"/>
          <w:sz w:val="24"/>
        </w:rPr>
        <w:t>0kV</w:t>
      </w:r>
      <w:r>
        <w:rPr>
          <w:rFonts w:hint="eastAsia" w:hAnsi="宋体"/>
          <w:sz w:val="24"/>
        </w:rPr>
        <w:t>博背台区的一条专线，下面带有一台2</w:t>
      </w:r>
      <w:r>
        <w:rPr>
          <w:rFonts w:hAnsi="宋体"/>
          <w:sz w:val="24"/>
        </w:rPr>
        <w:t>0kVA</w:t>
      </w:r>
      <w:r>
        <w:rPr>
          <w:rFonts w:hint="eastAsia" w:hAnsi="宋体"/>
          <w:sz w:val="24"/>
        </w:rPr>
        <w:t>的博背变压器及0</w:t>
      </w:r>
      <w:r>
        <w:rPr>
          <w:rFonts w:hAnsi="宋体"/>
          <w:sz w:val="24"/>
        </w:rPr>
        <w:t>.4km</w:t>
      </w:r>
      <w:r>
        <w:rPr>
          <w:rFonts w:hint="eastAsia" w:hAnsi="宋体"/>
          <w:sz w:val="24"/>
        </w:rPr>
        <w:t>的配套0</w:t>
      </w:r>
      <w:r>
        <w:rPr>
          <w:rFonts w:hAnsi="宋体"/>
          <w:sz w:val="24"/>
        </w:rPr>
        <w:t>.4kV</w:t>
      </w:r>
      <w:r>
        <w:rPr>
          <w:rFonts w:hint="eastAsia" w:hAnsi="宋体"/>
          <w:sz w:val="24"/>
        </w:rPr>
        <w:t>线路，因该台区已经停运，故本次不再对其进行复建，在库区清理时，将该线路设施拆除，并按照南方电网的要求将拆除资产移交给供电局。</w:t>
      </w:r>
    </w:p>
    <w:p>
      <w:pPr>
        <w:pStyle w:val="3"/>
      </w:pPr>
      <w:bookmarkStart w:id="277" w:name="_Toc86265091"/>
      <w:bookmarkStart w:id="278" w:name="_Toc85487743"/>
      <w:bookmarkStart w:id="279" w:name="_Toc85660277"/>
      <w:bookmarkStart w:id="280" w:name="_Toc90934885"/>
      <w:bookmarkStart w:id="281" w:name="_Toc26843"/>
      <w:bookmarkStart w:id="282" w:name="_Toc7416"/>
      <w:r>
        <w:t>7.</w:t>
      </w:r>
      <w:r>
        <w:rPr>
          <w:rFonts w:hint="eastAsia"/>
        </w:rPr>
        <w:t>4</w:t>
      </w:r>
      <w:r>
        <w:t xml:space="preserve">  通信工程</w:t>
      </w:r>
      <w:bookmarkEnd w:id="277"/>
      <w:bookmarkEnd w:id="278"/>
      <w:bookmarkEnd w:id="279"/>
      <w:bookmarkEnd w:id="280"/>
      <w:r>
        <w:t xml:space="preserve"> </w:t>
      </w:r>
      <w:bookmarkEnd w:id="281"/>
      <w:bookmarkEnd w:id="282"/>
    </w:p>
    <w:p>
      <w:pPr>
        <w:pStyle w:val="4"/>
      </w:pPr>
      <w:bookmarkStart w:id="283" w:name="_Toc85660278"/>
      <w:bookmarkStart w:id="284" w:name="_Toc85632510"/>
      <w:bookmarkStart w:id="285" w:name="_Toc85487744"/>
      <w:r>
        <w:t>7.</w:t>
      </w:r>
      <w:r>
        <w:rPr>
          <w:rFonts w:hint="eastAsia"/>
        </w:rPr>
        <w:t>4</w:t>
      </w:r>
      <w:r>
        <w:t xml:space="preserve">.1  </w:t>
      </w:r>
      <w:r>
        <w:rPr>
          <w:rFonts w:hint="eastAsia"/>
        </w:rPr>
        <w:t>通信设施规划范围</w:t>
      </w:r>
      <w:bookmarkEnd w:id="283"/>
      <w:bookmarkEnd w:id="284"/>
      <w:bookmarkEnd w:id="285"/>
    </w:p>
    <w:p>
      <w:pPr>
        <w:adjustRightInd w:val="0"/>
        <w:snapToGrid w:val="0"/>
        <w:spacing w:line="480" w:lineRule="exact"/>
        <w:ind w:firstLine="480" w:firstLineChars="200"/>
        <w:rPr>
          <w:sz w:val="24"/>
        </w:rPr>
      </w:pPr>
      <w:r>
        <w:rPr>
          <w:sz w:val="24"/>
        </w:rPr>
        <w:t>本工程主要对受抽水蓄能电站建设征地影响的通信设施按照原规模、原标准、恢复原功能的三原原则进行规划复建</w:t>
      </w:r>
      <w:r>
        <w:rPr>
          <w:rFonts w:hint="eastAsia"/>
          <w:sz w:val="24"/>
        </w:rPr>
        <w:t>：规划复建权属电信公司的通信杆路</w:t>
      </w:r>
      <w:r>
        <w:rPr>
          <w:sz w:val="24"/>
        </w:rPr>
        <w:t>1</w:t>
      </w:r>
      <w:r>
        <w:rPr>
          <w:rFonts w:hint="eastAsia"/>
          <w:sz w:val="24"/>
        </w:rPr>
        <w:t>段，长度为</w:t>
      </w:r>
      <w:r>
        <w:rPr>
          <w:sz w:val="24"/>
        </w:rPr>
        <w:t>2.20km</w:t>
      </w:r>
      <w:r>
        <w:rPr>
          <w:rFonts w:hint="eastAsia"/>
          <w:sz w:val="24"/>
        </w:rPr>
        <w:t>，</w:t>
      </w:r>
      <w:r>
        <w:rPr>
          <w:sz w:val="24"/>
        </w:rPr>
        <w:t>24</w:t>
      </w:r>
      <w:r>
        <w:rPr>
          <w:rFonts w:hint="eastAsia"/>
          <w:sz w:val="24"/>
        </w:rPr>
        <w:t>芯光缆线路</w:t>
      </w:r>
      <w:r>
        <w:rPr>
          <w:sz w:val="24"/>
        </w:rPr>
        <w:t>2</w:t>
      </w:r>
      <w:r>
        <w:rPr>
          <w:rFonts w:hint="eastAsia"/>
          <w:sz w:val="24"/>
        </w:rPr>
        <w:t>条，总长度为</w:t>
      </w:r>
      <w:r>
        <w:rPr>
          <w:sz w:val="24"/>
        </w:rPr>
        <w:t>4.40km</w:t>
      </w:r>
      <w:r>
        <w:rPr>
          <w:rFonts w:hint="eastAsia"/>
          <w:sz w:val="24"/>
        </w:rPr>
        <w:t>，</w:t>
      </w:r>
      <w:r>
        <w:rPr>
          <w:sz w:val="24"/>
        </w:rPr>
        <w:t>12</w:t>
      </w:r>
      <w:r>
        <w:rPr>
          <w:rFonts w:hint="eastAsia"/>
          <w:sz w:val="24"/>
        </w:rPr>
        <w:t>芯光缆线路</w:t>
      </w:r>
      <w:r>
        <w:rPr>
          <w:sz w:val="24"/>
        </w:rPr>
        <w:t>2</w:t>
      </w:r>
      <w:r>
        <w:rPr>
          <w:rFonts w:hint="eastAsia"/>
          <w:sz w:val="24"/>
        </w:rPr>
        <w:t>条，总长度为</w:t>
      </w:r>
      <w:r>
        <w:rPr>
          <w:sz w:val="24"/>
        </w:rPr>
        <w:t>4.40km</w:t>
      </w:r>
      <w:r>
        <w:rPr>
          <w:rFonts w:hint="eastAsia"/>
          <w:sz w:val="24"/>
        </w:rPr>
        <w:t>；复建移动公司12芯光缆线路1条，长度为2.20km，按照共建共享原则，该通信线路与电信公司共杆敷设；另搬迁电信公司的激溪林场C网基站一座，将除1</w:t>
      </w:r>
      <w:r>
        <w:rPr>
          <w:sz w:val="24"/>
        </w:rPr>
        <w:t>5m</w:t>
      </w:r>
      <w:r>
        <w:rPr>
          <w:rFonts w:hint="eastAsia"/>
          <w:sz w:val="24"/>
        </w:rPr>
        <w:t>高的支撑铁塔及铁皮构架外的所有设备搬迁至老区水电站蓄水池边上的激溪林场基站，具体详见表7</w:t>
      </w:r>
      <w:r>
        <w:rPr>
          <w:sz w:val="24"/>
        </w:rPr>
        <w:t>.</w:t>
      </w:r>
      <w:r>
        <w:rPr>
          <w:rFonts w:hint="eastAsia"/>
          <w:sz w:val="24"/>
        </w:rPr>
        <w:t>4</w:t>
      </w:r>
      <w:r>
        <w:rPr>
          <w:sz w:val="24"/>
        </w:rPr>
        <w:t>.1</w:t>
      </w:r>
      <w:r>
        <w:rPr>
          <w:rFonts w:hint="eastAsia"/>
          <w:sz w:val="24"/>
        </w:rPr>
        <w:t>-</w:t>
      </w:r>
      <w:r>
        <w:rPr>
          <w:sz w:val="24"/>
        </w:rPr>
        <w:t>1</w:t>
      </w:r>
      <w:r>
        <w:rPr>
          <w:rFonts w:hint="eastAsia"/>
          <w:sz w:val="24"/>
        </w:rPr>
        <w:t>。</w:t>
      </w:r>
    </w:p>
    <w:p>
      <w:pPr>
        <w:pStyle w:val="517"/>
      </w:pPr>
      <w:r>
        <w:rPr>
          <w:rFonts w:hint="eastAsia"/>
        </w:rPr>
        <w:t>表</w:t>
      </w:r>
      <w:r>
        <w:t>7.</w:t>
      </w:r>
      <w:r>
        <w:rPr>
          <w:rFonts w:hint="eastAsia"/>
        </w:rPr>
        <w:t>4</w:t>
      </w:r>
      <w:r>
        <w:t xml:space="preserve">.1-1  </w:t>
      </w:r>
      <w:r>
        <w:rPr>
          <w:rFonts w:hint="eastAsia"/>
        </w:rPr>
        <w:t>陆河抽水蓄能电站影响通信设施规划复建汇总表</w:t>
      </w:r>
    </w:p>
    <w:tbl>
      <w:tblPr>
        <w:tblStyle w:val="79"/>
        <w:tblW w:w="86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6"/>
        <w:gridCol w:w="1206"/>
        <w:gridCol w:w="791"/>
        <w:gridCol w:w="930"/>
        <w:gridCol w:w="661"/>
        <w:gridCol w:w="797"/>
        <w:gridCol w:w="961"/>
        <w:gridCol w:w="797"/>
        <w:gridCol w:w="789"/>
        <w:gridCol w:w="11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6" w:type="dxa"/>
            <w:vAlign w:val="center"/>
          </w:tcPr>
          <w:p>
            <w:pPr>
              <w:adjustRightInd w:val="0"/>
              <w:snapToGrid w:val="0"/>
              <w:jc w:val="center"/>
              <w:rPr>
                <w:rFonts w:cs="Times New Roman"/>
                <w:kern w:val="0"/>
                <w:sz w:val="18"/>
                <w:szCs w:val="18"/>
              </w:rPr>
            </w:pPr>
            <w:r>
              <w:rPr>
                <w:rFonts w:hAnsi="宋体" w:cs="Times New Roman"/>
                <w:kern w:val="0"/>
                <w:sz w:val="18"/>
                <w:szCs w:val="18"/>
              </w:rPr>
              <w:t>序号</w:t>
            </w:r>
          </w:p>
        </w:tc>
        <w:tc>
          <w:tcPr>
            <w:tcW w:w="1206" w:type="dxa"/>
            <w:vAlign w:val="center"/>
          </w:tcPr>
          <w:p>
            <w:pPr>
              <w:adjustRightInd w:val="0"/>
              <w:snapToGrid w:val="0"/>
              <w:jc w:val="center"/>
              <w:rPr>
                <w:rFonts w:cs="Times New Roman"/>
                <w:kern w:val="0"/>
                <w:sz w:val="18"/>
                <w:szCs w:val="18"/>
              </w:rPr>
            </w:pPr>
            <w:r>
              <w:rPr>
                <w:rFonts w:hAnsi="宋体" w:cs="Times New Roman"/>
                <w:kern w:val="0"/>
                <w:sz w:val="18"/>
                <w:szCs w:val="18"/>
              </w:rPr>
              <w:t>影响线路</w:t>
            </w:r>
          </w:p>
        </w:tc>
        <w:tc>
          <w:tcPr>
            <w:tcW w:w="791" w:type="dxa"/>
            <w:vAlign w:val="center"/>
          </w:tcPr>
          <w:p>
            <w:pPr>
              <w:adjustRightInd w:val="0"/>
              <w:snapToGrid w:val="0"/>
              <w:jc w:val="center"/>
              <w:rPr>
                <w:rFonts w:cs="Times New Roman"/>
                <w:kern w:val="0"/>
                <w:sz w:val="18"/>
                <w:szCs w:val="18"/>
              </w:rPr>
            </w:pPr>
            <w:r>
              <w:rPr>
                <w:rFonts w:hAnsi="宋体" w:cs="Times New Roman"/>
                <w:kern w:val="0"/>
                <w:sz w:val="18"/>
                <w:szCs w:val="18"/>
              </w:rPr>
              <w:t>影响杆</w:t>
            </w:r>
          </w:p>
          <w:p>
            <w:pPr>
              <w:adjustRightInd w:val="0"/>
              <w:snapToGrid w:val="0"/>
              <w:jc w:val="center"/>
              <w:rPr>
                <w:rFonts w:cs="Times New Roman"/>
                <w:kern w:val="0"/>
                <w:sz w:val="18"/>
                <w:szCs w:val="18"/>
              </w:rPr>
            </w:pPr>
            <w:r>
              <w:rPr>
                <w:rFonts w:hAnsi="宋体" w:cs="Times New Roman"/>
                <w:kern w:val="0"/>
                <w:sz w:val="18"/>
                <w:szCs w:val="18"/>
              </w:rPr>
              <w:t>路长度</w:t>
            </w:r>
          </w:p>
          <w:p>
            <w:pPr>
              <w:adjustRightInd w:val="0"/>
              <w:snapToGrid w:val="0"/>
              <w:jc w:val="center"/>
              <w:rPr>
                <w:rFonts w:cs="Times New Roman"/>
                <w:kern w:val="0"/>
                <w:sz w:val="18"/>
                <w:szCs w:val="18"/>
              </w:rPr>
            </w:pPr>
            <w:r>
              <w:rPr>
                <w:rFonts w:cs="Times New Roman"/>
                <w:kern w:val="0"/>
                <w:sz w:val="18"/>
                <w:szCs w:val="18"/>
              </w:rPr>
              <w:t>(km)</w:t>
            </w:r>
          </w:p>
        </w:tc>
        <w:tc>
          <w:tcPr>
            <w:tcW w:w="930" w:type="dxa"/>
            <w:vAlign w:val="center"/>
          </w:tcPr>
          <w:p>
            <w:pPr>
              <w:adjustRightInd w:val="0"/>
              <w:snapToGrid w:val="0"/>
              <w:jc w:val="center"/>
              <w:rPr>
                <w:rFonts w:cs="Times New Roman"/>
                <w:kern w:val="0"/>
                <w:sz w:val="18"/>
                <w:szCs w:val="18"/>
              </w:rPr>
            </w:pPr>
            <w:r>
              <w:rPr>
                <w:rFonts w:hAnsi="宋体" w:cs="Times New Roman"/>
                <w:kern w:val="0"/>
                <w:sz w:val="18"/>
                <w:szCs w:val="18"/>
              </w:rPr>
              <w:t>影响光缆</w:t>
            </w:r>
          </w:p>
        </w:tc>
        <w:tc>
          <w:tcPr>
            <w:tcW w:w="661" w:type="dxa"/>
            <w:vAlign w:val="center"/>
          </w:tcPr>
          <w:p>
            <w:pPr>
              <w:adjustRightInd w:val="0"/>
              <w:snapToGrid w:val="0"/>
              <w:jc w:val="center"/>
              <w:rPr>
                <w:rFonts w:cs="Times New Roman"/>
                <w:kern w:val="0"/>
                <w:sz w:val="18"/>
                <w:szCs w:val="18"/>
              </w:rPr>
            </w:pPr>
            <w:r>
              <w:rPr>
                <w:rFonts w:hAnsi="宋体" w:cs="Times New Roman"/>
                <w:kern w:val="0"/>
                <w:sz w:val="18"/>
                <w:szCs w:val="18"/>
              </w:rPr>
              <w:t>影响光缆长度</w:t>
            </w:r>
          </w:p>
          <w:p>
            <w:pPr>
              <w:adjustRightInd w:val="0"/>
              <w:snapToGrid w:val="0"/>
              <w:jc w:val="center"/>
              <w:rPr>
                <w:rFonts w:cs="Times New Roman"/>
                <w:kern w:val="0"/>
                <w:sz w:val="18"/>
                <w:szCs w:val="18"/>
              </w:rPr>
            </w:pPr>
            <w:r>
              <w:rPr>
                <w:rFonts w:cs="Times New Roman"/>
                <w:kern w:val="0"/>
                <w:sz w:val="18"/>
                <w:szCs w:val="18"/>
              </w:rPr>
              <w:t>(km)</w:t>
            </w:r>
          </w:p>
        </w:tc>
        <w:tc>
          <w:tcPr>
            <w:tcW w:w="797" w:type="dxa"/>
            <w:vAlign w:val="center"/>
          </w:tcPr>
          <w:p>
            <w:pPr>
              <w:adjustRightInd w:val="0"/>
              <w:snapToGrid w:val="0"/>
              <w:jc w:val="center"/>
              <w:rPr>
                <w:rFonts w:cs="Times New Roman"/>
                <w:kern w:val="0"/>
                <w:sz w:val="18"/>
                <w:szCs w:val="18"/>
              </w:rPr>
            </w:pPr>
            <w:r>
              <w:rPr>
                <w:rFonts w:hAnsi="宋体" w:cs="Times New Roman"/>
                <w:kern w:val="0"/>
                <w:sz w:val="18"/>
                <w:szCs w:val="18"/>
              </w:rPr>
              <w:t>复建杆</w:t>
            </w:r>
          </w:p>
          <w:p>
            <w:pPr>
              <w:adjustRightInd w:val="0"/>
              <w:snapToGrid w:val="0"/>
              <w:jc w:val="center"/>
              <w:rPr>
                <w:rFonts w:cs="Times New Roman"/>
                <w:kern w:val="0"/>
                <w:sz w:val="18"/>
                <w:szCs w:val="18"/>
              </w:rPr>
            </w:pPr>
            <w:r>
              <w:rPr>
                <w:rFonts w:hAnsi="宋体" w:cs="Times New Roman"/>
                <w:kern w:val="0"/>
                <w:sz w:val="18"/>
                <w:szCs w:val="18"/>
              </w:rPr>
              <w:t>路长度</w:t>
            </w:r>
          </w:p>
          <w:p>
            <w:pPr>
              <w:adjustRightInd w:val="0"/>
              <w:snapToGrid w:val="0"/>
              <w:jc w:val="center"/>
              <w:rPr>
                <w:rFonts w:cs="Times New Roman"/>
                <w:kern w:val="0"/>
                <w:sz w:val="18"/>
                <w:szCs w:val="18"/>
              </w:rPr>
            </w:pPr>
            <w:r>
              <w:rPr>
                <w:rFonts w:cs="Times New Roman"/>
                <w:kern w:val="0"/>
                <w:sz w:val="18"/>
                <w:szCs w:val="18"/>
              </w:rPr>
              <w:t>(km)</w:t>
            </w:r>
          </w:p>
        </w:tc>
        <w:tc>
          <w:tcPr>
            <w:tcW w:w="961" w:type="dxa"/>
            <w:vAlign w:val="center"/>
          </w:tcPr>
          <w:p>
            <w:pPr>
              <w:adjustRightInd w:val="0"/>
              <w:snapToGrid w:val="0"/>
              <w:jc w:val="center"/>
              <w:rPr>
                <w:rFonts w:cs="Times New Roman"/>
                <w:kern w:val="0"/>
                <w:sz w:val="18"/>
                <w:szCs w:val="18"/>
              </w:rPr>
            </w:pPr>
            <w:r>
              <w:rPr>
                <w:rFonts w:hAnsi="宋体" w:cs="Times New Roman"/>
                <w:kern w:val="0"/>
                <w:sz w:val="18"/>
                <w:szCs w:val="18"/>
              </w:rPr>
              <w:t>复建光缆</w:t>
            </w:r>
          </w:p>
        </w:tc>
        <w:tc>
          <w:tcPr>
            <w:tcW w:w="797" w:type="dxa"/>
            <w:vAlign w:val="center"/>
          </w:tcPr>
          <w:p>
            <w:pPr>
              <w:adjustRightInd w:val="0"/>
              <w:snapToGrid w:val="0"/>
              <w:jc w:val="center"/>
              <w:rPr>
                <w:rFonts w:cs="Times New Roman"/>
                <w:kern w:val="0"/>
                <w:sz w:val="18"/>
                <w:szCs w:val="18"/>
              </w:rPr>
            </w:pPr>
            <w:r>
              <w:rPr>
                <w:rFonts w:hAnsi="宋体" w:cs="Times New Roman"/>
                <w:kern w:val="0"/>
                <w:sz w:val="18"/>
                <w:szCs w:val="18"/>
              </w:rPr>
              <w:t>复建光</w:t>
            </w:r>
          </w:p>
          <w:p>
            <w:pPr>
              <w:adjustRightInd w:val="0"/>
              <w:snapToGrid w:val="0"/>
              <w:jc w:val="center"/>
              <w:rPr>
                <w:rFonts w:cs="Times New Roman"/>
                <w:kern w:val="0"/>
                <w:sz w:val="18"/>
                <w:szCs w:val="18"/>
              </w:rPr>
            </w:pPr>
            <w:r>
              <w:rPr>
                <w:rFonts w:hAnsi="宋体" w:cs="Times New Roman"/>
                <w:kern w:val="0"/>
                <w:sz w:val="18"/>
                <w:szCs w:val="18"/>
              </w:rPr>
              <w:t>缆长度</w:t>
            </w:r>
          </w:p>
          <w:p>
            <w:pPr>
              <w:adjustRightInd w:val="0"/>
              <w:snapToGrid w:val="0"/>
              <w:jc w:val="center"/>
              <w:rPr>
                <w:rFonts w:cs="Times New Roman"/>
                <w:kern w:val="0"/>
                <w:sz w:val="18"/>
                <w:szCs w:val="18"/>
              </w:rPr>
            </w:pPr>
            <w:r>
              <w:rPr>
                <w:rFonts w:cs="Times New Roman"/>
                <w:kern w:val="0"/>
                <w:sz w:val="18"/>
                <w:szCs w:val="18"/>
              </w:rPr>
              <w:t>(km)</w:t>
            </w:r>
          </w:p>
        </w:tc>
        <w:tc>
          <w:tcPr>
            <w:tcW w:w="789" w:type="dxa"/>
            <w:vAlign w:val="center"/>
          </w:tcPr>
          <w:p>
            <w:pPr>
              <w:adjustRightInd w:val="0"/>
              <w:snapToGrid w:val="0"/>
              <w:jc w:val="center"/>
              <w:rPr>
                <w:rFonts w:cs="Times New Roman"/>
                <w:kern w:val="0"/>
                <w:sz w:val="18"/>
                <w:szCs w:val="18"/>
              </w:rPr>
            </w:pPr>
            <w:r>
              <w:rPr>
                <w:rFonts w:hAnsi="宋体" w:cs="Times New Roman"/>
                <w:kern w:val="0"/>
                <w:sz w:val="18"/>
                <w:szCs w:val="18"/>
              </w:rPr>
              <w:t>权属单位</w:t>
            </w:r>
          </w:p>
        </w:tc>
        <w:tc>
          <w:tcPr>
            <w:tcW w:w="1192" w:type="dxa"/>
            <w:vAlign w:val="center"/>
          </w:tcPr>
          <w:p>
            <w:pPr>
              <w:adjustRightInd w:val="0"/>
              <w:snapToGrid w:val="0"/>
              <w:jc w:val="center"/>
              <w:rPr>
                <w:rFonts w:cs="Times New Roman"/>
                <w:kern w:val="0"/>
                <w:sz w:val="18"/>
                <w:szCs w:val="18"/>
              </w:rPr>
            </w:pPr>
            <w:r>
              <w:rPr>
                <w:rFonts w:hAnsi="宋体" w:cs="Times New Roman"/>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6" w:type="dxa"/>
            <w:vAlign w:val="center"/>
          </w:tcPr>
          <w:p>
            <w:pPr>
              <w:adjustRightInd w:val="0"/>
              <w:snapToGrid w:val="0"/>
              <w:jc w:val="center"/>
              <w:rPr>
                <w:rFonts w:cs="Times New Roman"/>
                <w:kern w:val="0"/>
                <w:sz w:val="18"/>
                <w:szCs w:val="18"/>
              </w:rPr>
            </w:pPr>
            <w:r>
              <w:rPr>
                <w:rFonts w:cs="Times New Roman"/>
                <w:kern w:val="0"/>
                <w:sz w:val="18"/>
                <w:szCs w:val="18"/>
              </w:rPr>
              <w:t>1</w:t>
            </w:r>
          </w:p>
        </w:tc>
        <w:tc>
          <w:tcPr>
            <w:tcW w:w="8124" w:type="dxa"/>
            <w:gridSpan w:val="9"/>
            <w:vAlign w:val="center"/>
          </w:tcPr>
          <w:p>
            <w:pPr>
              <w:adjustRightInd w:val="0"/>
              <w:snapToGrid w:val="0"/>
              <w:jc w:val="center"/>
              <w:rPr>
                <w:rFonts w:cs="Times New Roman"/>
                <w:kern w:val="0"/>
                <w:sz w:val="18"/>
                <w:szCs w:val="18"/>
              </w:rPr>
            </w:pPr>
            <w:r>
              <w:rPr>
                <w:rFonts w:hAnsi="宋体" w:cs="Times New Roman"/>
                <w:kern w:val="0"/>
                <w:sz w:val="18"/>
                <w:szCs w:val="18"/>
              </w:rPr>
              <w:t>通信线路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6" w:type="dxa"/>
            <w:vMerge w:val="restart"/>
            <w:vAlign w:val="center"/>
          </w:tcPr>
          <w:p>
            <w:pPr>
              <w:adjustRightInd w:val="0"/>
              <w:snapToGrid w:val="0"/>
              <w:jc w:val="center"/>
              <w:rPr>
                <w:rFonts w:cs="Times New Roman"/>
                <w:kern w:val="0"/>
                <w:sz w:val="18"/>
                <w:szCs w:val="18"/>
              </w:rPr>
            </w:pPr>
            <w:r>
              <w:rPr>
                <w:rFonts w:cs="Times New Roman"/>
                <w:kern w:val="0"/>
                <w:sz w:val="18"/>
                <w:szCs w:val="18"/>
              </w:rPr>
              <w:t>1.1</w:t>
            </w:r>
          </w:p>
        </w:tc>
        <w:tc>
          <w:tcPr>
            <w:tcW w:w="1206" w:type="dxa"/>
            <w:vMerge w:val="restart"/>
            <w:vAlign w:val="center"/>
          </w:tcPr>
          <w:p>
            <w:pPr>
              <w:adjustRightInd w:val="0"/>
              <w:snapToGrid w:val="0"/>
              <w:jc w:val="center"/>
              <w:rPr>
                <w:rFonts w:cs="Times New Roman"/>
                <w:kern w:val="0"/>
                <w:sz w:val="18"/>
                <w:szCs w:val="18"/>
              </w:rPr>
            </w:pPr>
            <w:r>
              <w:rPr>
                <w:rFonts w:hAnsi="宋体" w:cs="Times New Roman"/>
                <w:kern w:val="0"/>
                <w:sz w:val="18"/>
                <w:szCs w:val="18"/>
              </w:rPr>
              <w:t>三江口电站进线电信光缆</w:t>
            </w:r>
          </w:p>
        </w:tc>
        <w:tc>
          <w:tcPr>
            <w:tcW w:w="791" w:type="dxa"/>
            <w:vMerge w:val="restart"/>
            <w:vAlign w:val="center"/>
          </w:tcPr>
          <w:p>
            <w:pPr>
              <w:adjustRightInd w:val="0"/>
              <w:snapToGrid w:val="0"/>
              <w:jc w:val="center"/>
              <w:rPr>
                <w:rFonts w:cs="Times New Roman"/>
                <w:kern w:val="0"/>
                <w:sz w:val="18"/>
                <w:szCs w:val="18"/>
              </w:rPr>
            </w:pPr>
            <w:r>
              <w:rPr>
                <w:rFonts w:cs="Times New Roman"/>
                <w:kern w:val="0"/>
                <w:sz w:val="18"/>
                <w:szCs w:val="18"/>
              </w:rPr>
              <w:t>1.00</w:t>
            </w:r>
          </w:p>
        </w:tc>
        <w:tc>
          <w:tcPr>
            <w:tcW w:w="930" w:type="dxa"/>
            <w:vAlign w:val="center"/>
          </w:tcPr>
          <w:p>
            <w:pPr>
              <w:adjustRightInd w:val="0"/>
              <w:snapToGrid w:val="0"/>
              <w:jc w:val="center"/>
              <w:rPr>
                <w:rFonts w:cs="Times New Roman"/>
                <w:kern w:val="0"/>
                <w:sz w:val="18"/>
                <w:szCs w:val="18"/>
              </w:rPr>
            </w:pPr>
            <w:r>
              <w:rPr>
                <w:rFonts w:cs="Times New Roman"/>
                <w:kern w:val="0"/>
                <w:sz w:val="18"/>
                <w:szCs w:val="18"/>
              </w:rPr>
              <w:t>GYTS12</w:t>
            </w:r>
            <w:r>
              <w:rPr>
                <w:rFonts w:hAnsi="宋体" w:cs="Times New Roman"/>
                <w:kern w:val="0"/>
                <w:sz w:val="18"/>
                <w:szCs w:val="18"/>
              </w:rPr>
              <w:t>芯</w:t>
            </w:r>
          </w:p>
        </w:tc>
        <w:tc>
          <w:tcPr>
            <w:tcW w:w="661" w:type="dxa"/>
            <w:vAlign w:val="center"/>
          </w:tcPr>
          <w:p>
            <w:pPr>
              <w:adjustRightInd w:val="0"/>
              <w:snapToGrid w:val="0"/>
              <w:jc w:val="center"/>
              <w:rPr>
                <w:rFonts w:cs="Times New Roman"/>
                <w:kern w:val="0"/>
                <w:sz w:val="18"/>
                <w:szCs w:val="18"/>
              </w:rPr>
            </w:pPr>
            <w:r>
              <w:rPr>
                <w:rFonts w:cs="Times New Roman"/>
                <w:kern w:val="0"/>
                <w:sz w:val="18"/>
                <w:szCs w:val="18"/>
              </w:rPr>
              <w:t>2.00</w:t>
            </w:r>
          </w:p>
        </w:tc>
        <w:tc>
          <w:tcPr>
            <w:tcW w:w="797" w:type="dxa"/>
            <w:vMerge w:val="restart"/>
            <w:vAlign w:val="center"/>
          </w:tcPr>
          <w:p>
            <w:pPr>
              <w:adjustRightInd w:val="0"/>
              <w:snapToGrid w:val="0"/>
              <w:jc w:val="center"/>
              <w:rPr>
                <w:rFonts w:cs="Times New Roman"/>
                <w:kern w:val="0"/>
                <w:sz w:val="18"/>
                <w:szCs w:val="18"/>
              </w:rPr>
            </w:pPr>
            <w:r>
              <w:rPr>
                <w:rFonts w:cs="Times New Roman"/>
                <w:kern w:val="0"/>
                <w:sz w:val="18"/>
                <w:szCs w:val="18"/>
              </w:rPr>
              <w:t>2.20</w:t>
            </w:r>
          </w:p>
        </w:tc>
        <w:tc>
          <w:tcPr>
            <w:tcW w:w="961" w:type="dxa"/>
            <w:vAlign w:val="center"/>
          </w:tcPr>
          <w:p>
            <w:pPr>
              <w:adjustRightInd w:val="0"/>
              <w:snapToGrid w:val="0"/>
              <w:jc w:val="center"/>
              <w:rPr>
                <w:rFonts w:cs="Times New Roman"/>
                <w:kern w:val="0"/>
                <w:sz w:val="18"/>
                <w:szCs w:val="18"/>
              </w:rPr>
            </w:pPr>
            <w:r>
              <w:rPr>
                <w:rFonts w:cs="Times New Roman"/>
                <w:kern w:val="0"/>
                <w:sz w:val="18"/>
                <w:szCs w:val="18"/>
              </w:rPr>
              <w:t>GYTS12</w:t>
            </w:r>
            <w:r>
              <w:rPr>
                <w:rFonts w:hAnsi="宋体" w:cs="Times New Roman"/>
                <w:kern w:val="0"/>
                <w:sz w:val="18"/>
                <w:szCs w:val="18"/>
              </w:rPr>
              <w:t>芯</w:t>
            </w:r>
          </w:p>
        </w:tc>
        <w:tc>
          <w:tcPr>
            <w:tcW w:w="797" w:type="dxa"/>
            <w:vAlign w:val="center"/>
          </w:tcPr>
          <w:p>
            <w:pPr>
              <w:adjustRightInd w:val="0"/>
              <w:snapToGrid w:val="0"/>
              <w:jc w:val="center"/>
              <w:rPr>
                <w:rFonts w:cs="Times New Roman"/>
                <w:kern w:val="0"/>
                <w:sz w:val="18"/>
                <w:szCs w:val="18"/>
              </w:rPr>
            </w:pPr>
            <w:r>
              <w:rPr>
                <w:rFonts w:cs="Times New Roman"/>
                <w:kern w:val="0"/>
                <w:sz w:val="18"/>
                <w:szCs w:val="18"/>
              </w:rPr>
              <w:t>4.40</w:t>
            </w:r>
          </w:p>
        </w:tc>
        <w:tc>
          <w:tcPr>
            <w:tcW w:w="789" w:type="dxa"/>
            <w:vMerge w:val="restart"/>
            <w:vAlign w:val="center"/>
          </w:tcPr>
          <w:p>
            <w:pPr>
              <w:adjustRightInd w:val="0"/>
              <w:snapToGrid w:val="0"/>
              <w:jc w:val="center"/>
              <w:rPr>
                <w:rFonts w:cs="Times New Roman"/>
                <w:kern w:val="0"/>
                <w:sz w:val="18"/>
                <w:szCs w:val="18"/>
              </w:rPr>
            </w:pPr>
            <w:r>
              <w:rPr>
                <w:rFonts w:hAnsi="宋体" w:cs="Times New Roman"/>
                <w:kern w:val="0"/>
                <w:sz w:val="18"/>
                <w:szCs w:val="18"/>
              </w:rPr>
              <w:t>电信公司</w:t>
            </w:r>
          </w:p>
        </w:tc>
        <w:tc>
          <w:tcPr>
            <w:tcW w:w="1192" w:type="dxa"/>
            <w:vMerge w:val="restart"/>
            <w:vAlign w:val="center"/>
          </w:tcPr>
          <w:p>
            <w:pPr>
              <w:adjustRightInd w:val="0"/>
              <w:snapToGrid w:val="0"/>
              <w:jc w:val="center"/>
              <w:rPr>
                <w:rFonts w:cs="Times New Roman"/>
                <w:kern w:val="0"/>
                <w:sz w:val="18"/>
                <w:szCs w:val="18"/>
              </w:rPr>
            </w:pPr>
            <w:r>
              <w:rPr>
                <w:rFonts w:hAnsi="宋体" w:cs="Times New Roman"/>
                <w:kern w:val="0"/>
                <w:sz w:val="18"/>
                <w:szCs w:val="18"/>
              </w:rPr>
              <w:t>单杆</w:t>
            </w:r>
            <w:r>
              <w:rPr>
                <w:rFonts w:cs="Times New Roman"/>
                <w:kern w:val="0"/>
                <w:sz w:val="18"/>
                <w:szCs w:val="18"/>
              </w:rPr>
              <w:t>4</w:t>
            </w:r>
            <w:r>
              <w:rPr>
                <w:rFonts w:hAnsi="宋体" w:cs="Times New Roman"/>
                <w:kern w:val="0"/>
                <w:sz w:val="18"/>
                <w:szCs w:val="18"/>
              </w:rPr>
              <w:t>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6" w:type="dxa"/>
            <w:vMerge w:val="continue"/>
            <w:vAlign w:val="center"/>
          </w:tcPr>
          <w:p>
            <w:pPr>
              <w:adjustRightInd w:val="0"/>
              <w:snapToGrid w:val="0"/>
              <w:jc w:val="center"/>
              <w:rPr>
                <w:rFonts w:cs="Times New Roman"/>
                <w:kern w:val="0"/>
                <w:sz w:val="18"/>
                <w:szCs w:val="18"/>
              </w:rPr>
            </w:pPr>
          </w:p>
        </w:tc>
        <w:tc>
          <w:tcPr>
            <w:tcW w:w="1206" w:type="dxa"/>
            <w:vMerge w:val="continue"/>
            <w:vAlign w:val="center"/>
          </w:tcPr>
          <w:p>
            <w:pPr>
              <w:adjustRightInd w:val="0"/>
              <w:snapToGrid w:val="0"/>
              <w:jc w:val="center"/>
              <w:rPr>
                <w:rFonts w:cs="Times New Roman"/>
                <w:kern w:val="0"/>
                <w:sz w:val="18"/>
                <w:szCs w:val="18"/>
              </w:rPr>
            </w:pPr>
          </w:p>
        </w:tc>
        <w:tc>
          <w:tcPr>
            <w:tcW w:w="791" w:type="dxa"/>
            <w:vMerge w:val="continue"/>
            <w:vAlign w:val="center"/>
          </w:tcPr>
          <w:p>
            <w:pPr>
              <w:adjustRightInd w:val="0"/>
              <w:snapToGrid w:val="0"/>
              <w:jc w:val="center"/>
              <w:rPr>
                <w:rFonts w:cs="Times New Roman"/>
                <w:kern w:val="0"/>
                <w:sz w:val="18"/>
                <w:szCs w:val="18"/>
              </w:rPr>
            </w:pPr>
          </w:p>
        </w:tc>
        <w:tc>
          <w:tcPr>
            <w:tcW w:w="930" w:type="dxa"/>
            <w:vAlign w:val="center"/>
          </w:tcPr>
          <w:p>
            <w:pPr>
              <w:adjustRightInd w:val="0"/>
              <w:snapToGrid w:val="0"/>
              <w:jc w:val="center"/>
              <w:rPr>
                <w:rFonts w:cs="Times New Roman"/>
                <w:kern w:val="0"/>
                <w:sz w:val="18"/>
                <w:szCs w:val="18"/>
              </w:rPr>
            </w:pPr>
            <w:r>
              <w:rPr>
                <w:rFonts w:cs="Times New Roman"/>
                <w:kern w:val="0"/>
                <w:sz w:val="18"/>
                <w:szCs w:val="18"/>
              </w:rPr>
              <w:t>GYTS24</w:t>
            </w:r>
            <w:r>
              <w:rPr>
                <w:rFonts w:hAnsi="宋体" w:cs="Times New Roman"/>
                <w:kern w:val="0"/>
                <w:sz w:val="18"/>
                <w:szCs w:val="18"/>
              </w:rPr>
              <w:t>芯</w:t>
            </w:r>
          </w:p>
        </w:tc>
        <w:tc>
          <w:tcPr>
            <w:tcW w:w="661" w:type="dxa"/>
            <w:vAlign w:val="center"/>
          </w:tcPr>
          <w:p>
            <w:pPr>
              <w:adjustRightInd w:val="0"/>
              <w:snapToGrid w:val="0"/>
              <w:jc w:val="center"/>
              <w:rPr>
                <w:rFonts w:cs="Times New Roman"/>
                <w:kern w:val="0"/>
                <w:sz w:val="18"/>
                <w:szCs w:val="18"/>
              </w:rPr>
            </w:pPr>
            <w:r>
              <w:rPr>
                <w:rFonts w:cs="Times New Roman"/>
                <w:kern w:val="0"/>
                <w:sz w:val="18"/>
                <w:szCs w:val="18"/>
              </w:rPr>
              <w:t>2.00</w:t>
            </w:r>
          </w:p>
        </w:tc>
        <w:tc>
          <w:tcPr>
            <w:tcW w:w="797" w:type="dxa"/>
            <w:vMerge w:val="continue"/>
            <w:vAlign w:val="center"/>
          </w:tcPr>
          <w:p>
            <w:pPr>
              <w:adjustRightInd w:val="0"/>
              <w:snapToGrid w:val="0"/>
              <w:jc w:val="center"/>
              <w:rPr>
                <w:rFonts w:cs="Times New Roman"/>
                <w:kern w:val="0"/>
                <w:sz w:val="18"/>
                <w:szCs w:val="18"/>
              </w:rPr>
            </w:pPr>
          </w:p>
        </w:tc>
        <w:tc>
          <w:tcPr>
            <w:tcW w:w="961" w:type="dxa"/>
            <w:vAlign w:val="center"/>
          </w:tcPr>
          <w:p>
            <w:pPr>
              <w:adjustRightInd w:val="0"/>
              <w:snapToGrid w:val="0"/>
              <w:jc w:val="center"/>
              <w:rPr>
                <w:rFonts w:cs="Times New Roman"/>
                <w:kern w:val="0"/>
                <w:sz w:val="18"/>
                <w:szCs w:val="18"/>
              </w:rPr>
            </w:pPr>
            <w:r>
              <w:rPr>
                <w:rFonts w:cs="Times New Roman"/>
                <w:kern w:val="0"/>
                <w:sz w:val="18"/>
                <w:szCs w:val="18"/>
              </w:rPr>
              <w:t>GYTS24</w:t>
            </w:r>
            <w:r>
              <w:rPr>
                <w:rFonts w:hAnsi="宋体" w:cs="Times New Roman"/>
                <w:kern w:val="0"/>
                <w:sz w:val="18"/>
                <w:szCs w:val="18"/>
              </w:rPr>
              <w:t>芯</w:t>
            </w:r>
          </w:p>
        </w:tc>
        <w:tc>
          <w:tcPr>
            <w:tcW w:w="797" w:type="dxa"/>
            <w:vAlign w:val="center"/>
          </w:tcPr>
          <w:p>
            <w:pPr>
              <w:adjustRightInd w:val="0"/>
              <w:snapToGrid w:val="0"/>
              <w:jc w:val="center"/>
              <w:rPr>
                <w:rFonts w:cs="Times New Roman"/>
                <w:kern w:val="0"/>
                <w:sz w:val="18"/>
                <w:szCs w:val="18"/>
              </w:rPr>
            </w:pPr>
            <w:r>
              <w:rPr>
                <w:rFonts w:cs="Times New Roman"/>
                <w:kern w:val="0"/>
                <w:sz w:val="18"/>
                <w:szCs w:val="18"/>
              </w:rPr>
              <w:t>4.40</w:t>
            </w:r>
          </w:p>
        </w:tc>
        <w:tc>
          <w:tcPr>
            <w:tcW w:w="789" w:type="dxa"/>
            <w:vMerge w:val="continue"/>
            <w:vAlign w:val="center"/>
          </w:tcPr>
          <w:p>
            <w:pPr>
              <w:adjustRightInd w:val="0"/>
              <w:snapToGrid w:val="0"/>
              <w:jc w:val="center"/>
              <w:rPr>
                <w:rFonts w:cs="Times New Roman"/>
                <w:kern w:val="0"/>
                <w:sz w:val="18"/>
                <w:szCs w:val="18"/>
              </w:rPr>
            </w:pPr>
          </w:p>
        </w:tc>
        <w:tc>
          <w:tcPr>
            <w:tcW w:w="1192" w:type="dxa"/>
            <w:vMerge w:val="continue"/>
            <w:vAlign w:val="center"/>
          </w:tcPr>
          <w:p>
            <w:pPr>
              <w:adjustRightInd w:val="0"/>
              <w:snapToGrid w:val="0"/>
              <w:jc w:val="center"/>
              <w:rPr>
                <w:rFonts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6" w:type="dxa"/>
            <w:vAlign w:val="center"/>
          </w:tcPr>
          <w:p>
            <w:pPr>
              <w:adjustRightInd w:val="0"/>
              <w:snapToGrid w:val="0"/>
              <w:jc w:val="center"/>
              <w:rPr>
                <w:rFonts w:cs="Times New Roman"/>
                <w:kern w:val="0"/>
                <w:sz w:val="18"/>
                <w:szCs w:val="18"/>
              </w:rPr>
            </w:pPr>
            <w:r>
              <w:rPr>
                <w:rFonts w:cs="Times New Roman"/>
                <w:kern w:val="0"/>
                <w:sz w:val="18"/>
                <w:szCs w:val="18"/>
              </w:rPr>
              <w:t>1.2</w:t>
            </w:r>
          </w:p>
        </w:tc>
        <w:tc>
          <w:tcPr>
            <w:tcW w:w="1206" w:type="dxa"/>
            <w:vAlign w:val="center"/>
          </w:tcPr>
          <w:p>
            <w:pPr>
              <w:adjustRightInd w:val="0"/>
              <w:snapToGrid w:val="0"/>
              <w:jc w:val="center"/>
              <w:rPr>
                <w:rFonts w:cs="Times New Roman"/>
                <w:kern w:val="0"/>
                <w:sz w:val="18"/>
                <w:szCs w:val="18"/>
              </w:rPr>
            </w:pPr>
            <w:r>
              <w:rPr>
                <w:rFonts w:hAnsi="宋体" w:cs="Times New Roman"/>
                <w:kern w:val="0"/>
                <w:sz w:val="18"/>
                <w:szCs w:val="18"/>
              </w:rPr>
              <w:t>三江口电站进线移动光缆</w:t>
            </w:r>
          </w:p>
        </w:tc>
        <w:tc>
          <w:tcPr>
            <w:tcW w:w="791" w:type="dxa"/>
            <w:vAlign w:val="center"/>
          </w:tcPr>
          <w:p>
            <w:pPr>
              <w:adjustRightInd w:val="0"/>
              <w:snapToGrid w:val="0"/>
              <w:jc w:val="center"/>
              <w:rPr>
                <w:rFonts w:cs="Times New Roman"/>
                <w:kern w:val="0"/>
                <w:sz w:val="18"/>
                <w:szCs w:val="18"/>
              </w:rPr>
            </w:pPr>
            <w:r>
              <w:rPr>
                <w:rFonts w:cs="Times New Roman"/>
                <w:kern w:val="0"/>
                <w:sz w:val="18"/>
                <w:szCs w:val="18"/>
              </w:rPr>
              <w:t>1.00</w:t>
            </w:r>
          </w:p>
        </w:tc>
        <w:tc>
          <w:tcPr>
            <w:tcW w:w="930" w:type="dxa"/>
            <w:vAlign w:val="center"/>
          </w:tcPr>
          <w:p>
            <w:pPr>
              <w:adjustRightInd w:val="0"/>
              <w:snapToGrid w:val="0"/>
              <w:jc w:val="center"/>
              <w:rPr>
                <w:rFonts w:cs="Times New Roman"/>
                <w:kern w:val="0"/>
                <w:sz w:val="18"/>
                <w:szCs w:val="18"/>
              </w:rPr>
            </w:pPr>
            <w:r>
              <w:rPr>
                <w:rFonts w:cs="Times New Roman"/>
                <w:kern w:val="0"/>
                <w:sz w:val="18"/>
                <w:szCs w:val="18"/>
              </w:rPr>
              <w:t>GYTS12</w:t>
            </w:r>
            <w:r>
              <w:rPr>
                <w:rFonts w:hAnsi="宋体" w:cs="Times New Roman"/>
                <w:kern w:val="0"/>
                <w:sz w:val="18"/>
                <w:szCs w:val="18"/>
              </w:rPr>
              <w:t>芯</w:t>
            </w:r>
          </w:p>
        </w:tc>
        <w:tc>
          <w:tcPr>
            <w:tcW w:w="661" w:type="dxa"/>
            <w:vAlign w:val="center"/>
          </w:tcPr>
          <w:p>
            <w:pPr>
              <w:adjustRightInd w:val="0"/>
              <w:snapToGrid w:val="0"/>
              <w:jc w:val="center"/>
              <w:rPr>
                <w:rFonts w:cs="Times New Roman"/>
                <w:kern w:val="0"/>
                <w:sz w:val="18"/>
                <w:szCs w:val="18"/>
              </w:rPr>
            </w:pPr>
            <w:r>
              <w:rPr>
                <w:rFonts w:cs="Times New Roman"/>
                <w:kern w:val="0"/>
                <w:sz w:val="18"/>
                <w:szCs w:val="18"/>
              </w:rPr>
              <w:t>1.00</w:t>
            </w:r>
          </w:p>
        </w:tc>
        <w:tc>
          <w:tcPr>
            <w:tcW w:w="797" w:type="dxa"/>
            <w:vAlign w:val="center"/>
          </w:tcPr>
          <w:p>
            <w:pPr>
              <w:adjustRightInd w:val="0"/>
              <w:snapToGrid w:val="0"/>
              <w:jc w:val="center"/>
              <w:rPr>
                <w:rFonts w:cs="Times New Roman"/>
                <w:kern w:val="0"/>
                <w:sz w:val="18"/>
                <w:szCs w:val="18"/>
              </w:rPr>
            </w:pPr>
            <w:r>
              <w:rPr>
                <w:rFonts w:cs="Times New Roman"/>
                <w:kern w:val="0"/>
                <w:sz w:val="18"/>
                <w:szCs w:val="18"/>
              </w:rPr>
              <w:t>0</w:t>
            </w:r>
          </w:p>
        </w:tc>
        <w:tc>
          <w:tcPr>
            <w:tcW w:w="961" w:type="dxa"/>
            <w:vAlign w:val="center"/>
          </w:tcPr>
          <w:p>
            <w:pPr>
              <w:adjustRightInd w:val="0"/>
              <w:snapToGrid w:val="0"/>
              <w:jc w:val="center"/>
              <w:rPr>
                <w:rFonts w:cs="Times New Roman"/>
                <w:kern w:val="0"/>
                <w:sz w:val="18"/>
                <w:szCs w:val="18"/>
              </w:rPr>
            </w:pPr>
            <w:r>
              <w:rPr>
                <w:rFonts w:cs="Times New Roman"/>
                <w:kern w:val="0"/>
                <w:sz w:val="18"/>
                <w:szCs w:val="18"/>
              </w:rPr>
              <w:t>GYTS12</w:t>
            </w:r>
            <w:r>
              <w:rPr>
                <w:rFonts w:hAnsi="宋体" w:cs="Times New Roman"/>
                <w:kern w:val="0"/>
                <w:sz w:val="18"/>
                <w:szCs w:val="18"/>
              </w:rPr>
              <w:t>芯</w:t>
            </w:r>
          </w:p>
        </w:tc>
        <w:tc>
          <w:tcPr>
            <w:tcW w:w="797" w:type="dxa"/>
            <w:vAlign w:val="center"/>
          </w:tcPr>
          <w:p>
            <w:pPr>
              <w:adjustRightInd w:val="0"/>
              <w:snapToGrid w:val="0"/>
              <w:jc w:val="center"/>
              <w:rPr>
                <w:rFonts w:cs="Times New Roman"/>
                <w:kern w:val="0"/>
                <w:sz w:val="18"/>
                <w:szCs w:val="18"/>
              </w:rPr>
            </w:pPr>
            <w:r>
              <w:rPr>
                <w:rFonts w:cs="Times New Roman"/>
                <w:kern w:val="0"/>
                <w:sz w:val="18"/>
                <w:szCs w:val="18"/>
              </w:rPr>
              <w:t>2.20</w:t>
            </w:r>
          </w:p>
        </w:tc>
        <w:tc>
          <w:tcPr>
            <w:tcW w:w="789" w:type="dxa"/>
            <w:vAlign w:val="center"/>
          </w:tcPr>
          <w:p>
            <w:pPr>
              <w:adjustRightInd w:val="0"/>
              <w:snapToGrid w:val="0"/>
              <w:jc w:val="center"/>
              <w:rPr>
                <w:rFonts w:cs="Times New Roman"/>
                <w:kern w:val="0"/>
                <w:sz w:val="18"/>
                <w:szCs w:val="18"/>
              </w:rPr>
            </w:pPr>
            <w:r>
              <w:rPr>
                <w:rFonts w:hAnsi="宋体" w:cs="Times New Roman"/>
                <w:kern w:val="0"/>
                <w:sz w:val="18"/>
                <w:szCs w:val="18"/>
              </w:rPr>
              <w:t>移动公司</w:t>
            </w:r>
          </w:p>
        </w:tc>
        <w:tc>
          <w:tcPr>
            <w:tcW w:w="1192" w:type="dxa"/>
            <w:vAlign w:val="center"/>
          </w:tcPr>
          <w:p>
            <w:pPr>
              <w:adjustRightInd w:val="0"/>
              <w:snapToGrid w:val="0"/>
              <w:jc w:val="center"/>
              <w:rPr>
                <w:rFonts w:cs="Times New Roman"/>
                <w:kern w:val="0"/>
                <w:sz w:val="18"/>
                <w:szCs w:val="18"/>
              </w:rPr>
            </w:pPr>
            <w:r>
              <w:rPr>
                <w:rFonts w:hint="eastAsia" w:hAnsi="宋体" w:cs="Times New Roman"/>
                <w:kern w:val="0"/>
                <w:sz w:val="18"/>
                <w:szCs w:val="18"/>
              </w:rPr>
              <w:t>共电信杆路</w:t>
            </w:r>
          </w:p>
        </w:tc>
      </w:tr>
    </w:tbl>
    <w:p>
      <w:pPr>
        <w:pStyle w:val="517"/>
      </w:pPr>
      <w:r>
        <w:br w:type="page"/>
      </w:r>
      <w:r>
        <w:rPr>
          <w:rFonts w:hint="eastAsia"/>
        </w:rPr>
        <w:t>表</w:t>
      </w:r>
      <w:r>
        <w:t>7.</w:t>
      </w:r>
      <w:r>
        <w:rPr>
          <w:rFonts w:hint="eastAsia"/>
        </w:rPr>
        <w:t>4</w:t>
      </w:r>
      <w:r>
        <w:t>.1-1</w:t>
      </w:r>
      <w:r>
        <w:rPr>
          <w:rFonts w:hint="eastAsia"/>
        </w:rPr>
        <w:t>(续)</w:t>
      </w:r>
      <w:r>
        <w:t xml:space="preserve"> </w:t>
      </w:r>
    </w:p>
    <w:tbl>
      <w:tblPr>
        <w:tblStyle w:val="79"/>
        <w:tblW w:w="86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7"/>
        <w:gridCol w:w="1206"/>
        <w:gridCol w:w="791"/>
        <w:gridCol w:w="930"/>
        <w:gridCol w:w="661"/>
        <w:gridCol w:w="797"/>
        <w:gridCol w:w="961"/>
        <w:gridCol w:w="797"/>
        <w:gridCol w:w="790"/>
        <w:gridCol w:w="11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7" w:type="dxa"/>
            <w:vAlign w:val="center"/>
          </w:tcPr>
          <w:p>
            <w:pPr>
              <w:adjustRightInd w:val="0"/>
              <w:snapToGrid w:val="0"/>
              <w:jc w:val="center"/>
              <w:rPr>
                <w:rFonts w:cs="Times New Roman"/>
                <w:kern w:val="0"/>
                <w:sz w:val="18"/>
                <w:szCs w:val="18"/>
              </w:rPr>
            </w:pPr>
            <w:r>
              <w:rPr>
                <w:rFonts w:hAnsi="宋体" w:cs="Times New Roman"/>
                <w:kern w:val="0"/>
                <w:sz w:val="18"/>
                <w:szCs w:val="18"/>
              </w:rPr>
              <w:t>序号</w:t>
            </w:r>
          </w:p>
        </w:tc>
        <w:tc>
          <w:tcPr>
            <w:tcW w:w="1206" w:type="dxa"/>
            <w:vAlign w:val="center"/>
          </w:tcPr>
          <w:p>
            <w:pPr>
              <w:adjustRightInd w:val="0"/>
              <w:snapToGrid w:val="0"/>
              <w:jc w:val="center"/>
              <w:rPr>
                <w:rFonts w:cs="Times New Roman"/>
                <w:kern w:val="0"/>
                <w:sz w:val="18"/>
                <w:szCs w:val="18"/>
              </w:rPr>
            </w:pPr>
            <w:r>
              <w:rPr>
                <w:rFonts w:hAnsi="宋体" w:cs="Times New Roman"/>
                <w:kern w:val="0"/>
                <w:sz w:val="18"/>
                <w:szCs w:val="18"/>
              </w:rPr>
              <w:t>影响线路</w:t>
            </w:r>
          </w:p>
        </w:tc>
        <w:tc>
          <w:tcPr>
            <w:tcW w:w="791" w:type="dxa"/>
            <w:vAlign w:val="center"/>
          </w:tcPr>
          <w:p>
            <w:pPr>
              <w:adjustRightInd w:val="0"/>
              <w:snapToGrid w:val="0"/>
              <w:jc w:val="center"/>
              <w:rPr>
                <w:rFonts w:cs="Times New Roman"/>
                <w:kern w:val="0"/>
                <w:sz w:val="18"/>
                <w:szCs w:val="18"/>
              </w:rPr>
            </w:pPr>
            <w:r>
              <w:rPr>
                <w:rFonts w:hAnsi="宋体" w:cs="Times New Roman"/>
                <w:kern w:val="0"/>
                <w:sz w:val="18"/>
                <w:szCs w:val="18"/>
              </w:rPr>
              <w:t>影响杆</w:t>
            </w:r>
          </w:p>
          <w:p>
            <w:pPr>
              <w:adjustRightInd w:val="0"/>
              <w:snapToGrid w:val="0"/>
              <w:jc w:val="center"/>
              <w:rPr>
                <w:rFonts w:cs="Times New Roman"/>
                <w:kern w:val="0"/>
                <w:sz w:val="18"/>
                <w:szCs w:val="18"/>
              </w:rPr>
            </w:pPr>
            <w:r>
              <w:rPr>
                <w:rFonts w:hAnsi="宋体" w:cs="Times New Roman"/>
                <w:kern w:val="0"/>
                <w:sz w:val="18"/>
                <w:szCs w:val="18"/>
              </w:rPr>
              <w:t>路长度</w:t>
            </w:r>
          </w:p>
          <w:p>
            <w:pPr>
              <w:adjustRightInd w:val="0"/>
              <w:snapToGrid w:val="0"/>
              <w:jc w:val="center"/>
              <w:rPr>
                <w:rFonts w:cs="Times New Roman"/>
                <w:kern w:val="0"/>
                <w:sz w:val="18"/>
                <w:szCs w:val="18"/>
              </w:rPr>
            </w:pPr>
            <w:r>
              <w:rPr>
                <w:rFonts w:cs="Times New Roman"/>
                <w:kern w:val="0"/>
                <w:sz w:val="18"/>
                <w:szCs w:val="18"/>
              </w:rPr>
              <w:t>(km)</w:t>
            </w:r>
          </w:p>
        </w:tc>
        <w:tc>
          <w:tcPr>
            <w:tcW w:w="930" w:type="dxa"/>
            <w:vAlign w:val="center"/>
          </w:tcPr>
          <w:p>
            <w:pPr>
              <w:adjustRightInd w:val="0"/>
              <w:snapToGrid w:val="0"/>
              <w:jc w:val="center"/>
              <w:rPr>
                <w:rFonts w:cs="Times New Roman"/>
                <w:kern w:val="0"/>
                <w:sz w:val="18"/>
                <w:szCs w:val="18"/>
              </w:rPr>
            </w:pPr>
            <w:r>
              <w:rPr>
                <w:rFonts w:hAnsi="宋体" w:cs="Times New Roman"/>
                <w:kern w:val="0"/>
                <w:sz w:val="18"/>
                <w:szCs w:val="18"/>
              </w:rPr>
              <w:t>影响光缆</w:t>
            </w:r>
          </w:p>
        </w:tc>
        <w:tc>
          <w:tcPr>
            <w:tcW w:w="661" w:type="dxa"/>
            <w:vAlign w:val="center"/>
          </w:tcPr>
          <w:p>
            <w:pPr>
              <w:adjustRightInd w:val="0"/>
              <w:snapToGrid w:val="0"/>
              <w:jc w:val="center"/>
              <w:rPr>
                <w:rFonts w:cs="Times New Roman"/>
                <w:kern w:val="0"/>
                <w:sz w:val="18"/>
                <w:szCs w:val="18"/>
              </w:rPr>
            </w:pPr>
            <w:r>
              <w:rPr>
                <w:rFonts w:hAnsi="宋体" w:cs="Times New Roman"/>
                <w:kern w:val="0"/>
                <w:sz w:val="18"/>
                <w:szCs w:val="18"/>
              </w:rPr>
              <w:t>影响光缆长度</w:t>
            </w:r>
          </w:p>
          <w:p>
            <w:pPr>
              <w:adjustRightInd w:val="0"/>
              <w:snapToGrid w:val="0"/>
              <w:jc w:val="center"/>
              <w:rPr>
                <w:rFonts w:cs="Times New Roman"/>
                <w:kern w:val="0"/>
                <w:sz w:val="18"/>
                <w:szCs w:val="18"/>
              </w:rPr>
            </w:pPr>
            <w:r>
              <w:rPr>
                <w:rFonts w:cs="Times New Roman"/>
                <w:kern w:val="0"/>
                <w:sz w:val="18"/>
                <w:szCs w:val="18"/>
              </w:rPr>
              <w:t>(km)</w:t>
            </w:r>
          </w:p>
        </w:tc>
        <w:tc>
          <w:tcPr>
            <w:tcW w:w="797" w:type="dxa"/>
            <w:vAlign w:val="center"/>
          </w:tcPr>
          <w:p>
            <w:pPr>
              <w:adjustRightInd w:val="0"/>
              <w:snapToGrid w:val="0"/>
              <w:jc w:val="center"/>
              <w:rPr>
                <w:rFonts w:cs="Times New Roman"/>
                <w:kern w:val="0"/>
                <w:sz w:val="18"/>
                <w:szCs w:val="18"/>
              </w:rPr>
            </w:pPr>
            <w:r>
              <w:rPr>
                <w:rFonts w:hAnsi="宋体" w:cs="Times New Roman"/>
                <w:kern w:val="0"/>
                <w:sz w:val="18"/>
                <w:szCs w:val="18"/>
              </w:rPr>
              <w:t>复建杆</w:t>
            </w:r>
          </w:p>
          <w:p>
            <w:pPr>
              <w:adjustRightInd w:val="0"/>
              <w:snapToGrid w:val="0"/>
              <w:jc w:val="center"/>
              <w:rPr>
                <w:rFonts w:cs="Times New Roman"/>
                <w:kern w:val="0"/>
                <w:sz w:val="18"/>
                <w:szCs w:val="18"/>
              </w:rPr>
            </w:pPr>
            <w:r>
              <w:rPr>
                <w:rFonts w:hAnsi="宋体" w:cs="Times New Roman"/>
                <w:kern w:val="0"/>
                <w:sz w:val="18"/>
                <w:szCs w:val="18"/>
              </w:rPr>
              <w:t>路长度</w:t>
            </w:r>
          </w:p>
          <w:p>
            <w:pPr>
              <w:adjustRightInd w:val="0"/>
              <w:snapToGrid w:val="0"/>
              <w:jc w:val="center"/>
              <w:rPr>
                <w:rFonts w:cs="Times New Roman"/>
                <w:kern w:val="0"/>
                <w:sz w:val="18"/>
                <w:szCs w:val="18"/>
              </w:rPr>
            </w:pPr>
            <w:r>
              <w:rPr>
                <w:rFonts w:cs="Times New Roman"/>
                <w:kern w:val="0"/>
                <w:sz w:val="18"/>
                <w:szCs w:val="18"/>
              </w:rPr>
              <w:t>(km)</w:t>
            </w:r>
          </w:p>
        </w:tc>
        <w:tc>
          <w:tcPr>
            <w:tcW w:w="961" w:type="dxa"/>
            <w:vAlign w:val="center"/>
          </w:tcPr>
          <w:p>
            <w:pPr>
              <w:adjustRightInd w:val="0"/>
              <w:snapToGrid w:val="0"/>
              <w:jc w:val="center"/>
              <w:rPr>
                <w:rFonts w:cs="Times New Roman"/>
                <w:kern w:val="0"/>
                <w:sz w:val="18"/>
                <w:szCs w:val="18"/>
              </w:rPr>
            </w:pPr>
            <w:r>
              <w:rPr>
                <w:rFonts w:hAnsi="宋体" w:cs="Times New Roman"/>
                <w:kern w:val="0"/>
                <w:sz w:val="18"/>
                <w:szCs w:val="18"/>
              </w:rPr>
              <w:t>复建光缆</w:t>
            </w:r>
          </w:p>
        </w:tc>
        <w:tc>
          <w:tcPr>
            <w:tcW w:w="797" w:type="dxa"/>
            <w:vAlign w:val="center"/>
          </w:tcPr>
          <w:p>
            <w:pPr>
              <w:adjustRightInd w:val="0"/>
              <w:snapToGrid w:val="0"/>
              <w:jc w:val="center"/>
              <w:rPr>
                <w:rFonts w:cs="Times New Roman"/>
                <w:kern w:val="0"/>
                <w:sz w:val="18"/>
                <w:szCs w:val="18"/>
              </w:rPr>
            </w:pPr>
            <w:r>
              <w:rPr>
                <w:rFonts w:hAnsi="宋体" w:cs="Times New Roman"/>
                <w:kern w:val="0"/>
                <w:sz w:val="18"/>
                <w:szCs w:val="18"/>
              </w:rPr>
              <w:t>复建光</w:t>
            </w:r>
          </w:p>
          <w:p>
            <w:pPr>
              <w:adjustRightInd w:val="0"/>
              <w:snapToGrid w:val="0"/>
              <w:jc w:val="center"/>
              <w:rPr>
                <w:rFonts w:cs="Times New Roman"/>
                <w:kern w:val="0"/>
                <w:sz w:val="18"/>
                <w:szCs w:val="18"/>
              </w:rPr>
            </w:pPr>
            <w:r>
              <w:rPr>
                <w:rFonts w:hAnsi="宋体" w:cs="Times New Roman"/>
                <w:kern w:val="0"/>
                <w:sz w:val="18"/>
                <w:szCs w:val="18"/>
              </w:rPr>
              <w:t>缆长度</w:t>
            </w:r>
          </w:p>
          <w:p>
            <w:pPr>
              <w:adjustRightInd w:val="0"/>
              <w:snapToGrid w:val="0"/>
              <w:jc w:val="center"/>
              <w:rPr>
                <w:rFonts w:cs="Times New Roman"/>
                <w:kern w:val="0"/>
                <w:sz w:val="18"/>
                <w:szCs w:val="18"/>
              </w:rPr>
            </w:pPr>
            <w:r>
              <w:rPr>
                <w:rFonts w:cs="Times New Roman"/>
                <w:kern w:val="0"/>
                <w:sz w:val="18"/>
                <w:szCs w:val="18"/>
              </w:rPr>
              <w:t>(km)</w:t>
            </w:r>
          </w:p>
        </w:tc>
        <w:tc>
          <w:tcPr>
            <w:tcW w:w="790" w:type="dxa"/>
            <w:vAlign w:val="center"/>
          </w:tcPr>
          <w:p>
            <w:pPr>
              <w:adjustRightInd w:val="0"/>
              <w:snapToGrid w:val="0"/>
              <w:jc w:val="center"/>
              <w:rPr>
                <w:rFonts w:cs="Times New Roman"/>
                <w:kern w:val="0"/>
                <w:sz w:val="18"/>
                <w:szCs w:val="18"/>
              </w:rPr>
            </w:pPr>
            <w:r>
              <w:rPr>
                <w:rFonts w:hAnsi="宋体" w:cs="Times New Roman"/>
                <w:kern w:val="0"/>
                <w:sz w:val="18"/>
                <w:szCs w:val="18"/>
              </w:rPr>
              <w:t>权属单位</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7" w:type="dxa"/>
            <w:vAlign w:val="center"/>
          </w:tcPr>
          <w:p>
            <w:pPr>
              <w:adjustRightInd w:val="0"/>
              <w:snapToGrid w:val="0"/>
              <w:jc w:val="center"/>
              <w:rPr>
                <w:rFonts w:cs="Times New Roman"/>
                <w:kern w:val="0"/>
                <w:sz w:val="18"/>
                <w:szCs w:val="18"/>
              </w:rPr>
            </w:pPr>
            <w:r>
              <w:rPr>
                <w:rFonts w:cs="Times New Roman"/>
                <w:kern w:val="0"/>
                <w:sz w:val="18"/>
                <w:szCs w:val="18"/>
              </w:rPr>
              <w:t>1.3</w:t>
            </w:r>
          </w:p>
        </w:tc>
        <w:tc>
          <w:tcPr>
            <w:tcW w:w="1206" w:type="dxa"/>
            <w:vAlign w:val="center"/>
          </w:tcPr>
          <w:p>
            <w:pPr>
              <w:adjustRightInd w:val="0"/>
              <w:snapToGrid w:val="0"/>
              <w:jc w:val="center"/>
              <w:rPr>
                <w:rFonts w:cs="Times New Roman"/>
                <w:kern w:val="0"/>
                <w:sz w:val="18"/>
                <w:szCs w:val="18"/>
              </w:rPr>
            </w:pPr>
            <w:r>
              <w:rPr>
                <w:rFonts w:hAnsi="宋体" w:cs="Times New Roman"/>
                <w:kern w:val="0"/>
                <w:sz w:val="18"/>
                <w:szCs w:val="18"/>
              </w:rPr>
              <w:t>激溪林场</w:t>
            </w:r>
            <w:r>
              <w:rPr>
                <w:rFonts w:cs="Times New Roman"/>
                <w:kern w:val="0"/>
                <w:sz w:val="18"/>
                <w:szCs w:val="18"/>
              </w:rPr>
              <w:t>C</w:t>
            </w:r>
            <w:r>
              <w:rPr>
                <w:rFonts w:hAnsi="宋体" w:cs="Times New Roman"/>
                <w:kern w:val="0"/>
                <w:sz w:val="18"/>
                <w:szCs w:val="18"/>
              </w:rPr>
              <w:t>网基站电信进线光缆</w:t>
            </w:r>
          </w:p>
        </w:tc>
        <w:tc>
          <w:tcPr>
            <w:tcW w:w="791" w:type="dxa"/>
            <w:vAlign w:val="center"/>
          </w:tcPr>
          <w:p>
            <w:pPr>
              <w:adjustRightInd w:val="0"/>
              <w:snapToGrid w:val="0"/>
              <w:jc w:val="center"/>
              <w:rPr>
                <w:rFonts w:cs="Times New Roman"/>
                <w:kern w:val="0"/>
                <w:sz w:val="18"/>
                <w:szCs w:val="18"/>
              </w:rPr>
            </w:pPr>
            <w:r>
              <w:rPr>
                <w:rFonts w:cs="Times New Roman"/>
                <w:kern w:val="0"/>
                <w:sz w:val="18"/>
                <w:szCs w:val="18"/>
              </w:rPr>
              <w:t>0.20</w:t>
            </w:r>
          </w:p>
        </w:tc>
        <w:tc>
          <w:tcPr>
            <w:tcW w:w="930" w:type="dxa"/>
            <w:vAlign w:val="center"/>
          </w:tcPr>
          <w:p>
            <w:pPr>
              <w:adjustRightInd w:val="0"/>
              <w:snapToGrid w:val="0"/>
              <w:jc w:val="center"/>
              <w:rPr>
                <w:rFonts w:cs="Times New Roman"/>
                <w:kern w:val="0"/>
                <w:sz w:val="18"/>
                <w:szCs w:val="18"/>
              </w:rPr>
            </w:pPr>
            <w:r>
              <w:rPr>
                <w:rFonts w:cs="Times New Roman"/>
                <w:kern w:val="0"/>
                <w:sz w:val="18"/>
                <w:szCs w:val="18"/>
              </w:rPr>
              <w:t>GYTS24</w:t>
            </w:r>
            <w:r>
              <w:rPr>
                <w:rFonts w:hAnsi="宋体" w:cs="Times New Roman"/>
                <w:kern w:val="0"/>
                <w:sz w:val="18"/>
                <w:szCs w:val="18"/>
              </w:rPr>
              <w:t>芯</w:t>
            </w:r>
          </w:p>
        </w:tc>
        <w:tc>
          <w:tcPr>
            <w:tcW w:w="661" w:type="dxa"/>
            <w:vAlign w:val="center"/>
          </w:tcPr>
          <w:p>
            <w:pPr>
              <w:adjustRightInd w:val="0"/>
              <w:snapToGrid w:val="0"/>
              <w:jc w:val="center"/>
              <w:rPr>
                <w:rFonts w:cs="Times New Roman"/>
                <w:kern w:val="0"/>
                <w:sz w:val="18"/>
                <w:szCs w:val="18"/>
              </w:rPr>
            </w:pPr>
            <w:r>
              <w:rPr>
                <w:rFonts w:cs="Times New Roman"/>
                <w:kern w:val="0"/>
                <w:sz w:val="18"/>
                <w:szCs w:val="18"/>
              </w:rPr>
              <w:t>0.40</w:t>
            </w:r>
          </w:p>
        </w:tc>
        <w:tc>
          <w:tcPr>
            <w:tcW w:w="797" w:type="dxa"/>
            <w:vAlign w:val="center"/>
          </w:tcPr>
          <w:p>
            <w:pPr>
              <w:adjustRightInd w:val="0"/>
              <w:snapToGrid w:val="0"/>
              <w:jc w:val="center"/>
              <w:rPr>
                <w:rFonts w:cs="Times New Roman"/>
                <w:kern w:val="0"/>
                <w:sz w:val="18"/>
                <w:szCs w:val="18"/>
              </w:rPr>
            </w:pPr>
          </w:p>
        </w:tc>
        <w:tc>
          <w:tcPr>
            <w:tcW w:w="961" w:type="dxa"/>
            <w:vAlign w:val="center"/>
          </w:tcPr>
          <w:p>
            <w:pPr>
              <w:adjustRightInd w:val="0"/>
              <w:snapToGrid w:val="0"/>
              <w:jc w:val="center"/>
              <w:rPr>
                <w:rFonts w:cs="Times New Roman"/>
                <w:kern w:val="0"/>
                <w:sz w:val="18"/>
                <w:szCs w:val="18"/>
              </w:rPr>
            </w:pPr>
          </w:p>
        </w:tc>
        <w:tc>
          <w:tcPr>
            <w:tcW w:w="797" w:type="dxa"/>
            <w:vAlign w:val="center"/>
          </w:tcPr>
          <w:p>
            <w:pPr>
              <w:adjustRightInd w:val="0"/>
              <w:snapToGrid w:val="0"/>
              <w:jc w:val="center"/>
              <w:rPr>
                <w:rFonts w:cs="Times New Roman"/>
                <w:kern w:val="0"/>
                <w:sz w:val="18"/>
                <w:szCs w:val="18"/>
              </w:rPr>
            </w:pPr>
          </w:p>
        </w:tc>
        <w:tc>
          <w:tcPr>
            <w:tcW w:w="790" w:type="dxa"/>
            <w:vAlign w:val="center"/>
          </w:tcPr>
          <w:p>
            <w:pPr>
              <w:adjustRightInd w:val="0"/>
              <w:snapToGrid w:val="0"/>
              <w:jc w:val="center"/>
              <w:rPr>
                <w:rFonts w:cs="Times New Roman"/>
                <w:kern w:val="0"/>
                <w:sz w:val="18"/>
                <w:szCs w:val="18"/>
              </w:rPr>
            </w:pPr>
            <w:r>
              <w:rPr>
                <w:rFonts w:hAnsi="宋体" w:cs="Times New Roman"/>
                <w:kern w:val="0"/>
                <w:sz w:val="18"/>
                <w:szCs w:val="18"/>
              </w:rPr>
              <w:t>电信公司</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基站搬迁</w:t>
            </w:r>
          </w:p>
          <w:p>
            <w:pPr>
              <w:adjustRightInd w:val="0"/>
              <w:snapToGrid w:val="0"/>
              <w:jc w:val="center"/>
              <w:rPr>
                <w:rFonts w:cs="Times New Roman"/>
                <w:kern w:val="0"/>
                <w:sz w:val="18"/>
                <w:szCs w:val="18"/>
              </w:rPr>
            </w:pPr>
            <w:r>
              <w:rPr>
                <w:rFonts w:hAnsi="宋体" w:cs="Times New Roman"/>
                <w:kern w:val="0"/>
                <w:sz w:val="18"/>
                <w:szCs w:val="18"/>
              </w:rPr>
              <w:t>不再复建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7" w:type="dxa"/>
            <w:vAlign w:val="center"/>
          </w:tcPr>
          <w:p>
            <w:pPr>
              <w:adjustRightInd w:val="0"/>
              <w:snapToGrid w:val="0"/>
              <w:jc w:val="center"/>
              <w:rPr>
                <w:rFonts w:cs="Times New Roman"/>
                <w:kern w:val="0"/>
                <w:sz w:val="18"/>
                <w:szCs w:val="18"/>
              </w:rPr>
            </w:pPr>
            <w:r>
              <w:rPr>
                <w:rFonts w:cs="Times New Roman"/>
                <w:kern w:val="0"/>
                <w:sz w:val="18"/>
                <w:szCs w:val="18"/>
              </w:rPr>
              <w:t>1.4</w:t>
            </w:r>
          </w:p>
        </w:tc>
        <w:tc>
          <w:tcPr>
            <w:tcW w:w="1206" w:type="dxa"/>
            <w:vAlign w:val="center"/>
          </w:tcPr>
          <w:p>
            <w:pPr>
              <w:adjustRightInd w:val="0"/>
              <w:snapToGrid w:val="0"/>
              <w:jc w:val="center"/>
              <w:rPr>
                <w:rFonts w:cs="Times New Roman"/>
                <w:kern w:val="0"/>
                <w:sz w:val="18"/>
                <w:szCs w:val="18"/>
              </w:rPr>
            </w:pPr>
            <w:r>
              <w:rPr>
                <w:rFonts w:hAnsi="宋体" w:cs="Times New Roman"/>
                <w:kern w:val="0"/>
                <w:sz w:val="18"/>
                <w:szCs w:val="18"/>
              </w:rPr>
              <w:t>上库区临时基站移动光缆</w:t>
            </w:r>
          </w:p>
        </w:tc>
        <w:tc>
          <w:tcPr>
            <w:tcW w:w="791" w:type="dxa"/>
            <w:vAlign w:val="center"/>
          </w:tcPr>
          <w:p>
            <w:pPr>
              <w:adjustRightInd w:val="0"/>
              <w:snapToGrid w:val="0"/>
              <w:jc w:val="center"/>
              <w:rPr>
                <w:rFonts w:cs="Times New Roman"/>
                <w:kern w:val="0"/>
                <w:sz w:val="18"/>
                <w:szCs w:val="18"/>
              </w:rPr>
            </w:pPr>
            <w:r>
              <w:rPr>
                <w:rFonts w:cs="Times New Roman"/>
                <w:kern w:val="0"/>
                <w:sz w:val="18"/>
                <w:szCs w:val="18"/>
              </w:rPr>
              <w:t>0</w:t>
            </w:r>
          </w:p>
        </w:tc>
        <w:tc>
          <w:tcPr>
            <w:tcW w:w="930" w:type="dxa"/>
            <w:vAlign w:val="center"/>
          </w:tcPr>
          <w:p>
            <w:pPr>
              <w:adjustRightInd w:val="0"/>
              <w:snapToGrid w:val="0"/>
              <w:jc w:val="center"/>
              <w:rPr>
                <w:rFonts w:cs="Times New Roman"/>
                <w:kern w:val="0"/>
                <w:sz w:val="18"/>
                <w:szCs w:val="18"/>
              </w:rPr>
            </w:pPr>
            <w:r>
              <w:rPr>
                <w:rFonts w:cs="Times New Roman"/>
                <w:kern w:val="0"/>
                <w:sz w:val="18"/>
                <w:szCs w:val="18"/>
              </w:rPr>
              <w:t>GYTS48</w:t>
            </w:r>
            <w:r>
              <w:rPr>
                <w:rFonts w:hAnsi="宋体" w:cs="Times New Roman"/>
                <w:kern w:val="0"/>
                <w:sz w:val="18"/>
                <w:szCs w:val="18"/>
              </w:rPr>
              <w:t>芯</w:t>
            </w:r>
          </w:p>
        </w:tc>
        <w:tc>
          <w:tcPr>
            <w:tcW w:w="661" w:type="dxa"/>
            <w:vAlign w:val="center"/>
          </w:tcPr>
          <w:p>
            <w:pPr>
              <w:adjustRightInd w:val="0"/>
              <w:snapToGrid w:val="0"/>
              <w:jc w:val="center"/>
              <w:rPr>
                <w:rFonts w:cs="Times New Roman"/>
                <w:kern w:val="0"/>
                <w:sz w:val="18"/>
                <w:szCs w:val="18"/>
              </w:rPr>
            </w:pPr>
            <w:r>
              <w:rPr>
                <w:rFonts w:cs="Times New Roman"/>
                <w:kern w:val="0"/>
                <w:sz w:val="18"/>
                <w:szCs w:val="18"/>
              </w:rPr>
              <w:t>2.00</w:t>
            </w:r>
          </w:p>
        </w:tc>
        <w:tc>
          <w:tcPr>
            <w:tcW w:w="797" w:type="dxa"/>
            <w:vAlign w:val="center"/>
          </w:tcPr>
          <w:p>
            <w:pPr>
              <w:adjustRightInd w:val="0"/>
              <w:snapToGrid w:val="0"/>
              <w:jc w:val="center"/>
              <w:rPr>
                <w:rFonts w:cs="Times New Roman"/>
                <w:kern w:val="0"/>
                <w:sz w:val="18"/>
                <w:szCs w:val="18"/>
              </w:rPr>
            </w:pPr>
          </w:p>
        </w:tc>
        <w:tc>
          <w:tcPr>
            <w:tcW w:w="961" w:type="dxa"/>
            <w:vAlign w:val="center"/>
          </w:tcPr>
          <w:p>
            <w:pPr>
              <w:adjustRightInd w:val="0"/>
              <w:snapToGrid w:val="0"/>
              <w:jc w:val="center"/>
              <w:rPr>
                <w:rFonts w:cs="Times New Roman"/>
                <w:kern w:val="0"/>
                <w:sz w:val="18"/>
                <w:szCs w:val="18"/>
              </w:rPr>
            </w:pPr>
          </w:p>
        </w:tc>
        <w:tc>
          <w:tcPr>
            <w:tcW w:w="797" w:type="dxa"/>
            <w:vAlign w:val="center"/>
          </w:tcPr>
          <w:p>
            <w:pPr>
              <w:adjustRightInd w:val="0"/>
              <w:snapToGrid w:val="0"/>
              <w:jc w:val="center"/>
              <w:rPr>
                <w:rFonts w:cs="Times New Roman"/>
                <w:kern w:val="0"/>
                <w:sz w:val="18"/>
                <w:szCs w:val="18"/>
              </w:rPr>
            </w:pPr>
          </w:p>
        </w:tc>
        <w:tc>
          <w:tcPr>
            <w:tcW w:w="790" w:type="dxa"/>
            <w:vAlign w:val="center"/>
          </w:tcPr>
          <w:p>
            <w:pPr>
              <w:adjustRightInd w:val="0"/>
              <w:snapToGrid w:val="0"/>
              <w:jc w:val="center"/>
              <w:rPr>
                <w:rFonts w:cs="Times New Roman"/>
                <w:kern w:val="0"/>
                <w:sz w:val="18"/>
                <w:szCs w:val="18"/>
              </w:rPr>
            </w:pPr>
            <w:r>
              <w:rPr>
                <w:rFonts w:hAnsi="宋体" w:cs="Times New Roman"/>
                <w:kern w:val="0"/>
                <w:sz w:val="18"/>
                <w:szCs w:val="18"/>
              </w:rPr>
              <w:t>移动公司</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光缆直接丢地上，临时光缆，</w:t>
            </w:r>
          </w:p>
          <w:p>
            <w:pPr>
              <w:adjustRightInd w:val="0"/>
              <w:snapToGrid w:val="0"/>
              <w:jc w:val="center"/>
              <w:rPr>
                <w:rFonts w:cs="Times New Roman"/>
                <w:kern w:val="0"/>
                <w:sz w:val="18"/>
                <w:szCs w:val="18"/>
              </w:rPr>
            </w:pPr>
            <w:r>
              <w:rPr>
                <w:rFonts w:hAnsi="宋体" w:cs="Times New Roman"/>
                <w:kern w:val="0"/>
                <w:sz w:val="18"/>
                <w:szCs w:val="18"/>
              </w:rPr>
              <w:t>不考虑复建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7" w:type="dxa"/>
            <w:vAlign w:val="center"/>
          </w:tcPr>
          <w:p>
            <w:pPr>
              <w:adjustRightInd w:val="0"/>
              <w:snapToGrid w:val="0"/>
              <w:jc w:val="center"/>
              <w:rPr>
                <w:rFonts w:cs="Times New Roman"/>
                <w:kern w:val="0"/>
                <w:sz w:val="18"/>
                <w:szCs w:val="18"/>
              </w:rPr>
            </w:pPr>
            <w:r>
              <w:rPr>
                <w:rFonts w:cs="Times New Roman"/>
                <w:kern w:val="0"/>
                <w:sz w:val="18"/>
                <w:szCs w:val="18"/>
              </w:rPr>
              <w:t>2</w:t>
            </w:r>
          </w:p>
        </w:tc>
        <w:tc>
          <w:tcPr>
            <w:tcW w:w="8123" w:type="dxa"/>
            <w:gridSpan w:val="9"/>
            <w:vAlign w:val="center"/>
          </w:tcPr>
          <w:p>
            <w:pPr>
              <w:adjustRightInd w:val="0"/>
              <w:snapToGrid w:val="0"/>
              <w:jc w:val="center"/>
              <w:rPr>
                <w:rFonts w:cs="Times New Roman"/>
                <w:kern w:val="0"/>
                <w:sz w:val="18"/>
                <w:szCs w:val="18"/>
              </w:rPr>
            </w:pPr>
            <w:r>
              <w:rPr>
                <w:rFonts w:hAnsi="宋体" w:cs="Times New Roman"/>
                <w:kern w:val="0"/>
                <w:sz w:val="18"/>
                <w:szCs w:val="18"/>
              </w:rPr>
              <w:t>激溪林场</w:t>
            </w:r>
            <w:r>
              <w:rPr>
                <w:rFonts w:cs="Times New Roman"/>
                <w:kern w:val="0"/>
                <w:sz w:val="18"/>
                <w:szCs w:val="18"/>
              </w:rPr>
              <w:t>C</w:t>
            </w:r>
            <w:r>
              <w:rPr>
                <w:rFonts w:hAnsi="宋体" w:cs="Times New Roman"/>
                <w:kern w:val="0"/>
                <w:sz w:val="18"/>
                <w:szCs w:val="18"/>
              </w:rPr>
              <w:t>网基站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7" w:type="dxa"/>
            <w:vAlign w:val="center"/>
          </w:tcPr>
          <w:p>
            <w:pPr>
              <w:adjustRightInd w:val="0"/>
              <w:snapToGrid w:val="0"/>
              <w:jc w:val="center"/>
              <w:rPr>
                <w:rFonts w:cs="Times New Roman"/>
                <w:kern w:val="0"/>
                <w:sz w:val="18"/>
                <w:szCs w:val="18"/>
              </w:rPr>
            </w:pPr>
            <w:r>
              <w:rPr>
                <w:rFonts w:cs="Times New Roman"/>
                <w:kern w:val="0"/>
                <w:sz w:val="18"/>
                <w:szCs w:val="18"/>
              </w:rPr>
              <w:t>2.1</w:t>
            </w:r>
          </w:p>
        </w:tc>
        <w:tc>
          <w:tcPr>
            <w:tcW w:w="6143" w:type="dxa"/>
            <w:gridSpan w:val="7"/>
            <w:vAlign w:val="center"/>
          </w:tcPr>
          <w:p>
            <w:pPr>
              <w:adjustRightInd w:val="0"/>
              <w:snapToGrid w:val="0"/>
              <w:jc w:val="center"/>
              <w:rPr>
                <w:rFonts w:cs="Times New Roman"/>
                <w:kern w:val="0"/>
                <w:sz w:val="18"/>
                <w:szCs w:val="18"/>
              </w:rPr>
            </w:pPr>
            <w:r>
              <w:rPr>
                <w:rFonts w:hAnsi="宋体" w:cs="Times New Roman"/>
                <w:kern w:val="0"/>
                <w:sz w:val="18"/>
                <w:szCs w:val="18"/>
              </w:rPr>
              <w:t>拉远</w:t>
            </w:r>
            <w:r>
              <w:rPr>
                <w:rFonts w:cs="Times New Roman"/>
                <w:kern w:val="0"/>
                <w:sz w:val="18"/>
                <w:szCs w:val="18"/>
              </w:rPr>
              <w:t>3G</w:t>
            </w:r>
            <w:r>
              <w:rPr>
                <w:rFonts w:hAnsi="宋体" w:cs="Times New Roman"/>
                <w:kern w:val="0"/>
                <w:sz w:val="18"/>
                <w:szCs w:val="18"/>
              </w:rPr>
              <w:t>设备、</w:t>
            </w:r>
            <w:r>
              <w:rPr>
                <w:rFonts w:cs="Times New Roman"/>
                <w:kern w:val="0"/>
                <w:sz w:val="18"/>
                <w:szCs w:val="18"/>
              </w:rPr>
              <w:t>RRU</w:t>
            </w:r>
            <w:r>
              <w:rPr>
                <w:rFonts w:hAnsi="宋体" w:cs="Times New Roman"/>
                <w:kern w:val="0"/>
                <w:sz w:val="18"/>
                <w:szCs w:val="18"/>
              </w:rPr>
              <w:t>设备</w:t>
            </w:r>
            <w:r>
              <w:rPr>
                <w:rFonts w:cs="Times New Roman"/>
                <w:kern w:val="0"/>
                <w:sz w:val="18"/>
                <w:szCs w:val="18"/>
              </w:rPr>
              <w:t>3</w:t>
            </w:r>
            <w:r>
              <w:rPr>
                <w:rFonts w:hAnsi="宋体" w:cs="Times New Roman"/>
                <w:kern w:val="0"/>
                <w:sz w:val="18"/>
                <w:szCs w:val="18"/>
              </w:rPr>
              <w:t>个、天线</w:t>
            </w:r>
            <w:r>
              <w:rPr>
                <w:rFonts w:cs="Times New Roman"/>
                <w:kern w:val="0"/>
                <w:sz w:val="18"/>
                <w:szCs w:val="18"/>
              </w:rPr>
              <w:t>3</w:t>
            </w:r>
            <w:r>
              <w:rPr>
                <w:rFonts w:hAnsi="宋体" w:cs="Times New Roman"/>
                <w:kern w:val="0"/>
                <w:sz w:val="18"/>
                <w:szCs w:val="18"/>
              </w:rPr>
              <w:t>根</w:t>
            </w:r>
          </w:p>
        </w:tc>
        <w:tc>
          <w:tcPr>
            <w:tcW w:w="790" w:type="dxa"/>
            <w:vAlign w:val="center"/>
          </w:tcPr>
          <w:p>
            <w:pPr>
              <w:adjustRightInd w:val="0"/>
              <w:snapToGrid w:val="0"/>
              <w:jc w:val="center"/>
              <w:rPr>
                <w:rFonts w:cs="Times New Roman"/>
                <w:kern w:val="0"/>
                <w:sz w:val="18"/>
                <w:szCs w:val="18"/>
              </w:rPr>
            </w:pPr>
            <w:r>
              <w:rPr>
                <w:rFonts w:hAnsi="宋体" w:cs="Times New Roman"/>
                <w:kern w:val="0"/>
                <w:sz w:val="18"/>
                <w:szCs w:val="18"/>
              </w:rPr>
              <w:t>电信公司</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整体搬迁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507" w:type="dxa"/>
            <w:vAlign w:val="center"/>
          </w:tcPr>
          <w:p>
            <w:pPr>
              <w:adjustRightInd w:val="0"/>
              <w:snapToGrid w:val="0"/>
              <w:jc w:val="center"/>
              <w:rPr>
                <w:rFonts w:cs="Times New Roman"/>
                <w:kern w:val="0"/>
                <w:sz w:val="18"/>
                <w:szCs w:val="18"/>
              </w:rPr>
            </w:pPr>
            <w:r>
              <w:rPr>
                <w:rFonts w:cs="Times New Roman"/>
                <w:kern w:val="0"/>
                <w:sz w:val="18"/>
                <w:szCs w:val="18"/>
              </w:rPr>
              <w:t>2.2</w:t>
            </w:r>
          </w:p>
        </w:tc>
        <w:tc>
          <w:tcPr>
            <w:tcW w:w="6143" w:type="dxa"/>
            <w:gridSpan w:val="7"/>
            <w:vAlign w:val="center"/>
          </w:tcPr>
          <w:p>
            <w:pPr>
              <w:adjustRightInd w:val="0"/>
              <w:snapToGrid w:val="0"/>
              <w:rPr>
                <w:rFonts w:cs="Times New Roman"/>
                <w:kern w:val="0"/>
                <w:sz w:val="18"/>
                <w:szCs w:val="18"/>
              </w:rPr>
            </w:pPr>
            <w:r>
              <w:rPr>
                <w:rFonts w:cs="Times New Roman"/>
                <w:kern w:val="0"/>
                <w:sz w:val="18"/>
                <w:szCs w:val="18"/>
              </w:rPr>
              <w:t>15m</w:t>
            </w:r>
            <w:r>
              <w:rPr>
                <w:rFonts w:hAnsi="宋体" w:cs="Times New Roman"/>
                <w:kern w:val="0"/>
                <w:sz w:val="18"/>
                <w:szCs w:val="18"/>
              </w:rPr>
              <w:t>高的支撑杆</w:t>
            </w:r>
            <w:r>
              <w:rPr>
                <w:rFonts w:cs="Times New Roman"/>
                <w:kern w:val="0"/>
                <w:sz w:val="18"/>
                <w:szCs w:val="18"/>
              </w:rPr>
              <w:t>1</w:t>
            </w:r>
            <w:r>
              <w:rPr>
                <w:rFonts w:hAnsi="宋体" w:cs="Times New Roman"/>
                <w:kern w:val="0"/>
                <w:sz w:val="18"/>
                <w:szCs w:val="18"/>
              </w:rPr>
              <w:t>个、</w:t>
            </w:r>
            <w:r>
              <w:rPr>
                <w:rFonts w:cs="Times New Roman"/>
                <w:kern w:val="0"/>
                <w:sz w:val="18"/>
                <w:szCs w:val="18"/>
              </w:rPr>
              <w:t>4mx4m</w:t>
            </w:r>
            <w:r>
              <w:rPr>
                <w:rFonts w:hAnsi="宋体" w:cs="Times New Roman"/>
                <w:kern w:val="0"/>
                <w:sz w:val="18"/>
                <w:szCs w:val="18"/>
              </w:rPr>
              <w:t>的铁塔框架一个，</w:t>
            </w:r>
            <w:r>
              <w:rPr>
                <w:rFonts w:cs="Times New Roman"/>
                <w:kern w:val="0"/>
                <w:sz w:val="18"/>
                <w:szCs w:val="18"/>
              </w:rPr>
              <w:t>12V</w:t>
            </w:r>
            <w:r>
              <w:rPr>
                <w:rFonts w:hAnsi="宋体" w:cs="Times New Roman"/>
                <w:kern w:val="0"/>
                <w:sz w:val="18"/>
                <w:szCs w:val="18"/>
              </w:rPr>
              <w:t>铅酸电池</w:t>
            </w:r>
            <w:r>
              <w:rPr>
                <w:rFonts w:cs="Times New Roman"/>
                <w:kern w:val="0"/>
                <w:sz w:val="18"/>
                <w:szCs w:val="18"/>
              </w:rPr>
              <w:t>8</w:t>
            </w:r>
            <w:r>
              <w:rPr>
                <w:rFonts w:hAnsi="宋体" w:cs="Times New Roman"/>
                <w:kern w:val="0"/>
                <w:sz w:val="18"/>
                <w:szCs w:val="18"/>
              </w:rPr>
              <w:t>个，</w:t>
            </w:r>
            <w:r>
              <w:rPr>
                <w:rFonts w:cs="Times New Roman"/>
                <w:kern w:val="0"/>
                <w:sz w:val="18"/>
                <w:szCs w:val="18"/>
              </w:rPr>
              <w:t>48V</w:t>
            </w:r>
            <w:r>
              <w:rPr>
                <w:rFonts w:hAnsi="宋体" w:cs="Times New Roman"/>
                <w:kern w:val="0"/>
                <w:sz w:val="18"/>
                <w:szCs w:val="18"/>
              </w:rPr>
              <w:t>梯级电池</w:t>
            </w:r>
            <w:r>
              <w:rPr>
                <w:rFonts w:cs="Times New Roman"/>
                <w:kern w:val="0"/>
                <w:sz w:val="18"/>
                <w:szCs w:val="18"/>
              </w:rPr>
              <w:t>2</w:t>
            </w:r>
            <w:r>
              <w:rPr>
                <w:rFonts w:hAnsi="宋体" w:cs="Times New Roman"/>
                <w:kern w:val="0"/>
                <w:sz w:val="18"/>
                <w:szCs w:val="18"/>
              </w:rPr>
              <w:t>个，中达</w:t>
            </w:r>
            <w:r>
              <w:rPr>
                <w:rFonts w:cs="Times New Roman"/>
                <w:kern w:val="0"/>
                <w:sz w:val="18"/>
                <w:szCs w:val="18"/>
              </w:rPr>
              <w:t>12hb</w:t>
            </w:r>
            <w:r>
              <w:rPr>
                <w:rFonts w:hAnsi="宋体" w:cs="Times New Roman"/>
                <w:kern w:val="0"/>
                <w:sz w:val="18"/>
                <w:szCs w:val="18"/>
              </w:rPr>
              <w:t>、中兴</w:t>
            </w:r>
            <w:r>
              <w:rPr>
                <w:rFonts w:cs="Times New Roman"/>
                <w:kern w:val="0"/>
                <w:sz w:val="18"/>
                <w:szCs w:val="18"/>
              </w:rPr>
              <w:t>zxdu58</w:t>
            </w:r>
            <w:r>
              <w:rPr>
                <w:rFonts w:hAnsi="宋体" w:cs="Times New Roman"/>
                <w:kern w:val="0"/>
                <w:sz w:val="18"/>
                <w:szCs w:val="18"/>
              </w:rPr>
              <w:t>开关电源各</w:t>
            </w:r>
            <w:r>
              <w:rPr>
                <w:rFonts w:cs="Times New Roman"/>
                <w:kern w:val="0"/>
                <w:sz w:val="18"/>
                <w:szCs w:val="18"/>
              </w:rPr>
              <w:t>1</w:t>
            </w:r>
            <w:r>
              <w:rPr>
                <w:rFonts w:hAnsi="宋体" w:cs="Times New Roman"/>
                <w:kern w:val="0"/>
                <w:sz w:val="18"/>
                <w:szCs w:val="18"/>
              </w:rPr>
              <w:t>套，</w:t>
            </w:r>
            <w:r>
              <w:rPr>
                <w:rFonts w:cs="Times New Roman"/>
                <w:kern w:val="0"/>
                <w:sz w:val="18"/>
                <w:szCs w:val="18"/>
              </w:rPr>
              <w:t>550W</w:t>
            </w:r>
            <w:r>
              <w:rPr>
                <w:rFonts w:hAnsi="宋体" w:cs="Times New Roman"/>
                <w:kern w:val="0"/>
                <w:sz w:val="18"/>
                <w:szCs w:val="18"/>
              </w:rPr>
              <w:t>机柜空调</w:t>
            </w:r>
            <w:r>
              <w:rPr>
                <w:rFonts w:cs="Times New Roman"/>
                <w:kern w:val="0"/>
                <w:sz w:val="18"/>
                <w:szCs w:val="18"/>
              </w:rPr>
              <w:t>1</w:t>
            </w:r>
            <w:r>
              <w:rPr>
                <w:rFonts w:hAnsi="宋体" w:cs="Times New Roman"/>
                <w:kern w:val="0"/>
                <w:sz w:val="18"/>
                <w:szCs w:val="18"/>
              </w:rPr>
              <w:t>套，户外一体化动力机柜</w:t>
            </w:r>
            <w:r>
              <w:rPr>
                <w:rFonts w:cs="Times New Roman"/>
                <w:kern w:val="0"/>
                <w:sz w:val="18"/>
                <w:szCs w:val="18"/>
              </w:rPr>
              <w:t>1</w:t>
            </w:r>
            <w:r>
              <w:rPr>
                <w:rFonts w:hAnsi="宋体" w:cs="Times New Roman"/>
                <w:kern w:val="0"/>
                <w:sz w:val="18"/>
                <w:szCs w:val="18"/>
              </w:rPr>
              <w:t>块</w:t>
            </w:r>
          </w:p>
        </w:tc>
        <w:tc>
          <w:tcPr>
            <w:tcW w:w="790" w:type="dxa"/>
            <w:vAlign w:val="center"/>
          </w:tcPr>
          <w:p>
            <w:pPr>
              <w:adjustRightInd w:val="0"/>
              <w:snapToGrid w:val="0"/>
              <w:jc w:val="center"/>
              <w:rPr>
                <w:rFonts w:cs="Times New Roman"/>
                <w:kern w:val="0"/>
                <w:sz w:val="18"/>
                <w:szCs w:val="18"/>
              </w:rPr>
            </w:pPr>
            <w:r>
              <w:rPr>
                <w:rFonts w:hAnsi="宋体" w:cs="Times New Roman"/>
                <w:kern w:val="0"/>
                <w:sz w:val="18"/>
                <w:szCs w:val="18"/>
              </w:rPr>
              <w:t>铁塔公司</w:t>
            </w:r>
          </w:p>
        </w:tc>
        <w:tc>
          <w:tcPr>
            <w:tcW w:w="1190" w:type="dxa"/>
            <w:vAlign w:val="center"/>
          </w:tcPr>
          <w:p>
            <w:pPr>
              <w:adjustRightInd w:val="0"/>
              <w:snapToGrid w:val="0"/>
              <w:jc w:val="center"/>
              <w:rPr>
                <w:rFonts w:cs="Times New Roman"/>
                <w:kern w:val="0"/>
                <w:sz w:val="18"/>
                <w:szCs w:val="18"/>
              </w:rPr>
            </w:pPr>
            <w:r>
              <w:rPr>
                <w:rFonts w:hAnsi="宋体" w:cs="Times New Roman"/>
                <w:kern w:val="0"/>
                <w:sz w:val="18"/>
                <w:szCs w:val="18"/>
              </w:rPr>
              <w:t>设备搬迁</w:t>
            </w:r>
          </w:p>
        </w:tc>
      </w:tr>
    </w:tbl>
    <w:p>
      <w:pPr>
        <w:adjustRightInd w:val="0"/>
        <w:snapToGrid w:val="0"/>
        <w:spacing w:before="60" w:after="60" w:line="480" w:lineRule="exact"/>
        <w:outlineLvl w:val="2"/>
        <w:rPr>
          <w:rFonts w:eastAsia="黑体"/>
          <w:bCs/>
          <w:sz w:val="24"/>
          <w:szCs w:val="32"/>
        </w:rPr>
      </w:pPr>
      <w:bookmarkStart w:id="286" w:name="_Toc85487745"/>
      <w:bookmarkStart w:id="287" w:name="_Toc85632512"/>
      <w:bookmarkStart w:id="288" w:name="_Toc85660280"/>
      <w:r>
        <w:rPr>
          <w:rFonts w:eastAsia="黑体"/>
          <w:bCs/>
          <w:sz w:val="24"/>
          <w:szCs w:val="32"/>
        </w:rPr>
        <w:t>7.</w:t>
      </w:r>
      <w:r>
        <w:rPr>
          <w:rFonts w:hint="eastAsia" w:eastAsia="黑体"/>
          <w:bCs/>
          <w:sz w:val="24"/>
          <w:szCs w:val="32"/>
        </w:rPr>
        <w:t>4</w:t>
      </w:r>
      <w:r>
        <w:rPr>
          <w:rFonts w:eastAsia="黑体"/>
          <w:bCs/>
          <w:sz w:val="24"/>
          <w:szCs w:val="32"/>
        </w:rPr>
        <w:t xml:space="preserve">.2  </w:t>
      </w:r>
      <w:r>
        <w:rPr>
          <w:rFonts w:hint="eastAsia" w:eastAsia="黑体"/>
          <w:bCs/>
          <w:sz w:val="24"/>
          <w:szCs w:val="32"/>
        </w:rPr>
        <w:t>通信设施复建方案</w:t>
      </w:r>
      <w:bookmarkEnd w:id="286"/>
      <w:bookmarkEnd w:id="287"/>
      <w:bookmarkEnd w:id="288"/>
    </w:p>
    <w:p>
      <w:pPr>
        <w:adjustRightInd w:val="0"/>
        <w:snapToGrid w:val="0"/>
        <w:spacing w:line="480" w:lineRule="exact"/>
        <w:ind w:firstLine="480" w:firstLineChars="200"/>
        <w:rPr>
          <w:sz w:val="24"/>
        </w:rPr>
      </w:pPr>
      <w:r>
        <w:rPr>
          <w:rFonts w:hint="eastAsia"/>
          <w:sz w:val="24"/>
        </w:rPr>
        <w:t>陆河抽水蓄能电站建设征地影响的通信设施包括：影响电信公司通信杆路</w:t>
      </w:r>
      <w:r>
        <w:rPr>
          <w:sz w:val="24"/>
        </w:rPr>
        <w:t>2</w:t>
      </w:r>
      <w:r>
        <w:rPr>
          <w:rFonts w:hint="eastAsia"/>
          <w:sz w:val="24"/>
        </w:rPr>
        <w:t>段，长度为</w:t>
      </w:r>
      <w:r>
        <w:rPr>
          <w:sz w:val="24"/>
        </w:rPr>
        <w:t>1.20km</w:t>
      </w:r>
      <w:r>
        <w:rPr>
          <w:rFonts w:hint="eastAsia"/>
          <w:sz w:val="24"/>
        </w:rPr>
        <w:t>，</w:t>
      </w:r>
      <w:r>
        <w:rPr>
          <w:sz w:val="24"/>
        </w:rPr>
        <w:t>24</w:t>
      </w:r>
      <w:r>
        <w:rPr>
          <w:rFonts w:hint="eastAsia"/>
          <w:sz w:val="24"/>
        </w:rPr>
        <w:t>芯光缆线路</w:t>
      </w:r>
      <w:r>
        <w:rPr>
          <w:sz w:val="24"/>
        </w:rPr>
        <w:t>4</w:t>
      </w:r>
      <w:r>
        <w:rPr>
          <w:rFonts w:hint="eastAsia"/>
          <w:sz w:val="24"/>
        </w:rPr>
        <w:t>条，总长度为</w:t>
      </w:r>
      <w:r>
        <w:rPr>
          <w:sz w:val="24"/>
        </w:rPr>
        <w:t>2.40km</w:t>
      </w:r>
      <w:r>
        <w:rPr>
          <w:rFonts w:hint="eastAsia"/>
          <w:sz w:val="24"/>
        </w:rPr>
        <w:t>，</w:t>
      </w:r>
      <w:r>
        <w:rPr>
          <w:sz w:val="24"/>
        </w:rPr>
        <w:t>12</w:t>
      </w:r>
      <w:r>
        <w:rPr>
          <w:rFonts w:hint="eastAsia"/>
          <w:sz w:val="24"/>
        </w:rPr>
        <w:t>芯光缆线路</w:t>
      </w:r>
      <w:r>
        <w:rPr>
          <w:sz w:val="24"/>
        </w:rPr>
        <w:t>2</w:t>
      </w:r>
      <w:r>
        <w:rPr>
          <w:rFonts w:hint="eastAsia"/>
          <w:sz w:val="24"/>
        </w:rPr>
        <w:t>条，总长度为</w:t>
      </w:r>
      <w:r>
        <w:rPr>
          <w:sz w:val="24"/>
        </w:rPr>
        <w:t>2.00km</w:t>
      </w:r>
      <w:r>
        <w:rPr>
          <w:rFonts w:hint="eastAsia"/>
          <w:sz w:val="24"/>
        </w:rPr>
        <w:t>；影响移动公司通信杆路</w:t>
      </w:r>
      <w:r>
        <w:rPr>
          <w:sz w:val="24"/>
        </w:rPr>
        <w:t>1</w:t>
      </w:r>
      <w:r>
        <w:rPr>
          <w:rFonts w:hint="eastAsia"/>
          <w:sz w:val="24"/>
        </w:rPr>
        <w:t>段，长度为</w:t>
      </w:r>
      <w:r>
        <w:rPr>
          <w:sz w:val="24"/>
        </w:rPr>
        <w:t>1.00km</w:t>
      </w:r>
      <w:r>
        <w:rPr>
          <w:rFonts w:hint="eastAsia"/>
          <w:sz w:val="24"/>
        </w:rPr>
        <w:t>，</w:t>
      </w:r>
      <w:r>
        <w:rPr>
          <w:sz w:val="24"/>
        </w:rPr>
        <w:t>12</w:t>
      </w:r>
      <w:r>
        <w:rPr>
          <w:rFonts w:hint="eastAsia"/>
          <w:sz w:val="24"/>
        </w:rPr>
        <w:t>芯光缆线路</w:t>
      </w:r>
      <w:r>
        <w:rPr>
          <w:sz w:val="24"/>
        </w:rPr>
        <w:t>1</w:t>
      </w:r>
      <w:r>
        <w:rPr>
          <w:rFonts w:hint="eastAsia"/>
          <w:sz w:val="24"/>
        </w:rPr>
        <w:t>条，总长度为</w:t>
      </w:r>
      <w:r>
        <w:rPr>
          <w:sz w:val="24"/>
        </w:rPr>
        <w:t>1.0km</w:t>
      </w:r>
      <w:r>
        <w:rPr>
          <w:rFonts w:hint="eastAsia"/>
          <w:sz w:val="24"/>
        </w:rPr>
        <w:t>，另影响移动公司在上库区的1段4</w:t>
      </w:r>
      <w:r>
        <w:rPr>
          <w:sz w:val="24"/>
        </w:rPr>
        <w:t>8</w:t>
      </w:r>
      <w:r>
        <w:rPr>
          <w:rFonts w:hint="eastAsia"/>
          <w:sz w:val="24"/>
        </w:rPr>
        <w:t>芯临时通信光缆，光缆长度为2</w:t>
      </w:r>
      <w:r>
        <w:rPr>
          <w:sz w:val="24"/>
        </w:rPr>
        <w:t>.00km</w:t>
      </w:r>
      <w:r>
        <w:rPr>
          <w:rFonts w:hint="eastAsia"/>
          <w:sz w:val="24"/>
        </w:rPr>
        <w:t>，该段光缆是上库区一座临时基站的进线电缆，该基站主要为陆河抽蓄现场测量和施工服务，光缆直接丢在地上。另影响电信公司的激溪林场C网基站一座，其中1</w:t>
      </w:r>
      <w:r>
        <w:rPr>
          <w:sz w:val="24"/>
        </w:rPr>
        <w:t>5m</w:t>
      </w:r>
      <w:r>
        <w:rPr>
          <w:rFonts w:hint="eastAsia"/>
          <w:sz w:val="24"/>
        </w:rPr>
        <w:t>高的支撑铁塔权属中国铁塔公司，基站内的通信设备权属电信公司。</w:t>
      </w:r>
    </w:p>
    <w:p>
      <w:pPr>
        <w:adjustRightInd w:val="0"/>
        <w:snapToGrid w:val="0"/>
        <w:spacing w:line="480" w:lineRule="exact"/>
        <w:ind w:firstLine="480" w:firstLineChars="200"/>
        <w:rPr>
          <w:sz w:val="24"/>
        </w:rPr>
      </w:pPr>
      <w:r>
        <w:rPr>
          <w:sz w:val="24"/>
        </w:rPr>
        <w:t>本工程主要对受抽水蓄能电站建设征地影响的通信设施按照原规模、原标准、恢复原功能的三原原则进行规划复建</w:t>
      </w:r>
      <w:r>
        <w:rPr>
          <w:rFonts w:hint="eastAsia"/>
          <w:sz w:val="24"/>
        </w:rPr>
        <w:t>。</w:t>
      </w:r>
    </w:p>
    <w:p>
      <w:pPr>
        <w:adjustRightInd w:val="0"/>
        <w:snapToGrid w:val="0"/>
        <w:spacing w:line="480" w:lineRule="exact"/>
        <w:ind w:firstLine="480" w:firstLineChars="200"/>
        <w:rPr>
          <w:sz w:val="24"/>
        </w:rPr>
      </w:pPr>
      <w:r>
        <w:rPr>
          <w:rFonts w:hint="eastAsia"/>
          <w:sz w:val="24"/>
        </w:rPr>
        <w:t>a) 三江口电站进线电信光缆</w:t>
      </w:r>
    </w:p>
    <w:p>
      <w:pPr>
        <w:adjustRightInd w:val="0"/>
        <w:snapToGrid w:val="0"/>
        <w:spacing w:line="480" w:lineRule="exact"/>
        <w:ind w:firstLine="480" w:firstLineChars="200"/>
        <w:rPr>
          <w:sz w:val="24"/>
        </w:rPr>
      </w:pPr>
      <w:r>
        <w:rPr>
          <w:rFonts w:hint="eastAsia"/>
          <w:sz w:val="24"/>
        </w:rPr>
        <w:t>三江口电站进线电信光缆</w:t>
      </w:r>
      <w:r>
        <w:rPr>
          <w:rFonts w:hint="eastAsia" w:hAnsi="宋体"/>
          <w:sz w:val="24"/>
        </w:rPr>
        <w:t>是从从位于Y</w:t>
      </w:r>
      <w:r>
        <w:rPr>
          <w:rFonts w:hAnsi="宋体"/>
          <w:sz w:val="24"/>
        </w:rPr>
        <w:t>850</w:t>
      </w:r>
      <w:r>
        <w:rPr>
          <w:rFonts w:hint="eastAsia" w:hAnsi="宋体"/>
          <w:sz w:val="24"/>
        </w:rPr>
        <w:t>四级道路起点的</w:t>
      </w:r>
      <w:r>
        <w:rPr>
          <w:rFonts w:hint="eastAsia"/>
          <w:sz w:val="24"/>
        </w:rPr>
        <w:t>电信光缆上</w:t>
      </w:r>
      <w:r>
        <w:rPr>
          <w:rFonts w:hint="eastAsia" w:hAnsi="宋体"/>
          <w:sz w:val="24"/>
        </w:rPr>
        <w:t>引出的单杆4回通信光缆，杆路</w:t>
      </w:r>
      <w:r>
        <w:rPr>
          <w:rFonts w:hint="eastAsia"/>
          <w:sz w:val="24"/>
        </w:rPr>
        <w:t>长度为</w:t>
      </w:r>
      <w:r>
        <w:rPr>
          <w:sz w:val="24"/>
        </w:rPr>
        <w:t>1.00km</w:t>
      </w:r>
      <w:r>
        <w:rPr>
          <w:rFonts w:hint="eastAsia"/>
          <w:sz w:val="24"/>
        </w:rPr>
        <w:t>，上挂1</w:t>
      </w:r>
      <w:r>
        <w:rPr>
          <w:sz w:val="24"/>
        </w:rPr>
        <w:t>2</w:t>
      </w:r>
      <w:r>
        <w:rPr>
          <w:rFonts w:hint="eastAsia"/>
          <w:sz w:val="24"/>
        </w:rPr>
        <w:t>芯、</w:t>
      </w:r>
      <w:r>
        <w:rPr>
          <w:sz w:val="24"/>
        </w:rPr>
        <w:t>24</w:t>
      </w:r>
      <w:r>
        <w:rPr>
          <w:rFonts w:hint="eastAsia"/>
          <w:sz w:val="24"/>
        </w:rPr>
        <w:t>芯光缆线路各2条，总长度分别为</w:t>
      </w:r>
      <w:r>
        <w:rPr>
          <w:sz w:val="24"/>
        </w:rPr>
        <w:t>2.00km</w:t>
      </w:r>
      <w:r>
        <w:rPr>
          <w:rFonts w:hint="eastAsia"/>
          <w:sz w:val="24"/>
        </w:rPr>
        <w:t>，该4回光缆均为三江口电站的进线光缆。</w:t>
      </w:r>
      <w:r>
        <w:rPr>
          <w:rFonts w:hint="eastAsia" w:hAnsi="宋体"/>
          <w:sz w:val="24"/>
        </w:rPr>
        <w:t>经与三江口水电站水电站的权属单位广东泰源伟业集团公司沟通，该公司计划对原三江口水电站及配套的3</w:t>
      </w:r>
      <w:r>
        <w:rPr>
          <w:rFonts w:hAnsi="宋体"/>
          <w:sz w:val="24"/>
        </w:rPr>
        <w:t>5kV</w:t>
      </w:r>
      <w:r>
        <w:rPr>
          <w:rFonts w:hint="eastAsia" w:hAnsi="宋体"/>
          <w:sz w:val="24"/>
        </w:rPr>
        <w:t>升压站进行复建，复建站址位于Y</w:t>
      </w:r>
      <w:r>
        <w:rPr>
          <w:rFonts w:hAnsi="宋体"/>
          <w:sz w:val="24"/>
        </w:rPr>
        <w:t>850</w:t>
      </w:r>
      <w:r>
        <w:rPr>
          <w:rFonts w:hint="eastAsia" w:hAnsi="宋体"/>
          <w:sz w:val="24"/>
        </w:rPr>
        <w:t>四级复建道路的起点，故规划从</w:t>
      </w:r>
      <w:r>
        <w:rPr>
          <w:rFonts w:hint="eastAsia"/>
          <w:sz w:val="24"/>
        </w:rPr>
        <w:t>原接入点</w:t>
      </w:r>
      <w:r>
        <w:rPr>
          <w:rFonts w:hint="eastAsia" w:hAnsi="宋体"/>
          <w:sz w:val="24"/>
        </w:rPr>
        <w:t>起沿着现有的道路复建单杆4回光缆至新建的3</w:t>
      </w:r>
      <w:r>
        <w:rPr>
          <w:rFonts w:hAnsi="宋体"/>
          <w:sz w:val="24"/>
        </w:rPr>
        <w:t>5kV</w:t>
      </w:r>
      <w:r>
        <w:rPr>
          <w:rFonts w:hint="eastAsia" w:hAnsi="宋体"/>
          <w:sz w:val="24"/>
        </w:rPr>
        <w:t>三江口水电站升压站，复建杆路长度</w:t>
      </w:r>
      <w:r>
        <w:rPr>
          <w:sz w:val="24"/>
        </w:rPr>
        <w:t>2.20km</w:t>
      </w:r>
      <w:r>
        <w:rPr>
          <w:rFonts w:hint="eastAsia" w:hAnsi="宋体"/>
          <w:sz w:val="24"/>
        </w:rPr>
        <w:t>，复建</w:t>
      </w:r>
      <w:r>
        <w:rPr>
          <w:rFonts w:hAnsi="宋体"/>
          <w:sz w:val="24"/>
        </w:rPr>
        <w:t>GYTS</w:t>
      </w:r>
      <w:r>
        <w:rPr>
          <w:rFonts w:hint="eastAsia" w:hAnsi="宋体"/>
          <w:sz w:val="24"/>
        </w:rPr>
        <w:t>-1</w:t>
      </w:r>
      <w:r>
        <w:rPr>
          <w:rFonts w:hAnsi="宋体"/>
          <w:sz w:val="24"/>
        </w:rPr>
        <w:t>2</w:t>
      </w:r>
      <w:r>
        <w:rPr>
          <w:rFonts w:hint="eastAsia" w:hAnsi="宋体"/>
          <w:sz w:val="24"/>
        </w:rPr>
        <w:t>芯、</w:t>
      </w:r>
      <w:r>
        <w:rPr>
          <w:rFonts w:hAnsi="宋体"/>
          <w:sz w:val="24"/>
        </w:rPr>
        <w:t>GYTS</w:t>
      </w:r>
      <w:r>
        <w:rPr>
          <w:rFonts w:hint="eastAsia" w:hAnsi="宋体"/>
          <w:sz w:val="24"/>
        </w:rPr>
        <w:t>-</w:t>
      </w:r>
      <w:r>
        <w:rPr>
          <w:rFonts w:hAnsi="宋体"/>
          <w:sz w:val="24"/>
        </w:rPr>
        <w:t>24</w:t>
      </w:r>
      <w:r>
        <w:rPr>
          <w:rFonts w:hint="eastAsia"/>
          <w:sz w:val="24"/>
        </w:rPr>
        <w:t>芯光缆线路各2条，总长度分别为</w:t>
      </w:r>
      <w:r>
        <w:rPr>
          <w:sz w:val="24"/>
        </w:rPr>
        <w:t>4.40km</w:t>
      </w:r>
      <w:r>
        <w:rPr>
          <w:rFonts w:hint="eastAsia"/>
          <w:sz w:val="24"/>
        </w:rPr>
        <w:t>。</w:t>
      </w:r>
    </w:p>
    <w:p>
      <w:pPr>
        <w:adjustRightInd w:val="0"/>
        <w:snapToGrid w:val="0"/>
        <w:spacing w:line="480" w:lineRule="exact"/>
        <w:ind w:firstLine="480" w:firstLineChars="200"/>
        <w:rPr>
          <w:sz w:val="24"/>
        </w:rPr>
      </w:pPr>
      <w:r>
        <w:rPr>
          <w:sz w:val="24"/>
        </w:rPr>
        <w:t>b</w:t>
      </w:r>
      <w:r>
        <w:rPr>
          <w:rFonts w:hint="eastAsia"/>
          <w:sz w:val="24"/>
        </w:rPr>
        <w:t>) 三江口电站进线移动光缆</w:t>
      </w:r>
    </w:p>
    <w:p>
      <w:pPr>
        <w:adjustRightInd w:val="0"/>
        <w:snapToGrid w:val="0"/>
        <w:spacing w:line="480" w:lineRule="exact"/>
        <w:ind w:firstLine="480" w:firstLineChars="200"/>
        <w:rPr>
          <w:sz w:val="24"/>
        </w:rPr>
      </w:pPr>
      <w:r>
        <w:rPr>
          <w:rFonts w:hint="eastAsia"/>
          <w:sz w:val="24"/>
        </w:rPr>
        <w:t>三江口电站进线移动光缆</w:t>
      </w:r>
      <w:r>
        <w:rPr>
          <w:rFonts w:hint="eastAsia" w:hAnsi="宋体"/>
          <w:sz w:val="24"/>
        </w:rPr>
        <w:t>是从从位于Y</w:t>
      </w:r>
      <w:r>
        <w:rPr>
          <w:rFonts w:hAnsi="宋体"/>
          <w:sz w:val="24"/>
        </w:rPr>
        <w:t>850</w:t>
      </w:r>
      <w:r>
        <w:rPr>
          <w:rFonts w:hint="eastAsia" w:hAnsi="宋体"/>
          <w:sz w:val="24"/>
        </w:rPr>
        <w:t>四级道路起点的</w:t>
      </w:r>
      <w:r>
        <w:rPr>
          <w:rFonts w:hint="eastAsia"/>
          <w:sz w:val="24"/>
        </w:rPr>
        <w:t>移动光缆上</w:t>
      </w:r>
      <w:r>
        <w:rPr>
          <w:rFonts w:hint="eastAsia" w:hAnsi="宋体"/>
          <w:sz w:val="24"/>
        </w:rPr>
        <w:t>引出的单杆单回通信光缆，杆路</w:t>
      </w:r>
      <w:r>
        <w:rPr>
          <w:rFonts w:hint="eastAsia"/>
          <w:sz w:val="24"/>
        </w:rPr>
        <w:t>长度为</w:t>
      </w:r>
      <w:r>
        <w:rPr>
          <w:sz w:val="24"/>
        </w:rPr>
        <w:t>1.00km</w:t>
      </w:r>
      <w:r>
        <w:rPr>
          <w:rFonts w:hint="eastAsia"/>
          <w:sz w:val="24"/>
        </w:rPr>
        <w:t>，上挂1</w:t>
      </w:r>
      <w:r>
        <w:rPr>
          <w:sz w:val="24"/>
        </w:rPr>
        <w:t>2</w:t>
      </w:r>
      <w:r>
        <w:rPr>
          <w:rFonts w:hint="eastAsia"/>
          <w:sz w:val="24"/>
        </w:rPr>
        <w:t>芯光缆线路1条，长度为</w:t>
      </w:r>
      <w:r>
        <w:rPr>
          <w:sz w:val="24"/>
        </w:rPr>
        <w:t>1.00km</w:t>
      </w:r>
      <w:r>
        <w:rPr>
          <w:rFonts w:hint="eastAsia"/>
          <w:sz w:val="24"/>
        </w:rPr>
        <w:t>，该单回光缆为三江口电站的进线光缆。</w:t>
      </w:r>
      <w:r>
        <w:rPr>
          <w:rFonts w:hint="eastAsia" w:hAnsi="宋体"/>
          <w:sz w:val="24"/>
        </w:rPr>
        <w:t>经与三江口水电站水电站的权属单位广东泰源伟业集团公司沟通，该公司计划对原三江口水电站及配套的3</w:t>
      </w:r>
      <w:r>
        <w:rPr>
          <w:rFonts w:hAnsi="宋体"/>
          <w:sz w:val="24"/>
        </w:rPr>
        <w:t>5kV</w:t>
      </w:r>
      <w:r>
        <w:rPr>
          <w:rFonts w:hint="eastAsia" w:hAnsi="宋体"/>
          <w:sz w:val="24"/>
        </w:rPr>
        <w:t>升压站进行复建，复建站址位于Y</w:t>
      </w:r>
      <w:r>
        <w:rPr>
          <w:rFonts w:hAnsi="宋体"/>
          <w:sz w:val="24"/>
        </w:rPr>
        <w:t>850</w:t>
      </w:r>
      <w:r>
        <w:rPr>
          <w:rFonts w:hint="eastAsia" w:hAnsi="宋体"/>
          <w:sz w:val="24"/>
        </w:rPr>
        <w:t>四级复建道路的起点，故规划从原接入点起沿着现有的道路复建单回光缆至新建的35kV三江口水电站升压站，复建GYTS-12芯光缆线路1条，长度为2.20km，按照共建共享原则，该通信线路与电信公司共杆敷设</w:t>
      </w:r>
      <w:r>
        <w:rPr>
          <w:rFonts w:hint="eastAsia"/>
          <w:sz w:val="24"/>
        </w:rPr>
        <w:t>。</w:t>
      </w:r>
    </w:p>
    <w:p>
      <w:pPr>
        <w:adjustRightInd w:val="0"/>
        <w:snapToGrid w:val="0"/>
        <w:spacing w:line="480" w:lineRule="exact"/>
        <w:ind w:firstLine="480" w:firstLineChars="200"/>
        <w:rPr>
          <w:sz w:val="24"/>
        </w:rPr>
      </w:pPr>
      <w:r>
        <w:rPr>
          <w:sz w:val="24"/>
        </w:rPr>
        <w:t>c</w:t>
      </w:r>
      <w:r>
        <w:rPr>
          <w:rFonts w:hint="eastAsia"/>
          <w:sz w:val="24"/>
        </w:rPr>
        <w:t>) 激溪林场C网基站电信进线光缆</w:t>
      </w:r>
    </w:p>
    <w:p>
      <w:pPr>
        <w:overflowPunct w:val="0"/>
        <w:autoSpaceDE w:val="0"/>
        <w:autoSpaceDN w:val="0"/>
        <w:adjustRightInd w:val="0"/>
        <w:spacing w:line="480" w:lineRule="exact"/>
        <w:ind w:firstLine="480" w:firstLineChars="200"/>
        <w:rPr>
          <w:rFonts w:hAnsi="宋体"/>
          <w:sz w:val="24"/>
        </w:rPr>
      </w:pPr>
      <w:r>
        <w:rPr>
          <w:rFonts w:hint="eastAsia"/>
          <w:sz w:val="24"/>
        </w:rPr>
        <w:t>因激溪林场C网基站搬迁至附近的激溪林场基站，该光缆失去原有功能，不考虑复建。</w:t>
      </w:r>
    </w:p>
    <w:p>
      <w:pPr>
        <w:adjustRightInd w:val="0"/>
        <w:snapToGrid w:val="0"/>
        <w:spacing w:line="480" w:lineRule="exact"/>
        <w:ind w:firstLine="480" w:firstLineChars="200"/>
        <w:rPr>
          <w:sz w:val="24"/>
        </w:rPr>
      </w:pPr>
      <w:r>
        <w:rPr>
          <w:sz w:val="24"/>
        </w:rPr>
        <w:t>d</w:t>
      </w:r>
      <w:r>
        <w:rPr>
          <w:rFonts w:hint="eastAsia"/>
          <w:sz w:val="24"/>
        </w:rPr>
        <w:t>) 上库区临时基站移动光缆</w:t>
      </w:r>
    </w:p>
    <w:p>
      <w:pPr>
        <w:adjustRightInd w:val="0"/>
        <w:snapToGrid w:val="0"/>
        <w:spacing w:line="480" w:lineRule="exact"/>
        <w:ind w:firstLine="480" w:firstLineChars="200"/>
        <w:rPr>
          <w:sz w:val="24"/>
        </w:rPr>
      </w:pPr>
      <w:r>
        <w:rPr>
          <w:rFonts w:hint="eastAsia"/>
          <w:sz w:val="24"/>
        </w:rPr>
        <w:t>上库区临时基站移动光缆为移动公司在上库区的1段4</w:t>
      </w:r>
      <w:r>
        <w:rPr>
          <w:sz w:val="24"/>
        </w:rPr>
        <w:t>8</w:t>
      </w:r>
      <w:r>
        <w:rPr>
          <w:rFonts w:hint="eastAsia"/>
          <w:sz w:val="24"/>
        </w:rPr>
        <w:t>芯临时通信光缆，光缆长度为2</w:t>
      </w:r>
      <w:r>
        <w:rPr>
          <w:sz w:val="24"/>
        </w:rPr>
        <w:t>.00km</w:t>
      </w:r>
      <w:r>
        <w:rPr>
          <w:rFonts w:hint="eastAsia"/>
          <w:sz w:val="24"/>
        </w:rPr>
        <w:t>，该段光缆是上库区一座临时基站的进线电缆，该基站主要为陆河抽蓄现场测量和施工服务，该光缆没有杆路，直接丢在地上。本次复建不考虑对其复建。</w:t>
      </w:r>
    </w:p>
    <w:p>
      <w:pPr>
        <w:adjustRightInd w:val="0"/>
        <w:snapToGrid w:val="0"/>
        <w:spacing w:line="480" w:lineRule="exact"/>
        <w:ind w:firstLine="480" w:firstLineChars="200"/>
        <w:rPr>
          <w:sz w:val="24"/>
        </w:rPr>
      </w:pPr>
      <w:r>
        <w:rPr>
          <w:sz w:val="24"/>
        </w:rPr>
        <w:t>e</w:t>
      </w:r>
      <w:r>
        <w:rPr>
          <w:rFonts w:hint="eastAsia"/>
          <w:sz w:val="24"/>
        </w:rPr>
        <w:t>) 激溪林场C网基站搬迁</w:t>
      </w:r>
    </w:p>
    <w:p>
      <w:pPr>
        <w:adjustRightInd w:val="0"/>
        <w:snapToGrid w:val="0"/>
        <w:spacing w:line="480" w:lineRule="exact"/>
        <w:ind w:firstLine="480" w:firstLineChars="200"/>
        <w:rPr>
          <w:sz w:val="24"/>
        </w:rPr>
      </w:pPr>
      <w:r>
        <w:rPr>
          <w:rFonts w:hint="eastAsia"/>
          <w:sz w:val="24"/>
        </w:rPr>
        <w:t>抽蓄的枢纽工程建设区影响电信公司的激溪林场C网基站一座，其中1</w:t>
      </w:r>
      <w:r>
        <w:rPr>
          <w:sz w:val="24"/>
        </w:rPr>
        <w:t>5m</w:t>
      </w:r>
      <w:r>
        <w:rPr>
          <w:rFonts w:hint="eastAsia"/>
          <w:sz w:val="24"/>
        </w:rPr>
        <w:t>高的支撑铁塔及附属设备权属中国铁塔公司，基站内的通信设备权属电信公司。本次复建考虑将其搬迁至老区水电站蓄水池边上的激溪林场基站。</w:t>
      </w:r>
    </w:p>
    <w:p>
      <w:pPr>
        <w:pStyle w:val="3"/>
        <w:keepNext w:val="0"/>
        <w:keepLines w:val="0"/>
      </w:pPr>
      <w:bookmarkStart w:id="289" w:name="_Toc27000"/>
      <w:bookmarkStart w:id="290" w:name="_Toc85487746"/>
      <w:bookmarkStart w:id="291" w:name="_Toc86265093"/>
      <w:bookmarkStart w:id="292" w:name="_Toc85660282"/>
      <w:bookmarkStart w:id="293" w:name="_Toc90934886"/>
      <w:bookmarkStart w:id="294" w:name="_Toc24113"/>
      <w:bookmarkStart w:id="295" w:name="_Toc86265094"/>
      <w:r>
        <w:t>7.</w:t>
      </w:r>
      <w:r>
        <w:rPr>
          <w:rFonts w:hint="eastAsia"/>
        </w:rPr>
        <w:t xml:space="preserve">5 </w:t>
      </w:r>
      <w:r>
        <w:t xml:space="preserve"> 其他专项设施</w:t>
      </w:r>
      <w:bookmarkEnd w:id="289"/>
      <w:bookmarkEnd w:id="290"/>
      <w:bookmarkEnd w:id="291"/>
      <w:bookmarkEnd w:id="292"/>
      <w:bookmarkEnd w:id="293"/>
    </w:p>
    <w:p>
      <w:pPr>
        <w:pStyle w:val="4"/>
      </w:pPr>
      <w:bookmarkStart w:id="296" w:name="_Toc85660283"/>
      <w:bookmarkStart w:id="297" w:name="_Toc85632515"/>
      <w:bookmarkStart w:id="298" w:name="_Toc85487747"/>
      <w:r>
        <w:t>7.</w:t>
      </w:r>
      <w:r>
        <w:rPr>
          <w:rFonts w:hint="eastAsia"/>
        </w:rPr>
        <w:t>5</w:t>
      </w:r>
      <w:r>
        <w:t>.1  文物古迹</w:t>
      </w:r>
      <w:bookmarkEnd w:id="296"/>
      <w:bookmarkEnd w:id="297"/>
      <w:bookmarkEnd w:id="298"/>
      <w:r>
        <w:t xml:space="preserve"> </w:t>
      </w:r>
    </w:p>
    <w:p>
      <w:pPr>
        <w:adjustRightInd w:val="0"/>
        <w:snapToGrid w:val="0"/>
        <w:spacing w:line="480" w:lineRule="exact"/>
        <w:ind w:firstLine="480" w:firstLineChars="200"/>
        <w:rPr>
          <w:sz w:val="24"/>
        </w:rPr>
      </w:pPr>
      <w:r>
        <w:rPr>
          <w:sz w:val="24"/>
        </w:rPr>
        <w:t>本工程</w:t>
      </w:r>
      <w:r>
        <w:rPr>
          <w:rFonts w:hint="eastAsia"/>
          <w:sz w:val="24"/>
        </w:rPr>
        <w:t>建设征地范围内不涉及县级(含县级)以上文物保护单位，但红线外不远处有一处</w:t>
      </w:r>
      <w:r>
        <w:rPr>
          <w:rFonts w:hint="eastAsia" w:hAnsi="宋体"/>
          <w:kern w:val="0"/>
          <w:sz w:val="24"/>
        </w:rPr>
        <w:t>不可移动文物点：</w:t>
      </w:r>
      <w:r>
        <w:rPr>
          <w:sz w:val="24"/>
        </w:rPr>
        <w:t>红二师纪念亭。该</w:t>
      </w:r>
      <w:r>
        <w:rPr>
          <w:rFonts w:hint="eastAsia"/>
          <w:sz w:val="24"/>
        </w:rPr>
        <w:t>文物点</w:t>
      </w:r>
      <w:r>
        <w:rPr>
          <w:sz w:val="24"/>
        </w:rPr>
        <w:t>在工程占地范围外，地处下水库大坝坡脚下游</w:t>
      </w:r>
      <w:r>
        <w:rPr>
          <w:rFonts w:hint="eastAsia"/>
          <w:sz w:val="24"/>
        </w:rPr>
        <w:t>约420m、导流洞出口下游约350m，高程150m~152m，结合以往施工经验，</w:t>
      </w:r>
      <w:r>
        <w:rPr>
          <w:sz w:val="24"/>
        </w:rPr>
        <w:t>工程施工不会对该文物古迹产生影响。</w:t>
      </w:r>
    </w:p>
    <w:p>
      <w:pPr>
        <w:adjustRightInd w:val="0"/>
        <w:snapToGrid w:val="0"/>
        <w:spacing w:line="480" w:lineRule="exact"/>
        <w:ind w:firstLine="480" w:firstLineChars="200"/>
        <w:rPr>
          <w:sz w:val="24"/>
        </w:rPr>
      </w:pPr>
      <w:r>
        <w:rPr>
          <w:rFonts w:hint="eastAsia"/>
          <w:sz w:val="24"/>
        </w:rPr>
        <w:t>为确保该文物古迹安全，临近建筑物施工期可在枢纽工程中考虑采取一定的保护措施：</w:t>
      </w:r>
    </w:p>
    <w:p>
      <w:pPr>
        <w:adjustRightInd w:val="0"/>
        <w:snapToGrid w:val="0"/>
        <w:spacing w:line="480" w:lineRule="exact"/>
        <w:ind w:firstLine="480" w:firstLineChars="200"/>
        <w:rPr>
          <w:sz w:val="24"/>
        </w:rPr>
      </w:pPr>
      <w:r>
        <w:rPr>
          <w:rFonts w:hint="eastAsia"/>
          <w:sz w:val="24"/>
        </w:rPr>
        <w:t>1) 通过控制爆破技术控制爆破振动</w:t>
      </w:r>
    </w:p>
    <w:p>
      <w:pPr>
        <w:adjustRightInd w:val="0"/>
        <w:snapToGrid w:val="0"/>
        <w:spacing w:line="480" w:lineRule="exact"/>
        <w:ind w:firstLine="480" w:firstLineChars="200"/>
        <w:rPr>
          <w:sz w:val="24"/>
        </w:rPr>
      </w:pPr>
      <w:r>
        <w:rPr>
          <w:rFonts w:hint="eastAsia"/>
          <w:sz w:val="24"/>
        </w:rPr>
        <w:t>边坡开挖过程中采取预裂或光面爆破，降低主爆破孔地震效应。通过应用微振动控制爆破技术对振速进行有效控制，确保临近文物安全与稳定，保证重复爆破不会对敏感部位产生危害。即根据应力波叠加原理，在等同装药量的情况下，采用分段微差技术，使爆破所产生的振动能量在时空上分散，从而降低或减弱爆破振动效应的强度，主要是通过控制最大一段起爆药量来实施，同时结合爆破规范单响起爆药量允许值不大于3</w:t>
      </w:r>
      <w:r>
        <w:rPr>
          <w:sz w:val="24"/>
        </w:rPr>
        <w:t>00</w:t>
      </w:r>
      <w:r>
        <w:rPr>
          <w:rFonts w:hint="eastAsia"/>
          <w:sz w:val="24"/>
        </w:rPr>
        <w:t>kg进行控制。</w:t>
      </w:r>
    </w:p>
    <w:p>
      <w:pPr>
        <w:adjustRightInd w:val="0"/>
        <w:snapToGrid w:val="0"/>
        <w:spacing w:line="480" w:lineRule="exact"/>
        <w:ind w:firstLine="480" w:firstLineChars="200"/>
        <w:rPr>
          <w:sz w:val="24"/>
        </w:rPr>
      </w:pPr>
      <w:r>
        <w:rPr>
          <w:rFonts w:hint="eastAsia"/>
          <w:sz w:val="24"/>
        </w:rPr>
        <w:t>2) 加强</w:t>
      </w:r>
      <w:r>
        <w:rPr>
          <w:sz w:val="24"/>
        </w:rPr>
        <w:t>爆破振动监测</w:t>
      </w:r>
    </w:p>
    <w:p>
      <w:pPr>
        <w:adjustRightInd w:val="0"/>
        <w:snapToGrid w:val="0"/>
        <w:spacing w:line="480" w:lineRule="exact"/>
        <w:ind w:firstLine="480" w:firstLineChars="200"/>
        <w:rPr>
          <w:sz w:val="24"/>
        </w:rPr>
      </w:pPr>
      <w:r>
        <w:rPr>
          <w:rFonts w:hint="eastAsia"/>
          <w:sz w:val="24"/>
        </w:rPr>
        <w:t>在爆破</w:t>
      </w:r>
      <w:r>
        <w:rPr>
          <w:sz w:val="24"/>
        </w:rPr>
        <w:t>时</w:t>
      </w:r>
      <w:r>
        <w:rPr>
          <w:rFonts w:hint="eastAsia"/>
          <w:sz w:val="24"/>
        </w:rPr>
        <w:t>进行爆破</w:t>
      </w:r>
      <w:r>
        <w:rPr>
          <w:sz w:val="24"/>
        </w:rPr>
        <w:t>振动监</w:t>
      </w:r>
      <w:r>
        <w:rPr>
          <w:rFonts w:hint="eastAsia"/>
          <w:sz w:val="24"/>
        </w:rPr>
        <w:t>测</w:t>
      </w:r>
      <w:r>
        <w:rPr>
          <w:sz w:val="24"/>
        </w:rPr>
        <w:t>工</w:t>
      </w:r>
      <w:r>
        <w:rPr>
          <w:rFonts w:hint="eastAsia"/>
          <w:sz w:val="24"/>
        </w:rPr>
        <w:t>作</w:t>
      </w:r>
      <w:r>
        <w:rPr>
          <w:sz w:val="24"/>
        </w:rPr>
        <w:t>，并根据爆破</w:t>
      </w:r>
      <w:r>
        <w:rPr>
          <w:rFonts w:hint="eastAsia"/>
          <w:sz w:val="24"/>
        </w:rPr>
        <w:t>振</w:t>
      </w:r>
      <w:r>
        <w:rPr>
          <w:sz w:val="24"/>
        </w:rPr>
        <w:t>动监测结果</w:t>
      </w:r>
      <w:r>
        <w:rPr>
          <w:rFonts w:hint="eastAsia"/>
          <w:sz w:val="24"/>
        </w:rPr>
        <w:t>对</w:t>
      </w:r>
      <w:r>
        <w:rPr>
          <w:sz w:val="24"/>
        </w:rPr>
        <w:t>最大单响药量等爆破参数进行相应的调整，确保</w:t>
      </w:r>
      <w:r>
        <w:rPr>
          <w:rFonts w:hint="eastAsia"/>
          <w:sz w:val="24"/>
        </w:rPr>
        <w:t>保护对象所在地基础质点峰值振动速度</w:t>
      </w:r>
      <w:r>
        <w:rPr>
          <w:sz w:val="24"/>
        </w:rPr>
        <w:t>不大于</w:t>
      </w:r>
      <w:r>
        <w:rPr>
          <w:rFonts w:hint="eastAsia"/>
          <w:sz w:val="24"/>
        </w:rPr>
        <w:t>GB6722-2014</w:t>
      </w:r>
      <w:r>
        <w:rPr>
          <w:sz w:val="24"/>
        </w:rPr>
        <w:t>《</w:t>
      </w:r>
      <w:r>
        <w:rPr>
          <w:rFonts w:hint="eastAsia"/>
          <w:sz w:val="24"/>
        </w:rPr>
        <w:t>爆破安全规程</w:t>
      </w:r>
      <w:r>
        <w:rPr>
          <w:sz w:val="24"/>
        </w:rPr>
        <w:t>》规定的</w:t>
      </w:r>
      <w:r>
        <w:rPr>
          <w:rFonts w:hint="eastAsia"/>
          <w:sz w:val="24"/>
        </w:rPr>
        <w:t>安全允许质点振动速度</w:t>
      </w:r>
      <w:r>
        <w:rPr>
          <w:sz w:val="24"/>
        </w:rPr>
        <w:t>。</w:t>
      </w:r>
    </w:p>
    <w:p>
      <w:pPr>
        <w:adjustRightInd w:val="0"/>
        <w:snapToGrid w:val="0"/>
        <w:spacing w:line="480" w:lineRule="exact"/>
        <w:ind w:firstLine="480" w:firstLineChars="200"/>
        <w:rPr>
          <w:sz w:val="24"/>
        </w:rPr>
      </w:pPr>
      <w:r>
        <w:rPr>
          <w:rFonts w:hint="eastAsia"/>
          <w:sz w:val="24"/>
        </w:rPr>
        <w:t>3) 爆破飞石控制</w:t>
      </w:r>
    </w:p>
    <w:p>
      <w:pPr>
        <w:adjustRightInd w:val="0"/>
        <w:snapToGrid w:val="0"/>
        <w:spacing w:line="480" w:lineRule="exact"/>
        <w:ind w:firstLine="480" w:firstLineChars="200"/>
      </w:pPr>
      <w:r>
        <w:rPr>
          <w:rFonts w:hint="eastAsia"/>
          <w:sz w:val="24"/>
        </w:rPr>
        <w:t>结合工程实践，根据经验公式计算飞石距离，对最大单响药量等爆破参数进行相</w:t>
      </w:r>
      <w:r>
        <w:rPr>
          <w:rFonts w:hint="eastAsia"/>
          <w:color w:val="000000"/>
          <w:sz w:val="24"/>
        </w:rPr>
        <w:t>应的调整，加大爆破警戒范围，确保爆破安全。</w:t>
      </w:r>
    </w:p>
    <w:bookmarkEnd w:id="294"/>
    <w:bookmarkEnd w:id="295"/>
    <w:p>
      <w:pPr>
        <w:pStyle w:val="2"/>
      </w:pPr>
      <w:bookmarkStart w:id="299" w:name="_Toc85487750"/>
      <w:bookmarkStart w:id="300" w:name="_Toc85660286"/>
      <w:bookmarkStart w:id="301" w:name="_Toc13731"/>
      <w:bookmarkStart w:id="302" w:name="_Toc6428"/>
      <w:bookmarkStart w:id="303" w:name="_Toc86265095"/>
      <w:r>
        <w:br w:type="page"/>
      </w:r>
      <w:bookmarkStart w:id="304" w:name="_Toc90934887"/>
      <w:r>
        <w:t>8  环境保护与水土保持</w:t>
      </w:r>
      <w:bookmarkEnd w:id="299"/>
      <w:bookmarkEnd w:id="300"/>
      <w:bookmarkEnd w:id="301"/>
      <w:bookmarkEnd w:id="302"/>
      <w:bookmarkEnd w:id="303"/>
      <w:bookmarkEnd w:id="304"/>
    </w:p>
    <w:p>
      <w:pPr>
        <w:pStyle w:val="3"/>
      </w:pPr>
      <w:bookmarkStart w:id="305" w:name="_Toc90934888"/>
      <w:bookmarkStart w:id="306" w:name="_Toc85660287"/>
      <w:bookmarkStart w:id="307" w:name="_Toc21715"/>
      <w:bookmarkStart w:id="308" w:name="_Toc26074"/>
      <w:bookmarkStart w:id="309" w:name="_Toc86265096"/>
      <w:bookmarkStart w:id="310" w:name="_Toc85487751"/>
      <w:r>
        <w:t>8.1  环境保护</w:t>
      </w:r>
      <w:bookmarkEnd w:id="305"/>
      <w:bookmarkEnd w:id="306"/>
      <w:bookmarkEnd w:id="307"/>
      <w:bookmarkEnd w:id="308"/>
      <w:bookmarkEnd w:id="309"/>
      <w:bookmarkEnd w:id="310"/>
    </w:p>
    <w:p>
      <w:pPr>
        <w:pStyle w:val="4"/>
      </w:pPr>
      <w:r>
        <w:rPr>
          <w:rFonts w:hint="eastAsia"/>
        </w:rPr>
        <w:t>8.1.1  环境保护设计标准</w:t>
      </w:r>
    </w:p>
    <w:p>
      <w:pPr>
        <w:pStyle w:val="5"/>
      </w:pPr>
      <w:r>
        <w:rPr>
          <w:rFonts w:hint="eastAsia"/>
        </w:rPr>
        <w:t>8.1.1.1  环境保护目标</w:t>
      </w:r>
    </w:p>
    <w:p>
      <w:pPr>
        <w:overflowPunct w:val="0"/>
        <w:autoSpaceDE w:val="0"/>
        <w:autoSpaceDN w:val="0"/>
        <w:adjustRightInd w:val="0"/>
        <w:snapToGrid w:val="0"/>
        <w:spacing w:line="480" w:lineRule="exact"/>
        <w:ind w:firstLine="480" w:firstLineChars="200"/>
        <w:rPr>
          <w:rFonts w:hAnsi="宋体"/>
          <w:sz w:val="24"/>
        </w:rPr>
      </w:pPr>
      <w:r>
        <w:rPr>
          <w:rFonts w:hint="eastAsia" w:hAnsi="宋体"/>
          <w:sz w:val="24"/>
        </w:rPr>
        <w:t>根据广东陆河抽水蓄能电站所在区域功能以及征地移民安置工程建设内容，本项目不涉及搬迁移民，移民安置工程主要为生产移民安置和专项项目复建，包括乡道复建和电力通信设施建设。本工程移民安置工程的环境保护目标如下：</w:t>
      </w:r>
    </w:p>
    <w:p>
      <w:pPr>
        <w:adjustRightInd w:val="0"/>
        <w:snapToGrid w:val="0"/>
        <w:spacing w:line="480" w:lineRule="exact"/>
        <w:ind w:firstLine="480" w:firstLineChars="200"/>
        <w:rPr>
          <w:sz w:val="24"/>
        </w:rPr>
      </w:pPr>
      <w:r>
        <w:rPr>
          <w:sz w:val="24"/>
        </w:rPr>
        <w:t xml:space="preserve">a) </w:t>
      </w:r>
      <w:r>
        <w:rPr>
          <w:rFonts w:hAnsi="宋体"/>
          <w:sz w:val="24"/>
        </w:rPr>
        <w:t>水环境</w:t>
      </w:r>
    </w:p>
    <w:p>
      <w:pPr>
        <w:adjustRightInd w:val="0"/>
        <w:snapToGrid w:val="0"/>
        <w:spacing w:line="480" w:lineRule="exact"/>
        <w:ind w:firstLine="480" w:firstLineChars="200"/>
        <w:rPr>
          <w:sz w:val="24"/>
        </w:rPr>
      </w:pPr>
      <w:r>
        <w:rPr>
          <w:rFonts w:hAnsi="宋体"/>
          <w:sz w:val="24"/>
        </w:rPr>
        <w:t>保证征地移民安置建设过程中不对施工区域周围水质</w:t>
      </w:r>
      <w:r>
        <w:rPr>
          <w:rFonts w:hint="eastAsia" w:hAnsi="宋体"/>
          <w:sz w:val="24"/>
        </w:rPr>
        <w:t>产生</w:t>
      </w:r>
      <w:r>
        <w:rPr>
          <w:rFonts w:hAnsi="宋体"/>
          <w:sz w:val="24"/>
        </w:rPr>
        <w:t>影响，维持现有水域功能，</w:t>
      </w:r>
      <w:r>
        <w:rPr>
          <w:rFonts w:hint="eastAsia" w:hAnsi="宋体"/>
          <w:sz w:val="24"/>
        </w:rPr>
        <w:t>流域</w:t>
      </w:r>
      <w:r>
        <w:rPr>
          <w:rFonts w:hAnsi="宋体"/>
          <w:sz w:val="24"/>
        </w:rPr>
        <w:t>要求水质达到《地表水环境质量标准》</w:t>
      </w:r>
      <w:r>
        <w:rPr>
          <w:sz w:val="24"/>
        </w:rPr>
        <w:t>(GB 3838-2002)</w:t>
      </w:r>
      <w:r>
        <w:rPr>
          <w:sz w:val="24"/>
        </w:rPr>
        <w:fldChar w:fldCharType="begin"/>
      </w:r>
      <w:r>
        <w:rPr>
          <w:sz w:val="24"/>
        </w:rPr>
        <w:instrText xml:space="preserve"> = 3 \* ROMAN </w:instrText>
      </w:r>
      <w:r>
        <w:rPr>
          <w:sz w:val="24"/>
        </w:rPr>
        <w:fldChar w:fldCharType="separate"/>
      </w:r>
      <w:r>
        <w:rPr>
          <w:sz w:val="24"/>
        </w:rPr>
        <w:t>II</w:t>
      </w:r>
      <w:r>
        <w:rPr>
          <w:sz w:val="24"/>
        </w:rPr>
        <w:fldChar w:fldCharType="end"/>
      </w:r>
      <w:r>
        <w:rPr>
          <w:rFonts w:hAnsi="宋体"/>
          <w:sz w:val="24"/>
        </w:rPr>
        <w:t>类标准</w:t>
      </w:r>
      <w:r>
        <w:rPr>
          <w:rFonts w:hint="eastAsia" w:hAnsi="宋体"/>
          <w:sz w:val="24"/>
        </w:rPr>
        <w:t>，</w:t>
      </w:r>
      <w:r>
        <w:rPr>
          <w:rFonts w:hAnsi="宋体"/>
          <w:sz w:val="24"/>
        </w:rPr>
        <w:t>施工过程中污废水处理达标后回用</w:t>
      </w:r>
      <w:r>
        <w:rPr>
          <w:rFonts w:hint="eastAsia" w:hAnsi="宋体"/>
          <w:sz w:val="24"/>
        </w:rPr>
        <w:t>，</w:t>
      </w:r>
      <w:r>
        <w:rPr>
          <w:rFonts w:hAnsi="宋体"/>
          <w:sz w:val="24"/>
        </w:rPr>
        <w:t>严禁外排。</w:t>
      </w:r>
    </w:p>
    <w:p>
      <w:pPr>
        <w:adjustRightInd w:val="0"/>
        <w:snapToGrid w:val="0"/>
        <w:spacing w:line="480" w:lineRule="exact"/>
        <w:ind w:firstLine="480" w:firstLineChars="200"/>
        <w:rPr>
          <w:sz w:val="24"/>
        </w:rPr>
      </w:pPr>
      <w:r>
        <w:rPr>
          <w:sz w:val="24"/>
        </w:rPr>
        <w:t xml:space="preserve">b) </w:t>
      </w:r>
      <w:r>
        <w:rPr>
          <w:rFonts w:hAnsi="宋体"/>
          <w:sz w:val="24"/>
        </w:rPr>
        <w:t>大气环境</w:t>
      </w:r>
    </w:p>
    <w:p>
      <w:pPr>
        <w:adjustRightInd w:val="0"/>
        <w:snapToGrid w:val="0"/>
        <w:spacing w:line="480" w:lineRule="exact"/>
        <w:ind w:firstLine="480" w:firstLineChars="200"/>
        <w:rPr>
          <w:sz w:val="24"/>
        </w:rPr>
      </w:pPr>
      <w:r>
        <w:rPr>
          <w:rFonts w:hAnsi="宋体"/>
          <w:sz w:val="24"/>
        </w:rPr>
        <w:t>控制大气污染物排放强度，避免专项复建对周围大气环境造成影响，空气质量应达到《环境空气质量标准》</w:t>
      </w:r>
      <w:r>
        <w:rPr>
          <w:sz w:val="24"/>
        </w:rPr>
        <w:t>(GB 3095-2012)</w:t>
      </w:r>
      <w:r>
        <w:rPr>
          <w:rFonts w:hint="eastAsia" w:hAnsi="宋体"/>
          <w:sz w:val="24"/>
        </w:rPr>
        <w:t>二</w:t>
      </w:r>
      <w:r>
        <w:rPr>
          <w:rFonts w:hAnsi="宋体"/>
          <w:sz w:val="24"/>
        </w:rPr>
        <w:t>级标准。</w:t>
      </w:r>
    </w:p>
    <w:p>
      <w:pPr>
        <w:adjustRightInd w:val="0"/>
        <w:snapToGrid w:val="0"/>
        <w:spacing w:line="480" w:lineRule="exact"/>
        <w:ind w:firstLine="480" w:firstLineChars="200"/>
        <w:rPr>
          <w:sz w:val="24"/>
        </w:rPr>
      </w:pPr>
      <w:r>
        <w:rPr>
          <w:sz w:val="24"/>
        </w:rPr>
        <w:t xml:space="preserve">c) </w:t>
      </w:r>
      <w:r>
        <w:rPr>
          <w:rFonts w:hAnsi="宋体"/>
          <w:sz w:val="24"/>
        </w:rPr>
        <w:t>声环境</w:t>
      </w:r>
    </w:p>
    <w:p>
      <w:pPr>
        <w:adjustRightInd w:val="0"/>
        <w:snapToGrid w:val="0"/>
        <w:spacing w:line="480" w:lineRule="exact"/>
        <w:ind w:firstLine="480" w:firstLineChars="200"/>
        <w:rPr>
          <w:sz w:val="24"/>
        </w:rPr>
      </w:pPr>
      <w:r>
        <w:rPr>
          <w:rFonts w:hAnsi="宋体"/>
          <w:sz w:val="24"/>
        </w:rPr>
        <w:t>控制</w:t>
      </w:r>
      <w:r>
        <w:rPr>
          <w:rFonts w:hint="eastAsia" w:hAnsi="宋体"/>
          <w:sz w:val="24"/>
        </w:rPr>
        <w:t>施工</w:t>
      </w:r>
      <w:r>
        <w:rPr>
          <w:rFonts w:hAnsi="宋体"/>
          <w:sz w:val="24"/>
        </w:rPr>
        <w:t>过程噪声源强度，避免对附近居民的影响，声环境满足《声环境质量标准》</w:t>
      </w:r>
      <w:r>
        <w:rPr>
          <w:sz w:val="24"/>
        </w:rPr>
        <w:t>(GB3096-2008)4</w:t>
      </w:r>
      <w:r>
        <w:rPr>
          <w:rFonts w:hint="eastAsia"/>
          <w:sz w:val="24"/>
        </w:rPr>
        <w:t>a</w:t>
      </w:r>
      <w:r>
        <w:rPr>
          <w:rFonts w:hAnsi="宋体"/>
          <w:sz w:val="24"/>
        </w:rPr>
        <w:t>类标准。</w:t>
      </w:r>
    </w:p>
    <w:p>
      <w:pPr>
        <w:adjustRightInd w:val="0"/>
        <w:snapToGrid w:val="0"/>
        <w:spacing w:line="480" w:lineRule="exact"/>
        <w:ind w:firstLine="480" w:firstLineChars="200"/>
        <w:rPr>
          <w:sz w:val="24"/>
        </w:rPr>
      </w:pPr>
      <w:r>
        <w:rPr>
          <w:sz w:val="24"/>
        </w:rPr>
        <w:t xml:space="preserve">d) </w:t>
      </w:r>
      <w:r>
        <w:rPr>
          <w:rFonts w:hAnsi="宋体"/>
          <w:sz w:val="24"/>
        </w:rPr>
        <w:t>生态环境</w:t>
      </w:r>
    </w:p>
    <w:p>
      <w:pPr>
        <w:adjustRightInd w:val="0"/>
        <w:snapToGrid w:val="0"/>
        <w:spacing w:line="480" w:lineRule="exact"/>
        <w:ind w:firstLine="480" w:firstLineChars="200"/>
        <w:rPr>
          <w:sz w:val="24"/>
        </w:rPr>
      </w:pPr>
      <w:r>
        <w:rPr>
          <w:rFonts w:hAnsi="宋体"/>
          <w:sz w:val="24"/>
        </w:rPr>
        <w:t>合理布置施工场地、加强施工管理、减轻移民安置工程对区域动植物的不利影响。</w:t>
      </w:r>
    </w:p>
    <w:p>
      <w:pPr>
        <w:pStyle w:val="5"/>
      </w:pPr>
      <w:r>
        <w:rPr>
          <w:rFonts w:hint="eastAsia"/>
        </w:rPr>
        <w:t>8.1.1.2  环境保护设计标准</w:t>
      </w:r>
    </w:p>
    <w:p>
      <w:pPr>
        <w:adjustRightInd w:val="0"/>
        <w:snapToGrid w:val="0"/>
        <w:spacing w:line="480" w:lineRule="exact"/>
        <w:ind w:firstLine="480" w:firstLineChars="200"/>
        <w:rPr>
          <w:rFonts w:hAnsi="宋体"/>
          <w:sz w:val="24"/>
        </w:rPr>
      </w:pPr>
      <w:r>
        <w:rPr>
          <w:rFonts w:hint="eastAsia" w:hAnsi="宋体"/>
          <w:sz w:val="24"/>
        </w:rPr>
        <w:t>根据本工程环境保护目标，确定</w:t>
      </w:r>
      <w:r>
        <w:rPr>
          <w:rFonts w:hAnsi="宋体"/>
          <w:sz w:val="24"/>
        </w:rPr>
        <w:t>移民安置环境保护措施的设计标准，相关标准见表8.1.1</w:t>
      </w:r>
      <w:r>
        <w:rPr>
          <w:rFonts w:hint="eastAsia" w:hAnsi="宋体"/>
          <w:sz w:val="24"/>
        </w:rPr>
        <w:t>-1</w:t>
      </w:r>
      <w:r>
        <w:rPr>
          <w:rFonts w:hAnsi="宋体"/>
          <w:sz w:val="24"/>
        </w:rPr>
        <w:t>。</w:t>
      </w:r>
    </w:p>
    <w:p>
      <w:pPr>
        <w:spacing w:before="120" w:beforeLines="50" w:line="460" w:lineRule="exact"/>
        <w:jc w:val="center"/>
        <w:rPr>
          <w:rFonts w:hAnsi="黑体" w:eastAsia="黑体"/>
          <w:sz w:val="24"/>
        </w:rPr>
      </w:pPr>
      <w:r>
        <w:rPr>
          <w:rFonts w:hAnsi="黑体" w:eastAsia="黑体"/>
          <w:sz w:val="24"/>
        </w:rPr>
        <w:t>表8.1.1</w:t>
      </w:r>
      <w:r>
        <w:rPr>
          <w:rFonts w:hint="eastAsia" w:hAnsi="黑体" w:eastAsia="黑体"/>
          <w:sz w:val="24"/>
        </w:rPr>
        <w:t>-1</w:t>
      </w:r>
      <w:r>
        <w:rPr>
          <w:rFonts w:hAnsi="黑体" w:eastAsia="黑体"/>
          <w:sz w:val="24"/>
        </w:rPr>
        <w:t xml:space="preserve">  移民安置环境保护措施设计标准</w:t>
      </w:r>
    </w:p>
    <w:tbl>
      <w:tblPr>
        <w:tblStyle w:val="79"/>
        <w:tblW w:w="87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544"/>
        <w:gridCol w:w="71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2" w:hRule="atLeast"/>
          <w:tblHeader/>
          <w:jc w:val="center"/>
        </w:trPr>
        <w:tc>
          <w:tcPr>
            <w:tcW w:w="1544" w:type="dxa"/>
            <w:vAlign w:val="center"/>
          </w:tcPr>
          <w:p>
            <w:pPr>
              <w:adjustRightInd w:val="0"/>
              <w:snapToGrid w:val="0"/>
              <w:jc w:val="center"/>
              <w:rPr>
                <w:rFonts w:cs="Times New Roman"/>
              </w:rPr>
            </w:pPr>
            <w:r>
              <w:rPr>
                <w:rFonts w:hAnsi="宋体" w:cs="Times New Roman"/>
              </w:rPr>
              <w:t>项</w:t>
            </w:r>
            <w:r>
              <w:rPr>
                <w:rFonts w:cs="Times New Roman"/>
              </w:rPr>
              <w:t xml:space="preserve">  </w:t>
            </w:r>
            <w:r>
              <w:rPr>
                <w:rFonts w:hAnsi="宋体" w:cs="Times New Roman"/>
              </w:rPr>
              <w:t>目</w:t>
            </w:r>
          </w:p>
        </w:tc>
        <w:tc>
          <w:tcPr>
            <w:tcW w:w="7168" w:type="dxa"/>
            <w:vAlign w:val="center"/>
          </w:tcPr>
          <w:p>
            <w:pPr>
              <w:adjustRightInd w:val="0"/>
              <w:snapToGrid w:val="0"/>
              <w:jc w:val="center"/>
              <w:rPr>
                <w:rFonts w:cs="Times New Roman"/>
              </w:rPr>
            </w:pPr>
            <w:r>
              <w:rPr>
                <w:rFonts w:hAnsi="宋体" w:cs="Times New Roman"/>
              </w:rPr>
              <w:t>设</w:t>
            </w:r>
            <w:r>
              <w:rPr>
                <w:rFonts w:cs="Times New Roman"/>
              </w:rPr>
              <w:t xml:space="preserve">   </w:t>
            </w:r>
            <w:r>
              <w:rPr>
                <w:rFonts w:hAnsi="宋体" w:cs="Times New Roman"/>
              </w:rPr>
              <w:t>计</w:t>
            </w:r>
            <w:r>
              <w:rPr>
                <w:rFonts w:cs="Times New Roman"/>
              </w:rPr>
              <w:t xml:space="preserve">   </w:t>
            </w:r>
            <w:r>
              <w:rPr>
                <w:rFonts w:hAnsi="宋体" w:cs="Times New Roman"/>
              </w:rPr>
              <w:t>标</w:t>
            </w:r>
            <w:r>
              <w:rPr>
                <w:rFonts w:cs="Times New Roman"/>
              </w:rPr>
              <w:t xml:space="preserve">  </w:t>
            </w:r>
            <w:r>
              <w:rPr>
                <w:rFonts w:hAnsi="宋体" w:cs="Times New Roman"/>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544" w:type="dxa"/>
            <w:vAlign w:val="center"/>
          </w:tcPr>
          <w:p>
            <w:pPr>
              <w:adjustRightInd w:val="0"/>
              <w:snapToGrid w:val="0"/>
              <w:jc w:val="center"/>
              <w:rPr>
                <w:rFonts w:cs="Times New Roman"/>
              </w:rPr>
            </w:pPr>
            <w:r>
              <w:rPr>
                <w:rFonts w:hAnsi="宋体" w:cs="Times New Roman"/>
              </w:rPr>
              <w:t>水质保护</w:t>
            </w:r>
          </w:p>
        </w:tc>
        <w:tc>
          <w:tcPr>
            <w:tcW w:w="7168" w:type="dxa"/>
            <w:vAlign w:val="center"/>
          </w:tcPr>
          <w:p>
            <w:pPr>
              <w:adjustRightInd w:val="0"/>
              <w:snapToGrid w:val="0"/>
              <w:rPr>
                <w:rFonts w:cs="Times New Roman"/>
              </w:rPr>
            </w:pPr>
            <w:r>
              <w:rPr>
                <w:rFonts w:hAnsi="宋体" w:cs="Times New Roman"/>
              </w:rPr>
              <w:t>水质执行《地表水环境质量标准》</w:t>
            </w:r>
            <w:r>
              <w:rPr>
                <w:rFonts w:cs="Times New Roman"/>
              </w:rPr>
              <w:t>(GB 3828-2002)Ⅱ</w:t>
            </w:r>
            <w:r>
              <w:rPr>
                <w:rFonts w:hAnsi="宋体" w:cs="Times New Roman"/>
              </w:rPr>
              <w:t>类水标准。施工期和运行期污废水处理达到《城市污水再生利用</w:t>
            </w:r>
            <w:r>
              <w:rPr>
                <w:rFonts w:cs="Times New Roman"/>
              </w:rPr>
              <w:t xml:space="preserve"> </w:t>
            </w:r>
            <w:r>
              <w:rPr>
                <w:rFonts w:hAnsi="宋体" w:cs="Times New Roman"/>
              </w:rPr>
              <w:t>城市杂用水水质》</w:t>
            </w:r>
            <w:r>
              <w:rPr>
                <w:rFonts w:cs="Times New Roman"/>
              </w:rPr>
              <w:t>(GB/T 18920-2002)</w:t>
            </w:r>
            <w:r>
              <w:rPr>
                <w:rFonts w:hAnsi="宋体" w:cs="Times New Roman"/>
              </w:rPr>
              <w:t>后回用，不得外排。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544" w:type="dxa"/>
            <w:vAlign w:val="center"/>
          </w:tcPr>
          <w:p>
            <w:pPr>
              <w:adjustRightInd w:val="0"/>
              <w:snapToGrid w:val="0"/>
              <w:jc w:val="center"/>
              <w:rPr>
                <w:rFonts w:cs="Times New Roman"/>
              </w:rPr>
            </w:pPr>
            <w:r>
              <w:rPr>
                <w:rFonts w:hAnsi="宋体" w:cs="Times New Roman"/>
              </w:rPr>
              <w:t>生态保护</w:t>
            </w:r>
          </w:p>
        </w:tc>
        <w:tc>
          <w:tcPr>
            <w:tcW w:w="7168" w:type="dxa"/>
            <w:vAlign w:val="center"/>
          </w:tcPr>
          <w:p>
            <w:pPr>
              <w:adjustRightInd w:val="0"/>
              <w:snapToGrid w:val="0"/>
              <w:rPr>
                <w:rFonts w:cs="Times New Roman"/>
              </w:rPr>
            </w:pPr>
            <w:r>
              <w:rPr>
                <w:rFonts w:hAnsi="宋体" w:cs="Times New Roman"/>
              </w:rPr>
              <w:t>通过合理布置施工场地、控制施工占地、加强施工管理、减轻工程对施工区动植物资源的不利影响</w:t>
            </w:r>
          </w:p>
        </w:tc>
      </w:tr>
    </w:tbl>
    <w:p>
      <w:pPr>
        <w:spacing w:before="120" w:beforeLines="50" w:line="460" w:lineRule="exact"/>
        <w:jc w:val="center"/>
        <w:rPr>
          <w:rFonts w:hAnsi="黑体" w:eastAsia="黑体"/>
          <w:sz w:val="24"/>
        </w:rPr>
      </w:pPr>
      <w:r>
        <w:br w:type="page"/>
      </w:r>
      <w:r>
        <w:rPr>
          <w:rFonts w:hAnsi="黑体" w:eastAsia="黑体"/>
          <w:sz w:val="24"/>
        </w:rPr>
        <w:t>表8.1.1</w:t>
      </w:r>
      <w:r>
        <w:rPr>
          <w:rFonts w:hint="eastAsia" w:hAnsi="黑体" w:eastAsia="黑体"/>
          <w:sz w:val="24"/>
        </w:rPr>
        <w:t>-1(续)</w:t>
      </w:r>
      <w:r>
        <w:rPr>
          <w:rFonts w:hAnsi="黑体" w:eastAsia="黑体"/>
          <w:sz w:val="24"/>
        </w:rPr>
        <w:t xml:space="preserve"> </w:t>
      </w:r>
    </w:p>
    <w:tbl>
      <w:tblPr>
        <w:tblStyle w:val="79"/>
        <w:tblW w:w="87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544"/>
        <w:gridCol w:w="71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2" w:hRule="atLeast"/>
          <w:tblHeader/>
          <w:jc w:val="center"/>
        </w:trPr>
        <w:tc>
          <w:tcPr>
            <w:tcW w:w="1544" w:type="dxa"/>
            <w:vAlign w:val="center"/>
          </w:tcPr>
          <w:p>
            <w:pPr>
              <w:adjustRightInd w:val="0"/>
              <w:snapToGrid w:val="0"/>
              <w:jc w:val="center"/>
              <w:rPr>
                <w:rFonts w:cs="Times New Roman"/>
              </w:rPr>
            </w:pPr>
            <w:r>
              <w:rPr>
                <w:rFonts w:hAnsi="宋体" w:cs="Times New Roman"/>
              </w:rPr>
              <w:t>项</w:t>
            </w:r>
            <w:r>
              <w:rPr>
                <w:rFonts w:cs="Times New Roman"/>
              </w:rPr>
              <w:t xml:space="preserve">  </w:t>
            </w:r>
            <w:r>
              <w:rPr>
                <w:rFonts w:hAnsi="宋体" w:cs="Times New Roman"/>
              </w:rPr>
              <w:t>目</w:t>
            </w:r>
          </w:p>
        </w:tc>
        <w:tc>
          <w:tcPr>
            <w:tcW w:w="7168" w:type="dxa"/>
            <w:vAlign w:val="center"/>
          </w:tcPr>
          <w:p>
            <w:pPr>
              <w:adjustRightInd w:val="0"/>
              <w:snapToGrid w:val="0"/>
              <w:jc w:val="center"/>
              <w:rPr>
                <w:rFonts w:cs="Times New Roman"/>
              </w:rPr>
            </w:pPr>
            <w:r>
              <w:rPr>
                <w:rFonts w:hAnsi="宋体" w:cs="Times New Roman"/>
              </w:rPr>
              <w:t>设</w:t>
            </w:r>
            <w:r>
              <w:rPr>
                <w:rFonts w:cs="Times New Roman"/>
              </w:rPr>
              <w:t xml:space="preserve">   </w:t>
            </w:r>
            <w:r>
              <w:rPr>
                <w:rFonts w:hAnsi="宋体" w:cs="Times New Roman"/>
              </w:rPr>
              <w:t>计</w:t>
            </w:r>
            <w:r>
              <w:rPr>
                <w:rFonts w:cs="Times New Roman"/>
              </w:rPr>
              <w:t xml:space="preserve">   </w:t>
            </w:r>
            <w:r>
              <w:rPr>
                <w:rFonts w:hAnsi="宋体" w:cs="Times New Roman"/>
              </w:rPr>
              <w:t>标</w:t>
            </w:r>
            <w:r>
              <w:rPr>
                <w:rFonts w:cs="Times New Roman"/>
              </w:rPr>
              <w:t xml:space="preserve">  </w:t>
            </w:r>
            <w:r>
              <w:rPr>
                <w:rFonts w:hAnsi="宋体" w:cs="Times New Roman"/>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544" w:type="dxa"/>
            <w:vAlign w:val="center"/>
          </w:tcPr>
          <w:p>
            <w:pPr>
              <w:adjustRightInd w:val="0"/>
              <w:snapToGrid w:val="0"/>
              <w:jc w:val="center"/>
              <w:rPr>
                <w:rFonts w:cs="Times New Roman"/>
              </w:rPr>
            </w:pPr>
            <w:r>
              <w:rPr>
                <w:rFonts w:hAnsi="宋体" w:cs="Times New Roman"/>
              </w:rPr>
              <w:t>废气防治</w:t>
            </w:r>
          </w:p>
        </w:tc>
        <w:tc>
          <w:tcPr>
            <w:tcW w:w="7168" w:type="dxa"/>
            <w:vAlign w:val="center"/>
          </w:tcPr>
          <w:p>
            <w:pPr>
              <w:adjustRightInd w:val="0"/>
              <w:snapToGrid w:val="0"/>
              <w:rPr>
                <w:rFonts w:cs="Times New Roman"/>
              </w:rPr>
            </w:pPr>
            <w:r>
              <w:rPr>
                <w:rFonts w:hAnsi="宋体" w:cs="Times New Roman"/>
              </w:rPr>
              <w:t>控制大气污染物排放浓度，维护施工区域周围的环境空气质量，大气污染物排放符合</w:t>
            </w:r>
            <w:r>
              <w:rPr>
                <w:rFonts w:cs="Times New Roman"/>
              </w:rPr>
              <w:t>GB 16297-1996</w:t>
            </w:r>
            <w:r>
              <w:rPr>
                <w:rFonts w:hAnsi="宋体" w:cs="Times New Roman"/>
              </w:rPr>
              <w:t>《大气污染物综合排放标准》中表</w:t>
            </w:r>
            <w:r>
              <w:rPr>
                <w:rFonts w:cs="Times New Roman"/>
              </w:rPr>
              <w:t>2</w:t>
            </w:r>
            <w:r>
              <w:rPr>
                <w:rFonts w:hAnsi="宋体" w:cs="Times New Roman"/>
              </w:rPr>
              <w:t>的无组织排放监控浓度限值。施工期扬尘、车辆废气等污染物执行《广东省大气污染物排放限值》</w:t>
            </w:r>
            <w:r>
              <w:rPr>
                <w:rFonts w:cs="Times New Roman"/>
              </w:rPr>
              <w:t>(DB 44/27-2001)</w:t>
            </w:r>
            <w:r>
              <w:rPr>
                <w:rFonts w:hAnsi="宋体" w:cs="Times New Roman"/>
              </w:rPr>
              <w:t>无组织排放标准。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544" w:type="dxa"/>
            <w:vAlign w:val="center"/>
          </w:tcPr>
          <w:p>
            <w:pPr>
              <w:adjustRightInd w:val="0"/>
              <w:snapToGrid w:val="0"/>
              <w:jc w:val="center"/>
              <w:rPr>
                <w:rFonts w:cs="Times New Roman"/>
              </w:rPr>
            </w:pPr>
            <w:r>
              <w:rPr>
                <w:rFonts w:hAnsi="宋体" w:cs="Times New Roman"/>
              </w:rPr>
              <w:t>噪声控制</w:t>
            </w:r>
          </w:p>
        </w:tc>
        <w:tc>
          <w:tcPr>
            <w:tcW w:w="7168" w:type="dxa"/>
            <w:vAlign w:val="center"/>
          </w:tcPr>
          <w:p>
            <w:pPr>
              <w:adjustRightInd w:val="0"/>
              <w:snapToGrid w:val="0"/>
              <w:rPr>
                <w:rFonts w:cs="Times New Roman"/>
              </w:rPr>
            </w:pPr>
            <w:r>
              <w:rPr>
                <w:rFonts w:hAnsi="宋体" w:cs="Times New Roman"/>
              </w:rPr>
              <w:t>控制噪声源强度，维护移民安置区及周围区域的声环境质量，施工期噪声排放符合</w:t>
            </w:r>
            <w:r>
              <w:rPr>
                <w:rFonts w:cs="Times New Roman"/>
              </w:rPr>
              <w:t>GB 12523-2011</w:t>
            </w:r>
            <w:r>
              <w:rPr>
                <w:rFonts w:hAnsi="宋体" w:cs="Times New Roman"/>
              </w:rPr>
              <w:t>《建筑施工场界环境噪声排放标准》规定的标准要求。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1544" w:type="dxa"/>
            <w:vAlign w:val="center"/>
          </w:tcPr>
          <w:p>
            <w:pPr>
              <w:adjustRightInd w:val="0"/>
              <w:snapToGrid w:val="0"/>
              <w:jc w:val="center"/>
              <w:rPr>
                <w:rFonts w:cs="Times New Roman"/>
              </w:rPr>
            </w:pPr>
            <w:r>
              <w:rPr>
                <w:rFonts w:hAnsi="宋体" w:cs="Times New Roman"/>
              </w:rPr>
              <w:t>固体废物处置</w:t>
            </w:r>
          </w:p>
        </w:tc>
        <w:tc>
          <w:tcPr>
            <w:tcW w:w="7168" w:type="dxa"/>
            <w:vAlign w:val="center"/>
          </w:tcPr>
          <w:p>
            <w:pPr>
              <w:adjustRightInd w:val="0"/>
              <w:snapToGrid w:val="0"/>
              <w:rPr>
                <w:rFonts w:cs="Times New Roman"/>
              </w:rPr>
            </w:pPr>
            <w:r>
              <w:rPr>
                <w:rFonts w:hAnsi="宋体" w:cs="Times New Roman"/>
              </w:rPr>
              <w:t>生活垃圾执行《生活垃圾填埋场污染控制标准》</w:t>
            </w:r>
            <w:r>
              <w:rPr>
                <w:rFonts w:cs="Times New Roman"/>
              </w:rPr>
              <w:t>(GB 16889-2008)</w:t>
            </w:r>
            <w:r>
              <w:rPr>
                <w:rFonts w:hAnsi="宋体" w:cs="Times New Roman"/>
              </w:rPr>
              <w:t>，一般工业固体废物执行《一般工业固体废物贮存、处置场污染控制标准》</w:t>
            </w:r>
            <w:r>
              <w:rPr>
                <w:rFonts w:cs="Times New Roman"/>
              </w:rPr>
              <w:t>(GB 18599-2001)</w:t>
            </w:r>
          </w:p>
        </w:tc>
      </w:tr>
    </w:tbl>
    <w:p>
      <w:pPr>
        <w:pStyle w:val="4"/>
      </w:pPr>
      <w:r>
        <w:rPr>
          <w:rFonts w:hint="eastAsia"/>
        </w:rPr>
        <w:t>8.1.2  环境概况</w:t>
      </w:r>
    </w:p>
    <w:p>
      <w:pPr>
        <w:adjustRightInd w:val="0"/>
        <w:snapToGrid w:val="0"/>
        <w:spacing w:line="480" w:lineRule="exact"/>
        <w:ind w:firstLine="480" w:firstLineChars="200"/>
        <w:rPr>
          <w:sz w:val="24"/>
        </w:rPr>
      </w:pPr>
      <w:r>
        <w:rPr>
          <w:sz w:val="24"/>
        </w:rPr>
        <w:t>a) 环境现状</w:t>
      </w:r>
    </w:p>
    <w:p>
      <w:pPr>
        <w:adjustRightInd w:val="0"/>
        <w:snapToGrid w:val="0"/>
        <w:spacing w:line="480" w:lineRule="exact"/>
        <w:ind w:firstLine="480" w:firstLineChars="200"/>
        <w:rPr>
          <w:kern w:val="0"/>
          <w:sz w:val="24"/>
        </w:rPr>
      </w:pPr>
      <w:r>
        <w:rPr>
          <w:rFonts w:hint="eastAsia"/>
          <w:sz w:val="24"/>
        </w:rPr>
        <w:t>经现场勘查，区域属于农村地区，当地居民以农业种植为主，周边无厂矿企业等工业污染源，环境质量良好。</w:t>
      </w:r>
      <w:r>
        <w:rPr>
          <w:rFonts w:hAnsi="宋体"/>
          <w:kern w:val="0"/>
          <w:sz w:val="24"/>
        </w:rPr>
        <w:t>污废水主要为居民日常生活及农田种植产生的生活污水和农田径流，生活污染物多为易降解的有机物，量小面广，进入</w:t>
      </w:r>
      <w:r>
        <w:rPr>
          <w:rFonts w:hint="eastAsia" w:hAnsi="宋体"/>
          <w:kern w:val="0"/>
          <w:sz w:val="24"/>
        </w:rPr>
        <w:t>激石溪河</w:t>
      </w:r>
      <w:r>
        <w:rPr>
          <w:rFonts w:hAnsi="宋体"/>
          <w:kern w:val="0"/>
          <w:sz w:val="24"/>
        </w:rPr>
        <w:t>水体前经过一定距离降解，对水质影响很小。</w:t>
      </w:r>
    </w:p>
    <w:p>
      <w:pPr>
        <w:adjustRightInd w:val="0"/>
        <w:snapToGrid w:val="0"/>
        <w:spacing w:line="480" w:lineRule="exact"/>
        <w:ind w:firstLine="480" w:firstLineChars="200"/>
        <w:rPr>
          <w:sz w:val="24"/>
        </w:rPr>
      </w:pPr>
      <w:r>
        <w:rPr>
          <w:rFonts w:hint="eastAsia"/>
          <w:sz w:val="24"/>
        </w:rPr>
        <w:t>b</w:t>
      </w:r>
      <w:r>
        <w:rPr>
          <w:sz w:val="24"/>
        </w:rPr>
        <w:t xml:space="preserve">) </w:t>
      </w:r>
      <w:r>
        <w:rPr>
          <w:rFonts w:hint="eastAsia"/>
          <w:sz w:val="24"/>
        </w:rPr>
        <w:t>敏感保护对象</w:t>
      </w:r>
    </w:p>
    <w:p>
      <w:pPr>
        <w:adjustRightInd w:val="0"/>
        <w:snapToGrid w:val="0"/>
        <w:spacing w:line="480" w:lineRule="exact"/>
        <w:ind w:firstLine="480" w:firstLineChars="200"/>
        <w:rPr>
          <w:sz w:val="24"/>
        </w:rPr>
      </w:pPr>
      <w:r>
        <w:rPr>
          <w:rFonts w:hint="eastAsia"/>
          <w:sz w:val="24"/>
        </w:rPr>
        <w:t>根据广东陆河抽水蓄能电站移民安置特点以及周边环境现状，工程建设的环境敏感对象主要为激石溪。</w:t>
      </w:r>
    </w:p>
    <w:p>
      <w:pPr>
        <w:spacing w:before="120" w:beforeLines="50" w:line="460" w:lineRule="exact"/>
        <w:jc w:val="center"/>
        <w:rPr>
          <w:rFonts w:hAnsi="黑体" w:eastAsia="黑体"/>
          <w:sz w:val="24"/>
        </w:rPr>
      </w:pPr>
      <w:r>
        <w:rPr>
          <w:rFonts w:hAnsi="黑体" w:eastAsia="黑体"/>
          <w:sz w:val="24"/>
        </w:rPr>
        <w:t>表8.1.2-1  环境敏感对象一览表</w:t>
      </w:r>
    </w:p>
    <w:tbl>
      <w:tblPr>
        <w:tblStyle w:val="79"/>
        <w:tblW w:w="88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42"/>
        <w:gridCol w:w="2174"/>
        <w:gridCol w:w="1366"/>
        <w:gridCol w:w="1614"/>
        <w:gridCol w:w="13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vAlign w:val="center"/>
          </w:tcPr>
          <w:p>
            <w:pPr>
              <w:adjustRightInd w:val="0"/>
              <w:snapToGrid w:val="0"/>
              <w:jc w:val="center"/>
              <w:rPr>
                <w:rFonts w:cs="Times New Roman"/>
              </w:rPr>
            </w:pPr>
            <w:r>
              <w:rPr>
                <w:rFonts w:hAnsi="宋体" w:cs="Times New Roman"/>
              </w:rPr>
              <w:t>环境</w:t>
            </w:r>
          </w:p>
          <w:p>
            <w:pPr>
              <w:adjustRightInd w:val="0"/>
              <w:snapToGrid w:val="0"/>
              <w:jc w:val="center"/>
              <w:rPr>
                <w:rFonts w:cs="Times New Roman"/>
              </w:rPr>
            </w:pPr>
            <w:r>
              <w:rPr>
                <w:rFonts w:hAnsi="宋体" w:cs="Times New Roman"/>
              </w:rPr>
              <w:t>因素</w:t>
            </w:r>
          </w:p>
        </w:tc>
        <w:tc>
          <w:tcPr>
            <w:tcW w:w="1442" w:type="dxa"/>
            <w:vAlign w:val="center"/>
          </w:tcPr>
          <w:p>
            <w:pPr>
              <w:adjustRightInd w:val="0"/>
              <w:snapToGrid w:val="0"/>
              <w:jc w:val="center"/>
              <w:rPr>
                <w:rFonts w:cs="Times New Roman"/>
              </w:rPr>
            </w:pPr>
            <w:r>
              <w:rPr>
                <w:rFonts w:hAnsi="宋体" w:cs="Times New Roman"/>
              </w:rPr>
              <w:t>敏感目标</w:t>
            </w:r>
          </w:p>
        </w:tc>
        <w:tc>
          <w:tcPr>
            <w:tcW w:w="2174" w:type="dxa"/>
            <w:vAlign w:val="center"/>
          </w:tcPr>
          <w:p>
            <w:pPr>
              <w:adjustRightInd w:val="0"/>
              <w:snapToGrid w:val="0"/>
              <w:jc w:val="center"/>
              <w:rPr>
                <w:rFonts w:cs="Times New Roman"/>
              </w:rPr>
            </w:pPr>
            <w:r>
              <w:rPr>
                <w:rFonts w:hAnsi="宋体" w:cs="Times New Roman"/>
              </w:rPr>
              <w:t>保护要求</w:t>
            </w:r>
          </w:p>
        </w:tc>
        <w:tc>
          <w:tcPr>
            <w:tcW w:w="1366" w:type="dxa"/>
            <w:vAlign w:val="center"/>
          </w:tcPr>
          <w:p>
            <w:pPr>
              <w:adjustRightInd w:val="0"/>
              <w:snapToGrid w:val="0"/>
              <w:jc w:val="center"/>
              <w:rPr>
                <w:rFonts w:cs="Times New Roman"/>
              </w:rPr>
            </w:pPr>
            <w:r>
              <w:rPr>
                <w:rFonts w:hAnsi="宋体" w:cs="Times New Roman"/>
              </w:rPr>
              <w:t>与工程的</w:t>
            </w:r>
          </w:p>
          <w:p>
            <w:pPr>
              <w:adjustRightInd w:val="0"/>
              <w:snapToGrid w:val="0"/>
              <w:jc w:val="center"/>
              <w:rPr>
                <w:rFonts w:cs="Times New Roman"/>
              </w:rPr>
            </w:pPr>
            <w:r>
              <w:rPr>
                <w:rFonts w:hAnsi="宋体" w:cs="Times New Roman"/>
              </w:rPr>
              <w:t>位置关系</w:t>
            </w:r>
          </w:p>
        </w:tc>
        <w:tc>
          <w:tcPr>
            <w:tcW w:w="1614" w:type="dxa"/>
            <w:vAlign w:val="center"/>
          </w:tcPr>
          <w:p>
            <w:pPr>
              <w:adjustRightInd w:val="0"/>
              <w:snapToGrid w:val="0"/>
              <w:jc w:val="center"/>
              <w:rPr>
                <w:rFonts w:cs="Times New Roman"/>
              </w:rPr>
            </w:pPr>
            <w:r>
              <w:rPr>
                <w:rFonts w:hAnsi="宋体" w:cs="Times New Roman"/>
              </w:rPr>
              <w:t>影响方式</w:t>
            </w:r>
          </w:p>
        </w:tc>
        <w:tc>
          <w:tcPr>
            <w:tcW w:w="1368" w:type="dxa"/>
            <w:vAlign w:val="center"/>
          </w:tcPr>
          <w:p>
            <w:pPr>
              <w:adjustRightInd w:val="0"/>
              <w:snapToGrid w:val="0"/>
              <w:jc w:val="center"/>
              <w:rPr>
                <w:rFonts w:cs="Times New Roman"/>
              </w:rPr>
            </w:pPr>
            <w:r>
              <w:rPr>
                <w:rFonts w:hAnsi="宋体" w:cs="Times New Roman"/>
              </w:rPr>
              <w:t>保护措施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46" w:type="dxa"/>
            <w:vAlign w:val="center"/>
          </w:tcPr>
          <w:p>
            <w:pPr>
              <w:adjustRightInd w:val="0"/>
              <w:snapToGrid w:val="0"/>
              <w:jc w:val="center"/>
              <w:rPr>
                <w:rFonts w:hAnsi="宋体" w:cs="Times New Roman"/>
              </w:rPr>
            </w:pPr>
            <w:r>
              <w:rPr>
                <w:rFonts w:hAnsi="宋体" w:cs="Times New Roman"/>
              </w:rPr>
              <w:t>水</w:t>
            </w:r>
          </w:p>
          <w:p>
            <w:pPr>
              <w:adjustRightInd w:val="0"/>
              <w:snapToGrid w:val="0"/>
              <w:jc w:val="center"/>
              <w:rPr>
                <w:rFonts w:hAnsi="宋体" w:cs="Times New Roman"/>
              </w:rPr>
            </w:pPr>
            <w:r>
              <w:rPr>
                <w:rFonts w:hAnsi="宋体" w:cs="Times New Roman"/>
              </w:rPr>
              <w:t>环</w:t>
            </w:r>
          </w:p>
          <w:p>
            <w:pPr>
              <w:adjustRightInd w:val="0"/>
              <w:snapToGrid w:val="0"/>
              <w:jc w:val="center"/>
              <w:rPr>
                <w:rFonts w:cs="Times New Roman"/>
              </w:rPr>
            </w:pPr>
            <w:r>
              <w:rPr>
                <w:rFonts w:hAnsi="宋体" w:cs="Times New Roman"/>
              </w:rPr>
              <w:t>境</w:t>
            </w:r>
          </w:p>
        </w:tc>
        <w:tc>
          <w:tcPr>
            <w:tcW w:w="1442" w:type="dxa"/>
            <w:vAlign w:val="center"/>
          </w:tcPr>
          <w:p>
            <w:pPr>
              <w:adjustRightInd w:val="0"/>
              <w:snapToGrid w:val="0"/>
              <w:jc w:val="center"/>
              <w:rPr>
                <w:rFonts w:hAnsi="宋体" w:cs="Times New Roman"/>
              </w:rPr>
            </w:pPr>
            <w:r>
              <w:rPr>
                <w:rFonts w:hAnsi="宋体" w:cs="Times New Roman"/>
              </w:rPr>
              <w:t>激石溪、花鳗鲡自然</w:t>
            </w:r>
          </w:p>
          <w:p>
            <w:pPr>
              <w:adjustRightInd w:val="0"/>
              <w:snapToGrid w:val="0"/>
              <w:jc w:val="center"/>
              <w:rPr>
                <w:rFonts w:cs="Times New Roman"/>
              </w:rPr>
            </w:pPr>
            <w:r>
              <w:rPr>
                <w:rFonts w:hAnsi="宋体" w:cs="Times New Roman"/>
              </w:rPr>
              <w:t>保护区</w:t>
            </w:r>
          </w:p>
        </w:tc>
        <w:tc>
          <w:tcPr>
            <w:tcW w:w="2174" w:type="dxa"/>
            <w:vAlign w:val="center"/>
          </w:tcPr>
          <w:p>
            <w:pPr>
              <w:adjustRightInd w:val="0"/>
              <w:snapToGrid w:val="0"/>
              <w:rPr>
                <w:rFonts w:cs="Times New Roman"/>
              </w:rPr>
            </w:pPr>
            <w:r>
              <w:rPr>
                <w:rFonts w:hAnsi="宋体" w:cs="Times New Roman"/>
              </w:rPr>
              <w:t>保证下游取水量；施工污废水处理达标后回用，确保地表水达到</w:t>
            </w:r>
            <w:r>
              <w:rPr>
                <w:rFonts w:cs="Times New Roman"/>
              </w:rPr>
              <w:t>GB 3838-2002 II</w:t>
            </w:r>
            <w:r>
              <w:rPr>
                <w:rFonts w:hAnsi="宋体" w:cs="Times New Roman"/>
              </w:rPr>
              <w:t>类标准</w:t>
            </w:r>
          </w:p>
        </w:tc>
        <w:tc>
          <w:tcPr>
            <w:tcW w:w="1366" w:type="dxa"/>
            <w:vAlign w:val="center"/>
          </w:tcPr>
          <w:p>
            <w:pPr>
              <w:adjustRightInd w:val="0"/>
              <w:snapToGrid w:val="0"/>
              <w:rPr>
                <w:rFonts w:cs="Times New Roman"/>
              </w:rPr>
            </w:pPr>
            <w:r>
              <w:rPr>
                <w:rFonts w:hAnsi="宋体" w:cs="Times New Roman"/>
              </w:rPr>
              <w:t>工程所在流域及下游，受工程施工废污水直接影响</w:t>
            </w:r>
          </w:p>
        </w:tc>
        <w:tc>
          <w:tcPr>
            <w:tcW w:w="1614" w:type="dxa"/>
            <w:vAlign w:val="center"/>
          </w:tcPr>
          <w:p>
            <w:pPr>
              <w:adjustRightInd w:val="0"/>
              <w:snapToGrid w:val="0"/>
              <w:rPr>
                <w:rFonts w:cs="Times New Roman"/>
              </w:rPr>
            </w:pPr>
            <w:r>
              <w:rPr>
                <w:rFonts w:hAnsi="宋体" w:cs="Times New Roman"/>
              </w:rPr>
              <w:t>工程施工区废污水如不经处理排放可能污染下游水质</w:t>
            </w:r>
          </w:p>
        </w:tc>
        <w:tc>
          <w:tcPr>
            <w:tcW w:w="1368" w:type="dxa"/>
            <w:vAlign w:val="center"/>
          </w:tcPr>
          <w:p>
            <w:pPr>
              <w:adjustRightInd w:val="0"/>
              <w:snapToGrid w:val="0"/>
              <w:rPr>
                <w:rFonts w:cs="Times New Roman"/>
              </w:rPr>
            </w:pPr>
            <w:r>
              <w:rPr>
                <w:rFonts w:hAnsi="宋体" w:cs="Times New Roman"/>
              </w:rPr>
              <w:t>施工期废污水处理后会用，严禁外派，保护下游水质满足功能区要求</w:t>
            </w:r>
          </w:p>
        </w:tc>
      </w:tr>
    </w:tbl>
    <w:p>
      <w:pPr>
        <w:pStyle w:val="4"/>
      </w:pPr>
      <w:r>
        <w:rPr>
          <w:rFonts w:hint="eastAsia"/>
        </w:rPr>
        <w:t>8.1.3  环境影响分析</w:t>
      </w:r>
    </w:p>
    <w:p>
      <w:pPr>
        <w:pStyle w:val="5"/>
      </w:pPr>
      <w:r>
        <w:rPr>
          <w:rFonts w:hint="eastAsia"/>
        </w:rPr>
        <w:t>8.1.3.1  移民安置环境合理性分析</w:t>
      </w:r>
    </w:p>
    <w:p>
      <w:pPr>
        <w:adjustRightInd w:val="0"/>
        <w:snapToGrid w:val="0"/>
        <w:spacing w:line="480" w:lineRule="exact"/>
        <w:ind w:firstLine="480" w:firstLineChars="200"/>
        <w:rPr>
          <w:rFonts w:hAnsi="宋体"/>
          <w:sz w:val="24"/>
        </w:rPr>
      </w:pPr>
      <w:r>
        <w:rPr>
          <w:rFonts w:hint="eastAsia"/>
          <w:sz w:val="24"/>
        </w:rPr>
        <w:t>陆河抽水蓄能电站</w:t>
      </w:r>
      <w:r>
        <w:rPr>
          <w:sz w:val="24"/>
          <w:lang w:val="zh-CN"/>
        </w:rPr>
        <w:t>工程建设征地</w:t>
      </w:r>
      <w:r>
        <w:rPr>
          <w:sz w:val="24"/>
        </w:rPr>
        <w:t>不影响搬迁安置人口，但</w:t>
      </w:r>
      <w:r>
        <w:rPr>
          <w:sz w:val="24"/>
          <w:lang w:val="zh-CN"/>
        </w:rPr>
        <w:t>影响了</w:t>
      </w:r>
      <w:r>
        <w:rPr>
          <w:sz w:val="24"/>
        </w:rPr>
        <w:t>106</w:t>
      </w:r>
      <w:r>
        <w:rPr>
          <w:sz w:val="24"/>
          <w:lang w:val="zh-CN"/>
        </w:rPr>
        <w:t>个生产安置人口</w:t>
      </w:r>
      <w:r>
        <w:rPr>
          <w:rFonts w:hint="eastAsia"/>
          <w:sz w:val="24"/>
        </w:rPr>
        <w:t>，</w:t>
      </w:r>
      <w:r>
        <w:rPr>
          <w:rFonts w:hint="eastAsia" w:hAnsi="宋体"/>
          <w:sz w:val="24"/>
        </w:rPr>
        <w:t>移民安置工程主要为生产移民安置和专项项目复建，其中专项项目复建包括乡道复建和电力通信设施建设等。</w:t>
      </w:r>
    </w:p>
    <w:p>
      <w:pPr>
        <w:adjustRightInd w:val="0"/>
        <w:snapToGrid w:val="0"/>
        <w:spacing w:line="480" w:lineRule="exact"/>
        <w:ind w:firstLine="480" w:firstLineChars="200"/>
        <w:rPr>
          <w:snapToGrid w:val="0"/>
          <w:kern w:val="0"/>
          <w:sz w:val="24"/>
        </w:rPr>
      </w:pPr>
      <w:r>
        <w:rPr>
          <w:kern w:val="0"/>
          <w:sz w:val="24"/>
        </w:rPr>
        <w:t>通过对建设征地区社会经济资料、土地详查资料、配套基础设施等控制性条件进行综合分析，参与各方对具备条件的安置范围进行了现场查勘、仔细研究，反复论证，同时充分征求移民和移民安置区居民意愿，落实了移民安置去向，最终</w:t>
      </w:r>
      <w:r>
        <w:rPr>
          <w:color w:val="000000"/>
          <w:sz w:val="24"/>
        </w:rPr>
        <w:t>采用征地补偿及安置补助、留用地安置及购买养老保险等方式解决被征地农民的生产安置问题。由移民在安置区周边自行流转耕地或调整种植结构、发展二三产业以及自谋职业等方式进行自主生产安置。生产安置通过</w:t>
      </w:r>
      <w:r>
        <w:rPr>
          <w:rFonts w:hAnsi="宋体"/>
          <w:snapToGrid w:val="0"/>
          <w:kern w:val="0"/>
          <w:sz w:val="24"/>
        </w:rPr>
        <w:t>安置区调配和恢复占用的原耕地的方式，不新开垦耕地，减少了植被破坏和水土流失，有利于生态环境保护。生产安置方式符合当地的环境容量特点，不会对当地居民的生活水平造成较大影响，满足移民需求，具有环境合理性。</w:t>
      </w:r>
    </w:p>
    <w:p>
      <w:pPr>
        <w:pStyle w:val="5"/>
      </w:pPr>
      <w:r>
        <w:rPr>
          <w:rFonts w:hint="eastAsia"/>
        </w:rPr>
        <w:t>8.1.3.2  环境影响分析</w:t>
      </w:r>
    </w:p>
    <w:p>
      <w:pPr>
        <w:adjustRightInd w:val="0"/>
        <w:snapToGrid w:val="0"/>
        <w:spacing w:line="480" w:lineRule="exact"/>
        <w:ind w:firstLine="480" w:firstLineChars="200"/>
        <w:rPr>
          <w:sz w:val="24"/>
        </w:rPr>
      </w:pPr>
      <w:r>
        <w:rPr>
          <w:rFonts w:hint="eastAsia"/>
          <w:sz w:val="24"/>
        </w:rPr>
        <w:t>a) 移民安置影响分析</w:t>
      </w:r>
    </w:p>
    <w:p>
      <w:pPr>
        <w:adjustRightInd w:val="0"/>
        <w:snapToGrid w:val="0"/>
        <w:spacing w:line="480" w:lineRule="exact"/>
        <w:ind w:firstLine="480" w:firstLineChars="200"/>
        <w:rPr>
          <w:sz w:val="24"/>
        </w:rPr>
      </w:pPr>
      <w:r>
        <w:rPr>
          <w:rFonts w:hint="eastAsia"/>
          <w:sz w:val="24"/>
        </w:rPr>
        <w:t>陆河抽水蓄能电站</w:t>
      </w:r>
      <w:r>
        <w:rPr>
          <w:sz w:val="24"/>
          <w:lang w:val="zh-CN"/>
        </w:rPr>
        <w:t>工程建设征地</w:t>
      </w:r>
      <w:r>
        <w:rPr>
          <w:sz w:val="24"/>
        </w:rPr>
        <w:t>不影响搬迁安置人口，无需考虑居民点设置，工程建设基本无移民安置影响。</w:t>
      </w:r>
    </w:p>
    <w:p>
      <w:pPr>
        <w:adjustRightInd w:val="0"/>
        <w:snapToGrid w:val="0"/>
        <w:spacing w:line="480" w:lineRule="exact"/>
        <w:ind w:firstLine="480" w:firstLineChars="200"/>
        <w:rPr>
          <w:sz w:val="24"/>
        </w:rPr>
      </w:pPr>
      <w:r>
        <w:rPr>
          <w:rFonts w:hint="eastAsia"/>
          <w:sz w:val="24"/>
        </w:rPr>
        <w:t xml:space="preserve">b) </w:t>
      </w:r>
      <w:r>
        <w:rPr>
          <w:rFonts w:hAnsi="宋体"/>
          <w:snapToGrid w:val="0"/>
          <w:kern w:val="0"/>
          <w:sz w:val="24"/>
        </w:rPr>
        <w:t>专项设施复建对环境的影响分析</w:t>
      </w:r>
    </w:p>
    <w:p>
      <w:pPr>
        <w:tabs>
          <w:tab w:val="left" w:pos="4500"/>
        </w:tabs>
        <w:adjustRightInd w:val="0"/>
        <w:snapToGrid w:val="0"/>
        <w:spacing w:line="480" w:lineRule="exact"/>
        <w:ind w:firstLine="480" w:firstLineChars="200"/>
        <w:rPr>
          <w:sz w:val="24"/>
        </w:rPr>
      </w:pPr>
      <w:r>
        <w:rPr>
          <w:rFonts w:hint="eastAsia"/>
          <w:sz w:val="24"/>
        </w:rPr>
        <w:t>本工程移民安置复建的项目主要包括：对电站征地影响的Y850公路进行复建；对电站建设征地影响的电力、通信线路进行复建。</w:t>
      </w:r>
      <w:r>
        <w:rPr>
          <w:sz w:val="24"/>
        </w:rPr>
        <w:t>专项复建工程规模较小，工作量不大，施工周期较短，施工活动对环境的影响小。</w:t>
      </w:r>
    </w:p>
    <w:p>
      <w:pPr>
        <w:adjustRightInd w:val="0"/>
        <w:snapToGrid w:val="0"/>
        <w:spacing w:line="480" w:lineRule="exact"/>
        <w:ind w:firstLine="480" w:firstLineChars="200"/>
        <w:rPr>
          <w:snapToGrid w:val="0"/>
          <w:kern w:val="0"/>
          <w:sz w:val="24"/>
        </w:rPr>
      </w:pPr>
      <w:r>
        <w:rPr>
          <w:snapToGrid w:val="0"/>
          <w:kern w:val="0"/>
          <w:sz w:val="24"/>
        </w:rPr>
        <w:t xml:space="preserve">1) </w:t>
      </w:r>
      <w:r>
        <w:rPr>
          <w:rFonts w:hAnsi="宋体"/>
          <w:snapToGrid w:val="0"/>
          <w:kern w:val="0"/>
          <w:sz w:val="24"/>
        </w:rPr>
        <w:t>水环境</w:t>
      </w:r>
    </w:p>
    <w:p>
      <w:pPr>
        <w:adjustRightInd w:val="0"/>
        <w:snapToGrid w:val="0"/>
        <w:spacing w:line="480" w:lineRule="exact"/>
        <w:ind w:firstLine="480" w:firstLineChars="200"/>
        <w:rPr>
          <w:snapToGrid w:val="0"/>
          <w:kern w:val="0"/>
          <w:sz w:val="24"/>
        </w:rPr>
      </w:pPr>
      <w:r>
        <w:rPr>
          <w:rFonts w:hAnsi="宋体"/>
          <w:snapToGrid w:val="0"/>
          <w:kern w:val="0"/>
          <w:sz w:val="24"/>
        </w:rPr>
        <w:t>专项设施复建工程施工期生产废水排放量较小，处理后回用，禁止排放。复建工程施工人员就近安排于施工营地，</w:t>
      </w:r>
      <w:r>
        <w:rPr>
          <w:rFonts w:hAnsi="宋体"/>
          <w:bCs/>
          <w:snapToGrid w:val="0"/>
          <w:kern w:val="0"/>
          <w:sz w:val="24"/>
        </w:rPr>
        <w:t>因此不会存在生活污水和生活垃圾乱排现象。移民安置专项设施复建工程不会向周边水体排放污染物，不会影响激石溪水质。</w:t>
      </w:r>
    </w:p>
    <w:p>
      <w:pPr>
        <w:adjustRightInd w:val="0"/>
        <w:snapToGrid w:val="0"/>
        <w:spacing w:line="480" w:lineRule="exact"/>
        <w:ind w:firstLine="480" w:firstLineChars="200"/>
        <w:rPr>
          <w:snapToGrid w:val="0"/>
          <w:kern w:val="0"/>
          <w:sz w:val="24"/>
        </w:rPr>
      </w:pPr>
      <w:r>
        <w:rPr>
          <w:snapToGrid w:val="0"/>
          <w:kern w:val="0"/>
          <w:sz w:val="24"/>
        </w:rPr>
        <w:t xml:space="preserve">2) </w:t>
      </w:r>
      <w:r>
        <w:rPr>
          <w:rFonts w:hAnsi="宋体"/>
          <w:snapToGrid w:val="0"/>
          <w:kern w:val="0"/>
          <w:sz w:val="24"/>
        </w:rPr>
        <w:t>大气与声环境</w:t>
      </w:r>
    </w:p>
    <w:p>
      <w:pPr>
        <w:adjustRightInd w:val="0"/>
        <w:snapToGrid w:val="0"/>
        <w:spacing w:line="480" w:lineRule="exact"/>
        <w:ind w:firstLine="480" w:firstLineChars="200"/>
        <w:rPr>
          <w:snapToGrid w:val="0"/>
          <w:kern w:val="0"/>
          <w:sz w:val="24"/>
        </w:rPr>
      </w:pPr>
      <w:r>
        <w:rPr>
          <w:rFonts w:hAnsi="宋体"/>
          <w:snapToGrid w:val="0"/>
          <w:kern w:val="0"/>
          <w:sz w:val="24"/>
        </w:rPr>
        <w:t>专项设施复建工程对大气和声环境的影响主要在施工期，</w:t>
      </w:r>
      <w:r>
        <w:rPr>
          <w:rFonts w:hAnsi="宋体"/>
          <w:bCs/>
          <w:snapToGrid w:val="0"/>
          <w:kern w:val="0"/>
          <w:sz w:val="24"/>
        </w:rPr>
        <w:t>工程附近有无居民点，</w:t>
      </w:r>
      <w:r>
        <w:rPr>
          <w:rFonts w:hAnsi="宋体"/>
          <w:snapToGrid w:val="0"/>
          <w:kern w:val="0"/>
          <w:sz w:val="24"/>
        </w:rPr>
        <w:t>环境空气污染源主要是施工期产生的粉尘，噪声来源于施工机械</w:t>
      </w:r>
      <w:r>
        <w:rPr>
          <w:rFonts w:hAnsi="宋体"/>
          <w:bCs/>
          <w:snapToGrid w:val="0"/>
          <w:kern w:val="0"/>
          <w:sz w:val="24"/>
        </w:rPr>
        <w:t>。</w:t>
      </w:r>
      <w:r>
        <w:rPr>
          <w:rFonts w:hAnsi="宋体"/>
          <w:snapToGrid w:val="0"/>
          <w:kern w:val="0"/>
          <w:sz w:val="24"/>
        </w:rPr>
        <w:t>专项复建工程规模较小，工期较短，采取洒水降尘和合理安排施工时间等环保措施后，对环境空气和声环境影响较小。</w:t>
      </w:r>
    </w:p>
    <w:p>
      <w:pPr>
        <w:adjustRightInd w:val="0"/>
        <w:snapToGrid w:val="0"/>
        <w:spacing w:line="480" w:lineRule="exact"/>
        <w:ind w:firstLine="480" w:firstLineChars="200"/>
        <w:rPr>
          <w:snapToGrid w:val="0"/>
          <w:kern w:val="0"/>
          <w:sz w:val="24"/>
        </w:rPr>
      </w:pPr>
      <w:r>
        <w:rPr>
          <w:snapToGrid w:val="0"/>
          <w:kern w:val="0"/>
          <w:sz w:val="24"/>
        </w:rPr>
        <w:t xml:space="preserve">3) </w:t>
      </w:r>
      <w:r>
        <w:rPr>
          <w:rFonts w:hAnsi="宋体"/>
          <w:snapToGrid w:val="0"/>
          <w:kern w:val="0"/>
          <w:sz w:val="24"/>
        </w:rPr>
        <w:t>生态环境</w:t>
      </w:r>
    </w:p>
    <w:p>
      <w:pPr>
        <w:adjustRightInd w:val="0"/>
        <w:snapToGrid w:val="0"/>
        <w:spacing w:line="480" w:lineRule="exact"/>
        <w:ind w:firstLine="480" w:firstLineChars="200"/>
        <w:rPr>
          <w:sz w:val="24"/>
        </w:rPr>
      </w:pPr>
      <w:r>
        <w:rPr>
          <w:rFonts w:hAnsi="宋体"/>
          <w:snapToGrid w:val="0"/>
          <w:sz w:val="24"/>
        </w:rPr>
        <w:t>本工程涉及到的专项基础设施复建规模均不大。专项设施的复建施工将对沿线的植被有一定影响，但由于复建规模小，在复建施工工程中加强对植被植物资源保护并采取有效的水土保持措施后，施工所带来的影响很小。施工结束后，通过及时恢复其植被，可以减轻复</w:t>
      </w:r>
      <w:r>
        <w:rPr>
          <w:snapToGrid w:val="0"/>
          <w:sz w:val="24"/>
        </w:rPr>
        <w:t>(</w:t>
      </w:r>
      <w:r>
        <w:rPr>
          <w:rFonts w:hAnsi="宋体"/>
          <w:snapToGrid w:val="0"/>
          <w:sz w:val="24"/>
        </w:rPr>
        <w:t>改</w:t>
      </w:r>
      <w:r>
        <w:rPr>
          <w:snapToGrid w:val="0"/>
          <w:sz w:val="24"/>
        </w:rPr>
        <w:t>)</w:t>
      </w:r>
      <w:r>
        <w:rPr>
          <w:rFonts w:hAnsi="宋体"/>
          <w:snapToGrid w:val="0"/>
          <w:sz w:val="24"/>
        </w:rPr>
        <w:t>建工程对陆生植物的影响。</w:t>
      </w:r>
    </w:p>
    <w:p>
      <w:pPr>
        <w:pStyle w:val="4"/>
      </w:pPr>
      <w:r>
        <w:rPr>
          <w:rFonts w:hint="eastAsia"/>
        </w:rPr>
        <w:t>8.1.4  环境保护措施</w:t>
      </w:r>
    </w:p>
    <w:p>
      <w:pPr>
        <w:adjustRightInd w:val="0"/>
        <w:snapToGrid w:val="0"/>
        <w:spacing w:line="480" w:lineRule="exact"/>
        <w:ind w:firstLine="480" w:firstLineChars="200"/>
        <w:rPr>
          <w:rFonts w:hAnsi="宋体"/>
          <w:snapToGrid w:val="0"/>
          <w:sz w:val="24"/>
        </w:rPr>
      </w:pPr>
      <w:r>
        <w:rPr>
          <w:rFonts w:hint="eastAsia" w:hAnsi="宋体"/>
          <w:snapToGrid w:val="0"/>
          <w:sz w:val="24"/>
        </w:rPr>
        <w:t>本工程环境影响主要来自专项复建建设，针对专项复建可能带来影响，采取相应环保措施如下：</w:t>
      </w:r>
    </w:p>
    <w:p>
      <w:pPr>
        <w:adjustRightInd w:val="0"/>
        <w:snapToGrid w:val="0"/>
        <w:spacing w:line="480" w:lineRule="exact"/>
        <w:ind w:firstLine="480" w:firstLineChars="200"/>
        <w:rPr>
          <w:sz w:val="24"/>
        </w:rPr>
      </w:pPr>
      <w:r>
        <w:rPr>
          <w:rFonts w:hint="eastAsia"/>
          <w:sz w:val="24"/>
        </w:rPr>
        <w:t>a)</w:t>
      </w:r>
      <w:r>
        <w:rPr>
          <w:sz w:val="24"/>
        </w:rPr>
        <w:t xml:space="preserve"> 水环境</w:t>
      </w:r>
    </w:p>
    <w:p>
      <w:pPr>
        <w:adjustRightInd w:val="0"/>
        <w:snapToGrid w:val="0"/>
        <w:spacing w:line="480" w:lineRule="exact"/>
        <w:ind w:firstLine="480" w:firstLineChars="200"/>
        <w:rPr>
          <w:snapToGrid w:val="0"/>
          <w:kern w:val="0"/>
          <w:sz w:val="24"/>
        </w:rPr>
      </w:pPr>
      <w:r>
        <w:rPr>
          <w:rFonts w:hint="eastAsia"/>
          <w:sz w:val="24"/>
        </w:rPr>
        <w:t>专项复建工程对水环境污染主要来自于施工期污废水，施工污废水处理达标后回用，确保地表水达到“GB3838-2002”II类标准。应</w:t>
      </w:r>
      <w:r>
        <w:rPr>
          <w:rFonts w:hAnsi="宋体"/>
          <w:snapToGrid w:val="0"/>
          <w:kern w:val="0"/>
          <w:sz w:val="24"/>
        </w:rPr>
        <w:t>对</w:t>
      </w:r>
      <w:r>
        <w:rPr>
          <w:rFonts w:hAnsi="宋体"/>
          <w:snapToGrid w:val="0"/>
          <w:spacing w:val="2"/>
          <w:kern w:val="0"/>
          <w:sz w:val="24"/>
        </w:rPr>
        <w:t>施工场所严格管理，禁止生产废水直接外排。应在施工区设置小型沉淀池，</w:t>
      </w:r>
      <w:r>
        <w:rPr>
          <w:rFonts w:hAnsi="宋体"/>
          <w:spacing w:val="2"/>
          <w:sz w:val="24"/>
        </w:rPr>
        <w:t>或者根据地形条件设置矩形沉淀池，冲洗废水排入池内，静置沉淀。</w:t>
      </w:r>
      <w:r>
        <w:rPr>
          <w:rFonts w:hAnsi="宋体"/>
          <w:snapToGrid w:val="0"/>
          <w:spacing w:val="2"/>
          <w:kern w:val="0"/>
          <w:sz w:val="24"/>
        </w:rPr>
        <w:t>沉淀池的出水端建议设置为活动式，便于清运和调节水位，出水可回用于新一轮机械设备冲洗或用于绿化。</w:t>
      </w:r>
    </w:p>
    <w:p>
      <w:pPr>
        <w:adjustRightInd w:val="0"/>
        <w:snapToGrid w:val="0"/>
        <w:spacing w:line="480" w:lineRule="exact"/>
        <w:ind w:firstLine="480" w:firstLineChars="200"/>
        <w:rPr>
          <w:rFonts w:hAnsi="宋体"/>
          <w:snapToGrid w:val="0"/>
          <w:kern w:val="0"/>
          <w:sz w:val="24"/>
        </w:rPr>
      </w:pPr>
      <w:r>
        <w:rPr>
          <w:rFonts w:hint="eastAsia"/>
          <w:snapToGrid w:val="0"/>
          <w:kern w:val="0"/>
          <w:sz w:val="24"/>
        </w:rPr>
        <w:t>b</w:t>
      </w:r>
      <w:r>
        <w:rPr>
          <w:snapToGrid w:val="0"/>
          <w:kern w:val="0"/>
          <w:sz w:val="24"/>
        </w:rPr>
        <w:t xml:space="preserve">) </w:t>
      </w:r>
      <w:r>
        <w:rPr>
          <w:rFonts w:hAnsi="宋体"/>
          <w:snapToGrid w:val="0"/>
          <w:kern w:val="0"/>
          <w:sz w:val="24"/>
        </w:rPr>
        <w:t>大气与声环境</w:t>
      </w:r>
    </w:p>
    <w:p>
      <w:pPr>
        <w:adjustRightInd w:val="0"/>
        <w:snapToGrid w:val="0"/>
        <w:spacing w:line="480" w:lineRule="exact"/>
        <w:ind w:firstLine="480" w:firstLineChars="200"/>
        <w:rPr>
          <w:snapToGrid w:val="0"/>
          <w:kern w:val="0"/>
          <w:sz w:val="24"/>
        </w:rPr>
      </w:pPr>
      <w:r>
        <w:rPr>
          <w:rFonts w:hint="eastAsia"/>
          <w:snapToGrid w:val="0"/>
          <w:kern w:val="0"/>
          <w:sz w:val="24"/>
        </w:rPr>
        <w:t>对于施工作业面范围内部分裸露且易引起扬尘的地面和运输公路经过居民点的区域要勤撒水，尽量减少扬尘影响。在居民点路段，应禁鸣和限速。并根据施工情况，合理安排高噪音声源的夜间作业，尽量避免对声环境造成影响。</w:t>
      </w:r>
    </w:p>
    <w:p>
      <w:pPr>
        <w:adjustRightInd w:val="0"/>
        <w:snapToGrid w:val="0"/>
        <w:spacing w:line="480" w:lineRule="exact"/>
        <w:ind w:firstLine="480" w:firstLineChars="200"/>
        <w:rPr>
          <w:rFonts w:hAnsi="宋体"/>
          <w:snapToGrid w:val="0"/>
          <w:kern w:val="0"/>
          <w:sz w:val="24"/>
        </w:rPr>
      </w:pPr>
      <w:r>
        <w:rPr>
          <w:rFonts w:hint="eastAsia"/>
          <w:snapToGrid w:val="0"/>
          <w:kern w:val="0"/>
          <w:sz w:val="24"/>
        </w:rPr>
        <w:t>c</w:t>
      </w:r>
      <w:r>
        <w:rPr>
          <w:snapToGrid w:val="0"/>
          <w:kern w:val="0"/>
          <w:sz w:val="24"/>
        </w:rPr>
        <w:t xml:space="preserve">) </w:t>
      </w:r>
      <w:r>
        <w:rPr>
          <w:rFonts w:hAnsi="宋体"/>
          <w:snapToGrid w:val="0"/>
          <w:kern w:val="0"/>
          <w:sz w:val="24"/>
        </w:rPr>
        <w:t>生态环境</w:t>
      </w:r>
    </w:p>
    <w:p>
      <w:pPr>
        <w:adjustRightInd w:val="0"/>
        <w:snapToGrid w:val="0"/>
        <w:spacing w:line="480" w:lineRule="exact"/>
        <w:ind w:firstLine="480" w:firstLineChars="200"/>
        <w:rPr>
          <w:snapToGrid w:val="0"/>
          <w:kern w:val="0"/>
          <w:sz w:val="24"/>
        </w:rPr>
      </w:pPr>
      <w:r>
        <w:rPr>
          <w:rFonts w:hAnsi="宋体"/>
          <w:snapToGrid w:val="0"/>
          <w:kern w:val="0"/>
          <w:sz w:val="24"/>
        </w:rPr>
        <w:t>严格控制施工人员活动范围，减少对农田和植被的占用扰动，尽量减小对现有植被的破坏；加强对施工人员和居民的宣传教育和管理工作，制定规章制度，严禁破坏和捕杀施工区内的野生动、植物；在各工区设置陆生动、植物保护警示牌，如施工期发现受伤的珍稀保护动物，应进行救护并送当地林业部门。</w:t>
      </w:r>
    </w:p>
    <w:p>
      <w:pPr>
        <w:adjustRightInd w:val="0"/>
        <w:snapToGrid w:val="0"/>
        <w:spacing w:line="480" w:lineRule="exact"/>
        <w:ind w:firstLine="480" w:firstLineChars="200"/>
        <w:rPr>
          <w:rFonts w:hAnsi="宋体"/>
          <w:snapToGrid w:val="0"/>
          <w:kern w:val="0"/>
          <w:sz w:val="24"/>
        </w:rPr>
      </w:pPr>
      <w:r>
        <w:rPr>
          <w:rFonts w:hint="eastAsia"/>
          <w:snapToGrid w:val="0"/>
          <w:kern w:val="0"/>
          <w:sz w:val="24"/>
        </w:rPr>
        <w:t>d</w:t>
      </w:r>
      <w:r>
        <w:rPr>
          <w:snapToGrid w:val="0"/>
          <w:kern w:val="0"/>
          <w:sz w:val="24"/>
        </w:rPr>
        <w:t xml:space="preserve">) </w:t>
      </w:r>
      <w:r>
        <w:rPr>
          <w:rFonts w:hAnsi="宋体"/>
          <w:snapToGrid w:val="0"/>
          <w:kern w:val="0"/>
          <w:sz w:val="24"/>
        </w:rPr>
        <w:t>固体废物处置</w:t>
      </w:r>
    </w:p>
    <w:p>
      <w:pPr>
        <w:adjustRightInd w:val="0"/>
        <w:snapToGrid w:val="0"/>
        <w:spacing w:line="520" w:lineRule="atLeast"/>
        <w:ind w:firstLine="480" w:firstLineChars="200"/>
        <w:rPr>
          <w:color w:val="000000"/>
          <w:sz w:val="24"/>
        </w:rPr>
      </w:pPr>
      <w:r>
        <w:rPr>
          <w:rFonts w:hAnsi="宋体"/>
          <w:snapToGrid w:val="0"/>
          <w:kern w:val="0"/>
          <w:sz w:val="24"/>
        </w:rPr>
        <w:t>施工期固体废物主要来自工程弃渣以及施工人员生活垃圾。工程弃渣必须及时清运到指定的弃渣场，施工人员生活垃圾</w:t>
      </w:r>
      <w:r>
        <w:rPr>
          <w:color w:val="000000"/>
          <w:sz w:val="24"/>
        </w:rPr>
        <w:t>拟设置垃圾箱收集，委托当地环卫部门进行清运，对周边环境影响不大。</w:t>
      </w:r>
    </w:p>
    <w:p>
      <w:pPr>
        <w:adjustRightInd w:val="0"/>
        <w:snapToGrid w:val="0"/>
        <w:spacing w:line="480" w:lineRule="exact"/>
        <w:ind w:firstLine="480" w:firstLineChars="200"/>
        <w:rPr>
          <w:rFonts w:hAnsi="宋体"/>
          <w:snapToGrid w:val="0"/>
          <w:kern w:val="0"/>
          <w:sz w:val="24"/>
        </w:rPr>
      </w:pPr>
      <w:r>
        <w:rPr>
          <w:rFonts w:hint="eastAsia"/>
          <w:snapToGrid w:val="0"/>
          <w:kern w:val="0"/>
          <w:sz w:val="24"/>
        </w:rPr>
        <w:t>e</w:t>
      </w:r>
      <w:r>
        <w:rPr>
          <w:snapToGrid w:val="0"/>
          <w:kern w:val="0"/>
          <w:sz w:val="24"/>
        </w:rPr>
        <w:t xml:space="preserve">) </w:t>
      </w:r>
      <w:r>
        <w:rPr>
          <w:rFonts w:hAnsi="宋体"/>
          <w:snapToGrid w:val="0"/>
          <w:kern w:val="0"/>
          <w:sz w:val="24"/>
        </w:rPr>
        <w:t>人群健康</w:t>
      </w:r>
    </w:p>
    <w:p>
      <w:pPr>
        <w:adjustRightInd w:val="0"/>
        <w:snapToGrid w:val="0"/>
        <w:spacing w:line="480" w:lineRule="exact"/>
        <w:ind w:firstLine="480" w:firstLineChars="200"/>
        <w:rPr>
          <w:rFonts w:hAnsi="宋体"/>
          <w:snapToGrid w:val="0"/>
          <w:kern w:val="0"/>
          <w:sz w:val="24"/>
        </w:rPr>
      </w:pPr>
      <w:r>
        <w:rPr>
          <w:rFonts w:hAnsi="宋体"/>
          <w:snapToGrid w:val="0"/>
          <w:kern w:val="0"/>
          <w:sz w:val="24"/>
        </w:rPr>
        <w:t>加强施工现场的卫生管理，加强饮用水源的保护和施工人员的免疫防疫工作，发现传染病人及时送往附近医院进行隔离治疗。</w:t>
      </w:r>
    </w:p>
    <w:p>
      <w:pPr>
        <w:pStyle w:val="4"/>
      </w:pPr>
      <w:r>
        <w:rPr>
          <w:rFonts w:hint="eastAsia"/>
        </w:rPr>
        <w:t>8.1.5  结论</w:t>
      </w:r>
    </w:p>
    <w:p>
      <w:pPr>
        <w:adjustRightInd w:val="0"/>
        <w:snapToGrid w:val="0"/>
        <w:spacing w:line="480" w:lineRule="exact"/>
        <w:ind w:firstLine="480" w:firstLineChars="200"/>
        <w:rPr>
          <w:rFonts w:hAnsi="宋体"/>
          <w:snapToGrid w:val="0"/>
          <w:kern w:val="0"/>
          <w:sz w:val="24"/>
        </w:rPr>
      </w:pPr>
      <w:r>
        <w:rPr>
          <w:rFonts w:hAnsi="宋体"/>
          <w:snapToGrid w:val="0"/>
          <w:kern w:val="0"/>
          <w:sz w:val="24"/>
        </w:rPr>
        <w:t>广东陆河抽水蓄能电站移民安置以及专项复建工程量小，对区域水环境、大气环境、声环境及生态环境的影响</w:t>
      </w:r>
      <w:r>
        <w:rPr>
          <w:rFonts w:hint="eastAsia" w:hAnsi="宋体"/>
          <w:snapToGrid w:val="0"/>
          <w:kern w:val="0"/>
          <w:sz w:val="24"/>
        </w:rPr>
        <w:t>较</w:t>
      </w:r>
      <w:r>
        <w:rPr>
          <w:rFonts w:hAnsi="宋体"/>
          <w:snapToGrid w:val="0"/>
          <w:kern w:val="0"/>
          <w:sz w:val="24"/>
        </w:rPr>
        <w:t>小，且均可采取妥善措施予以减缓</w:t>
      </w:r>
      <w:r>
        <w:rPr>
          <w:rFonts w:hint="eastAsia" w:hAnsi="宋体"/>
          <w:snapToGrid w:val="0"/>
          <w:kern w:val="0"/>
          <w:sz w:val="24"/>
        </w:rPr>
        <w:t>，移民安置规划是合理的</w:t>
      </w:r>
      <w:r>
        <w:rPr>
          <w:rFonts w:hAnsi="宋体"/>
          <w:snapToGrid w:val="0"/>
          <w:kern w:val="0"/>
          <w:sz w:val="24"/>
        </w:rPr>
        <w:t>。</w:t>
      </w:r>
    </w:p>
    <w:p>
      <w:pPr>
        <w:pStyle w:val="3"/>
        <w:rPr>
          <w:bCs/>
          <w:sz w:val="24"/>
        </w:rPr>
      </w:pPr>
      <w:bookmarkStart w:id="311" w:name="_Toc31891"/>
      <w:bookmarkStart w:id="312" w:name="_Toc85660295"/>
      <w:bookmarkStart w:id="313" w:name="_Toc90934889"/>
      <w:bookmarkStart w:id="314" w:name="_Toc85487758"/>
      <w:bookmarkStart w:id="315" w:name="_Toc25375"/>
      <w:bookmarkStart w:id="316" w:name="_Toc86265098"/>
      <w:r>
        <w:t>8.2  水土保持</w:t>
      </w:r>
      <w:bookmarkEnd w:id="311"/>
      <w:bookmarkEnd w:id="312"/>
      <w:bookmarkEnd w:id="313"/>
      <w:bookmarkEnd w:id="314"/>
      <w:bookmarkEnd w:id="315"/>
      <w:bookmarkEnd w:id="316"/>
    </w:p>
    <w:p>
      <w:pPr>
        <w:pStyle w:val="4"/>
      </w:pPr>
      <w:bookmarkStart w:id="317" w:name="_Toc85632528"/>
      <w:bookmarkStart w:id="318" w:name="_Toc85660296"/>
      <w:bookmarkStart w:id="319" w:name="_Toc85487759"/>
      <w:bookmarkStart w:id="320" w:name="_Toc20436"/>
      <w:bookmarkStart w:id="321" w:name="_Toc85660299"/>
      <w:bookmarkStart w:id="322" w:name="_Toc85487762"/>
      <w:bookmarkStart w:id="323" w:name="_Toc8508"/>
      <w:bookmarkStart w:id="324" w:name="_Toc86265099"/>
      <w:r>
        <w:t>8.2.1  水土保持方案编制过程</w:t>
      </w:r>
      <w:bookmarkEnd w:id="317"/>
      <w:bookmarkEnd w:id="318"/>
      <w:bookmarkEnd w:id="319"/>
    </w:p>
    <w:p>
      <w:pPr>
        <w:adjustRightInd w:val="0"/>
        <w:snapToGrid w:val="0"/>
        <w:spacing w:line="480" w:lineRule="exact"/>
        <w:ind w:firstLine="480" w:firstLineChars="200"/>
        <w:rPr>
          <w:sz w:val="24"/>
        </w:rPr>
      </w:pPr>
      <w:r>
        <w:rPr>
          <w:rFonts w:hAnsi="宋体"/>
          <w:sz w:val="24"/>
        </w:rPr>
        <w:t>按照《中华人民共和国水土保持法》、《水利水电工程水土保持技术规范》</w:t>
      </w:r>
      <w:r>
        <w:rPr>
          <w:sz w:val="24"/>
        </w:rPr>
        <w:t>(SL 575-2012)</w:t>
      </w:r>
      <w:r>
        <w:rPr>
          <w:rFonts w:hAnsi="宋体"/>
          <w:sz w:val="24"/>
        </w:rPr>
        <w:t>、《生产建设项目水土保持技术标准》</w:t>
      </w:r>
      <w:r>
        <w:rPr>
          <w:sz w:val="24"/>
        </w:rPr>
        <w:t>(GB 50433-2018)</w:t>
      </w:r>
      <w:r>
        <w:rPr>
          <w:rFonts w:hAnsi="宋体"/>
          <w:sz w:val="24"/>
        </w:rPr>
        <w:t>及有关生产建设项目水土保持相关法律、法规和规范性文件的要求，目前本项目水土保持方案正处于编制阶段，尚未完成。</w:t>
      </w:r>
    </w:p>
    <w:p>
      <w:pPr>
        <w:pStyle w:val="4"/>
      </w:pPr>
      <w:bookmarkStart w:id="325" w:name="_Toc85632529"/>
      <w:bookmarkStart w:id="326" w:name="_Toc85660297"/>
      <w:bookmarkStart w:id="327" w:name="_Toc85487760"/>
      <w:r>
        <w:t>8.2.2  水土保持防治责任范围及防治标准</w:t>
      </w:r>
      <w:bookmarkEnd w:id="325"/>
      <w:bookmarkEnd w:id="326"/>
      <w:bookmarkEnd w:id="327"/>
    </w:p>
    <w:p>
      <w:pPr>
        <w:adjustRightInd w:val="0"/>
        <w:snapToGrid w:val="0"/>
        <w:spacing w:line="480" w:lineRule="exact"/>
        <w:ind w:firstLine="480" w:firstLineChars="200"/>
        <w:rPr>
          <w:sz w:val="24"/>
        </w:rPr>
      </w:pPr>
      <w:r>
        <w:rPr>
          <w:rFonts w:hAnsi="宋体"/>
          <w:sz w:val="24"/>
        </w:rPr>
        <w:t>本项目移民安置与专项设施复建区水土流失防治责任范围面积约为</w:t>
      </w:r>
      <w:r>
        <w:rPr>
          <w:rFonts w:hint="eastAsia"/>
          <w:sz w:val="24"/>
        </w:rPr>
        <w:t>4</w:t>
      </w:r>
      <w:r>
        <w:rPr>
          <w:sz w:val="24"/>
        </w:rPr>
        <w:t>.</w:t>
      </w:r>
      <w:r>
        <w:rPr>
          <w:rFonts w:hint="eastAsia"/>
          <w:sz w:val="24"/>
        </w:rPr>
        <w:t>13</w:t>
      </w:r>
      <w:r>
        <w:rPr>
          <w:sz w:val="24"/>
        </w:rPr>
        <w:t>hm</w:t>
      </w:r>
      <w:r>
        <w:rPr>
          <w:sz w:val="24"/>
          <w:vertAlign w:val="superscript"/>
        </w:rPr>
        <w:t>2</w:t>
      </w:r>
      <w:r>
        <w:rPr>
          <w:rFonts w:hAnsi="宋体"/>
          <w:sz w:val="24"/>
        </w:rPr>
        <w:t>，包含复建交通设施、复建电力设施、复建通信设施。</w:t>
      </w:r>
    </w:p>
    <w:p>
      <w:pPr>
        <w:pStyle w:val="4"/>
      </w:pPr>
      <w:bookmarkStart w:id="328" w:name="_Toc85632530"/>
      <w:bookmarkStart w:id="329" w:name="_Toc85487761"/>
      <w:bookmarkStart w:id="330" w:name="_Toc85660298"/>
      <w:r>
        <w:t>8.2.3  移民安置工程的水土保持要求</w:t>
      </w:r>
      <w:bookmarkEnd w:id="328"/>
      <w:bookmarkEnd w:id="329"/>
      <w:bookmarkEnd w:id="330"/>
    </w:p>
    <w:p>
      <w:pPr>
        <w:widowControl/>
        <w:spacing w:line="500" w:lineRule="atLeast"/>
        <w:ind w:firstLine="480" w:firstLineChars="200"/>
        <w:rPr>
          <w:sz w:val="24"/>
        </w:rPr>
      </w:pPr>
      <w:r>
        <w:rPr>
          <w:sz w:val="24"/>
        </w:rPr>
        <w:t>本工程属于新建项目，位于陆河县新田镇境内，根据水利部办公厅关于印发《全国水土保持规</w:t>
      </w:r>
      <w:r>
        <w:rPr>
          <w:spacing w:val="8"/>
          <w:sz w:val="24"/>
        </w:rPr>
        <w:t>划国家级水土流失重点预防区和重点治理区复核划分成果》(办水保</w:t>
      </w:r>
      <w:r>
        <w:rPr>
          <w:rFonts w:hint="eastAsia"/>
          <w:spacing w:val="8"/>
          <w:sz w:val="24"/>
        </w:rPr>
        <w:t>〔</w:t>
      </w:r>
      <w:r>
        <w:rPr>
          <w:spacing w:val="8"/>
          <w:sz w:val="24"/>
        </w:rPr>
        <w:t>2013</w:t>
      </w:r>
      <w:r>
        <w:rPr>
          <w:rFonts w:hint="eastAsia"/>
          <w:spacing w:val="8"/>
          <w:sz w:val="24"/>
        </w:rPr>
        <w:t>〕</w:t>
      </w:r>
      <w:r>
        <w:rPr>
          <w:spacing w:val="8"/>
          <w:sz w:val="24"/>
        </w:rPr>
        <w:t>188号)</w:t>
      </w:r>
      <w:r>
        <w:rPr>
          <w:sz w:val="24"/>
        </w:rPr>
        <w:t>的通知和《广东省水利厅关于划分省级水土流失重点预防区和重点治理区的公告》，项目区不属国家级水土流失重点防治区，属广东省级水土流失重点治理区</w:t>
      </w:r>
      <w:r>
        <w:rPr>
          <w:rFonts w:hint="eastAsia"/>
          <w:sz w:val="24"/>
        </w:rPr>
        <w:t>，</w:t>
      </w:r>
      <w:r>
        <w:rPr>
          <w:sz w:val="24"/>
        </w:rPr>
        <w:t>根据《生产建设项目水土流失防治标准》(GB/T 50434-2018)的规定：本项目水土流失防治标准执行等级为南方红壤区</w:t>
      </w:r>
      <w:r>
        <w:rPr>
          <w:rFonts w:hint="eastAsia"/>
          <w:sz w:val="24"/>
        </w:rPr>
        <w:t>一</w:t>
      </w:r>
      <w:r>
        <w:rPr>
          <w:sz w:val="24"/>
        </w:rPr>
        <w:t>级标准。</w:t>
      </w:r>
    </w:p>
    <w:p>
      <w:pPr>
        <w:spacing w:line="460" w:lineRule="exact"/>
        <w:ind w:firstLine="480" w:firstLineChars="200"/>
        <w:rPr>
          <w:sz w:val="24"/>
        </w:rPr>
      </w:pPr>
      <w:r>
        <w:rPr>
          <w:sz w:val="24"/>
        </w:rPr>
        <w:t>根据项目区干旱程度、土壤侵蚀强度、地形和项目与城市区位置关系等进行修正，对防治目标值进行调整，至设计水平年，调整后防治目标值：水土流失治理度为9</w:t>
      </w:r>
      <w:r>
        <w:rPr>
          <w:rFonts w:hint="eastAsia"/>
          <w:sz w:val="24"/>
        </w:rPr>
        <w:t>8</w:t>
      </w:r>
      <w:r>
        <w:rPr>
          <w:sz w:val="24"/>
        </w:rPr>
        <w:t>%，土壤流失控制比为1.0，渣土防护率9</w:t>
      </w:r>
      <w:r>
        <w:rPr>
          <w:rFonts w:hint="eastAsia"/>
          <w:sz w:val="24"/>
        </w:rPr>
        <w:t>5</w:t>
      </w:r>
      <w:r>
        <w:rPr>
          <w:sz w:val="24"/>
        </w:rPr>
        <w:t>%，表土保护率</w:t>
      </w:r>
      <w:r>
        <w:rPr>
          <w:rFonts w:hint="eastAsia"/>
          <w:sz w:val="24"/>
        </w:rPr>
        <w:t>92</w:t>
      </w:r>
      <w:r>
        <w:rPr>
          <w:sz w:val="24"/>
        </w:rPr>
        <w:t>%，林草植被恢复率9</w:t>
      </w:r>
      <w:r>
        <w:rPr>
          <w:rFonts w:hint="eastAsia"/>
          <w:sz w:val="24"/>
        </w:rPr>
        <w:t>8</w:t>
      </w:r>
      <w:r>
        <w:rPr>
          <w:sz w:val="24"/>
        </w:rPr>
        <w:t>%，林草覆盖率2</w:t>
      </w:r>
      <w:r>
        <w:rPr>
          <w:rFonts w:hint="eastAsia"/>
          <w:sz w:val="24"/>
        </w:rPr>
        <w:t>7</w:t>
      </w:r>
      <w:r>
        <w:rPr>
          <w:sz w:val="24"/>
        </w:rPr>
        <w:t>%。工程水土流失防治目标详见表</w:t>
      </w:r>
      <w:r>
        <w:rPr>
          <w:rFonts w:hint="eastAsia"/>
          <w:sz w:val="24"/>
        </w:rPr>
        <w:t>8.2.3</w:t>
      </w:r>
      <w:r>
        <w:rPr>
          <w:sz w:val="24"/>
        </w:rPr>
        <w:t>-1。</w:t>
      </w:r>
    </w:p>
    <w:p>
      <w:pPr>
        <w:tabs>
          <w:tab w:val="left" w:pos="1350"/>
        </w:tabs>
        <w:autoSpaceDE w:val="0"/>
        <w:autoSpaceDN w:val="0"/>
        <w:adjustRightInd w:val="0"/>
        <w:snapToGrid w:val="0"/>
        <w:spacing w:before="120" w:beforeLines="50" w:line="460" w:lineRule="exact"/>
        <w:jc w:val="center"/>
        <w:rPr>
          <w:rFonts w:eastAsia="黑体"/>
          <w:sz w:val="24"/>
          <w:shd w:val="clear" w:color="auto" w:fill="FFFFFF"/>
        </w:rPr>
        <w:sectPr>
          <w:headerReference r:id="rId20" w:type="default"/>
          <w:footerReference r:id="rId21" w:type="default"/>
          <w:pgSz w:w="11906" w:h="16838"/>
          <w:pgMar w:top="1588" w:right="1565" w:bottom="1531" w:left="1565" w:header="1134" w:footer="1247" w:gutter="0"/>
          <w:cols w:space="720" w:num="1"/>
          <w:docGrid w:linePitch="312" w:charSpace="0"/>
        </w:sectPr>
      </w:pPr>
    </w:p>
    <w:p>
      <w:pPr>
        <w:tabs>
          <w:tab w:val="left" w:pos="1350"/>
        </w:tabs>
        <w:autoSpaceDE w:val="0"/>
        <w:autoSpaceDN w:val="0"/>
        <w:adjustRightInd w:val="0"/>
        <w:snapToGrid w:val="0"/>
        <w:spacing w:before="120" w:beforeLines="50" w:line="460" w:lineRule="exact"/>
        <w:jc w:val="center"/>
        <w:rPr>
          <w:rFonts w:eastAsia="黑体"/>
          <w:sz w:val="24"/>
          <w:shd w:val="clear" w:color="auto" w:fill="FFFFFF"/>
        </w:rPr>
      </w:pPr>
      <w:r>
        <w:rPr>
          <w:rFonts w:eastAsia="黑体"/>
          <w:sz w:val="24"/>
          <w:shd w:val="clear" w:color="auto" w:fill="FFFFFF"/>
        </w:rPr>
        <w:t>表</w:t>
      </w:r>
      <w:r>
        <w:rPr>
          <w:rFonts w:hint="eastAsia" w:eastAsia="黑体"/>
          <w:sz w:val="24"/>
          <w:shd w:val="clear" w:color="auto" w:fill="FFFFFF"/>
        </w:rPr>
        <w:t>8.2.3</w:t>
      </w:r>
      <w:r>
        <w:rPr>
          <w:rFonts w:eastAsia="黑体"/>
          <w:sz w:val="24"/>
          <w:shd w:val="clear" w:color="auto" w:fill="FFFFFF"/>
        </w:rPr>
        <w:t>-1  水土流失防治目标修正及采用标准表</w:t>
      </w:r>
    </w:p>
    <w:tbl>
      <w:tblPr>
        <w:tblStyle w:val="79"/>
        <w:tblW w:w="136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707"/>
        <w:gridCol w:w="1174"/>
        <w:gridCol w:w="475"/>
        <w:gridCol w:w="707"/>
        <w:gridCol w:w="942"/>
        <w:gridCol w:w="707"/>
        <w:gridCol w:w="942"/>
        <w:gridCol w:w="1117"/>
        <w:gridCol w:w="942"/>
        <w:gridCol w:w="707"/>
        <w:gridCol w:w="1338"/>
        <w:gridCol w:w="1006"/>
        <w:gridCol w:w="1410"/>
        <w:gridCol w:w="708"/>
        <w:gridCol w:w="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Merge w:val="restart"/>
            <w:vAlign w:val="center"/>
          </w:tcPr>
          <w:p>
            <w:pPr>
              <w:adjustRightInd w:val="0"/>
              <w:snapToGrid w:val="0"/>
              <w:ind w:left="-105" w:leftChars="-50" w:right="-105" w:rightChars="-50"/>
              <w:jc w:val="center"/>
              <w:rPr>
                <w:rFonts w:cs="Times New Roman"/>
                <w:bCs/>
                <w:lang w:eastAsia="en-US" w:bidi="en-US"/>
              </w:rPr>
            </w:pPr>
            <w:r>
              <w:rPr>
                <w:rFonts w:hAnsi="宋体" w:cs="Times New Roman"/>
                <w:bCs/>
                <w:lang w:eastAsia="en-US" w:bidi="en-US"/>
              </w:rPr>
              <w:t>序号</w:t>
            </w:r>
          </w:p>
        </w:tc>
        <w:tc>
          <w:tcPr>
            <w:tcW w:w="1881" w:type="dxa"/>
            <w:gridSpan w:val="2"/>
            <w:vMerge w:val="restart"/>
            <w:vAlign w:val="center"/>
          </w:tcPr>
          <w:p>
            <w:pPr>
              <w:adjustRightInd w:val="0"/>
              <w:snapToGrid w:val="0"/>
              <w:ind w:left="-105" w:leftChars="-50" w:right="-105" w:rightChars="-50"/>
              <w:jc w:val="center"/>
              <w:rPr>
                <w:rFonts w:cs="Times New Roman"/>
                <w:bCs/>
                <w:lang w:eastAsia="en-US" w:bidi="en-US"/>
              </w:rPr>
            </w:pPr>
            <w:r>
              <w:rPr>
                <w:rFonts w:hAnsi="宋体" w:cs="Times New Roman"/>
                <w:bCs/>
                <w:lang w:eastAsia="en-US" w:bidi="en-US"/>
              </w:rPr>
              <w:t>项目</w:t>
            </w:r>
          </w:p>
        </w:tc>
        <w:tc>
          <w:tcPr>
            <w:tcW w:w="475" w:type="dxa"/>
            <w:vMerge w:val="restart"/>
            <w:vAlign w:val="center"/>
          </w:tcPr>
          <w:p>
            <w:pPr>
              <w:adjustRightInd w:val="0"/>
              <w:snapToGrid w:val="0"/>
              <w:ind w:left="-105" w:leftChars="-50" w:right="-105" w:rightChars="-50"/>
              <w:jc w:val="center"/>
              <w:rPr>
                <w:rFonts w:cs="Times New Roman"/>
                <w:bCs/>
                <w:lang w:bidi="en-US"/>
              </w:rPr>
            </w:pPr>
            <w:r>
              <w:rPr>
                <w:rFonts w:hAnsi="宋体" w:cs="Times New Roman"/>
                <w:bCs/>
                <w:lang w:bidi="en-US"/>
              </w:rPr>
              <w:t>单位</w:t>
            </w:r>
          </w:p>
        </w:tc>
        <w:tc>
          <w:tcPr>
            <w:tcW w:w="707" w:type="dxa"/>
            <w:vMerge w:val="restart"/>
            <w:vAlign w:val="center"/>
          </w:tcPr>
          <w:p>
            <w:pPr>
              <w:adjustRightInd w:val="0"/>
              <w:snapToGrid w:val="0"/>
              <w:ind w:left="-105" w:leftChars="-50" w:right="-105" w:rightChars="-50"/>
              <w:jc w:val="center"/>
              <w:rPr>
                <w:rFonts w:cs="Times New Roman"/>
                <w:bCs/>
                <w:lang w:bidi="en-US"/>
              </w:rPr>
            </w:pPr>
            <w:r>
              <w:rPr>
                <w:rFonts w:hAnsi="宋体" w:cs="Times New Roman"/>
                <w:bCs/>
                <w:lang w:eastAsia="en-US" w:bidi="en-US"/>
              </w:rPr>
              <w:t>规范标</w:t>
            </w:r>
          </w:p>
          <w:p>
            <w:pPr>
              <w:adjustRightInd w:val="0"/>
              <w:snapToGrid w:val="0"/>
              <w:ind w:left="-105" w:leftChars="-50" w:right="-105" w:rightChars="-50"/>
              <w:jc w:val="center"/>
              <w:rPr>
                <w:rFonts w:cs="Times New Roman"/>
                <w:bCs/>
                <w:lang w:eastAsia="en-US" w:bidi="en-US"/>
              </w:rPr>
            </w:pPr>
            <w:r>
              <w:rPr>
                <w:rFonts w:hAnsi="宋体" w:cs="Times New Roman"/>
                <w:bCs/>
                <w:lang w:eastAsia="en-US" w:bidi="en-US"/>
              </w:rPr>
              <w:t>准取值</w:t>
            </w:r>
          </w:p>
        </w:tc>
        <w:tc>
          <w:tcPr>
            <w:tcW w:w="1649" w:type="dxa"/>
            <w:gridSpan w:val="2"/>
            <w:vAlign w:val="center"/>
          </w:tcPr>
          <w:p>
            <w:pPr>
              <w:adjustRightInd w:val="0"/>
              <w:snapToGrid w:val="0"/>
              <w:ind w:left="-105" w:leftChars="-50" w:right="-105" w:rightChars="-50"/>
              <w:jc w:val="center"/>
              <w:rPr>
                <w:rFonts w:cs="Times New Roman"/>
                <w:bCs/>
                <w:lang w:eastAsia="en-US" w:bidi="en-US"/>
              </w:rPr>
            </w:pPr>
            <w:r>
              <w:rPr>
                <w:rFonts w:hAnsi="宋体" w:cs="Times New Roman"/>
                <w:bCs/>
                <w:lang w:bidi="en-US"/>
              </w:rPr>
              <w:t>干旱程度</w:t>
            </w:r>
          </w:p>
        </w:tc>
        <w:tc>
          <w:tcPr>
            <w:tcW w:w="2059" w:type="dxa"/>
            <w:gridSpan w:val="2"/>
            <w:vAlign w:val="center"/>
          </w:tcPr>
          <w:p>
            <w:pPr>
              <w:adjustRightInd w:val="0"/>
              <w:snapToGrid w:val="0"/>
              <w:ind w:left="-105" w:leftChars="-50" w:right="-105" w:rightChars="-50"/>
              <w:jc w:val="center"/>
              <w:rPr>
                <w:rFonts w:cs="Times New Roman"/>
                <w:bCs/>
                <w:lang w:eastAsia="en-US" w:bidi="en-US"/>
              </w:rPr>
            </w:pPr>
            <w:r>
              <w:rPr>
                <w:rFonts w:hAnsi="宋体" w:cs="Times New Roman"/>
                <w:bCs/>
                <w:lang w:eastAsia="en-US" w:bidi="en-US"/>
              </w:rPr>
              <w:t>土壤侵蚀强度</w:t>
            </w:r>
          </w:p>
        </w:tc>
        <w:tc>
          <w:tcPr>
            <w:tcW w:w="1649" w:type="dxa"/>
            <w:gridSpan w:val="2"/>
            <w:vAlign w:val="center"/>
          </w:tcPr>
          <w:p>
            <w:pPr>
              <w:adjustRightInd w:val="0"/>
              <w:snapToGrid w:val="0"/>
              <w:ind w:left="-105" w:leftChars="-50" w:right="-105" w:rightChars="-50"/>
              <w:jc w:val="center"/>
              <w:rPr>
                <w:rFonts w:cs="Times New Roman"/>
                <w:bCs/>
                <w:lang w:eastAsia="en-US" w:bidi="en-US"/>
              </w:rPr>
            </w:pPr>
            <w:r>
              <w:rPr>
                <w:rFonts w:hAnsi="宋体" w:cs="Times New Roman"/>
                <w:bCs/>
                <w:lang w:bidi="en-US"/>
              </w:rPr>
              <w:t>项目地形</w:t>
            </w:r>
          </w:p>
        </w:tc>
        <w:tc>
          <w:tcPr>
            <w:tcW w:w="2344" w:type="dxa"/>
            <w:gridSpan w:val="2"/>
            <w:vAlign w:val="center"/>
          </w:tcPr>
          <w:p>
            <w:pPr>
              <w:adjustRightInd w:val="0"/>
              <w:snapToGrid w:val="0"/>
              <w:ind w:left="-105" w:leftChars="-50" w:right="-105" w:rightChars="-50"/>
              <w:jc w:val="center"/>
              <w:rPr>
                <w:rFonts w:cs="Times New Roman"/>
                <w:bCs/>
                <w:lang w:bidi="en-US"/>
              </w:rPr>
            </w:pPr>
            <w:r>
              <w:rPr>
                <w:rFonts w:hAnsi="宋体" w:cs="Times New Roman"/>
                <w:bCs/>
                <w:lang w:bidi="en-US"/>
              </w:rPr>
              <w:t>项目与城市区位置关系</w:t>
            </w:r>
          </w:p>
        </w:tc>
        <w:tc>
          <w:tcPr>
            <w:tcW w:w="2118" w:type="dxa"/>
            <w:gridSpan w:val="2"/>
            <w:vAlign w:val="center"/>
          </w:tcPr>
          <w:p>
            <w:pPr>
              <w:adjustRightInd w:val="0"/>
              <w:snapToGrid w:val="0"/>
              <w:ind w:left="-105" w:leftChars="-50" w:right="-105" w:rightChars="-50"/>
              <w:jc w:val="center"/>
              <w:rPr>
                <w:rFonts w:cs="Times New Roman"/>
                <w:bCs/>
                <w:lang w:eastAsia="en-US" w:bidi="en-US"/>
              </w:rPr>
            </w:pPr>
            <w:r>
              <w:rPr>
                <w:rFonts w:hAnsi="宋体" w:cs="Times New Roman"/>
                <w:bCs/>
                <w:lang w:bidi="en-US"/>
              </w:rPr>
              <w:t>项目选址</w:t>
            </w:r>
          </w:p>
        </w:tc>
        <w:tc>
          <w:tcPr>
            <w:tcW w:w="299" w:type="dxa"/>
            <w:vMerge w:val="restart"/>
            <w:vAlign w:val="center"/>
          </w:tcPr>
          <w:p>
            <w:pPr>
              <w:adjustRightInd w:val="0"/>
              <w:snapToGrid w:val="0"/>
              <w:ind w:left="-105" w:leftChars="-50" w:right="-105" w:rightChars="-50"/>
              <w:jc w:val="center"/>
              <w:rPr>
                <w:rFonts w:cs="Times New Roman"/>
                <w:bCs/>
                <w:lang w:bidi="en-US"/>
              </w:rPr>
            </w:pPr>
            <w:r>
              <w:rPr>
                <w:rFonts w:hAnsi="宋体" w:cs="Times New Roman"/>
                <w:bCs/>
                <w:lang w:eastAsia="en-US" w:bidi="en-US"/>
              </w:rPr>
              <w:t>采</w:t>
            </w:r>
          </w:p>
          <w:p>
            <w:pPr>
              <w:adjustRightInd w:val="0"/>
              <w:snapToGrid w:val="0"/>
              <w:ind w:left="-105" w:leftChars="-50" w:right="-105" w:rightChars="-50"/>
              <w:jc w:val="center"/>
              <w:rPr>
                <w:rFonts w:cs="Times New Roman"/>
                <w:bCs/>
                <w:lang w:bidi="en-US"/>
              </w:rPr>
            </w:pPr>
            <w:r>
              <w:rPr>
                <w:rFonts w:hAnsi="宋体" w:cs="Times New Roman"/>
                <w:bCs/>
                <w:lang w:eastAsia="en-US" w:bidi="en-US"/>
              </w:rPr>
              <w:t>用</w:t>
            </w:r>
          </w:p>
          <w:p>
            <w:pPr>
              <w:adjustRightInd w:val="0"/>
              <w:snapToGrid w:val="0"/>
              <w:ind w:left="-105" w:leftChars="-50" w:right="-105" w:rightChars="-50"/>
              <w:jc w:val="center"/>
              <w:rPr>
                <w:rFonts w:cs="Times New Roman"/>
                <w:bCs/>
                <w:lang w:eastAsia="en-US" w:bidi="en-US"/>
              </w:rPr>
            </w:pPr>
            <w:r>
              <w:rPr>
                <w:rFonts w:hAnsi="宋体" w:cs="Times New Roman"/>
                <w:bCs/>
                <w:lang w:eastAsia="en-US" w:bidi="en-US"/>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Merge w:val="continue"/>
            <w:vAlign w:val="center"/>
          </w:tcPr>
          <w:p>
            <w:pPr>
              <w:adjustRightInd w:val="0"/>
              <w:snapToGrid w:val="0"/>
              <w:ind w:left="-105" w:leftChars="-50" w:right="-105" w:rightChars="-50"/>
              <w:jc w:val="center"/>
              <w:rPr>
                <w:rFonts w:cs="Times New Roman"/>
                <w:bCs/>
                <w:lang w:eastAsia="en-US" w:bidi="en-US"/>
              </w:rPr>
            </w:pPr>
          </w:p>
        </w:tc>
        <w:tc>
          <w:tcPr>
            <w:tcW w:w="1881" w:type="dxa"/>
            <w:gridSpan w:val="2"/>
            <w:vMerge w:val="continue"/>
            <w:vAlign w:val="center"/>
          </w:tcPr>
          <w:p>
            <w:pPr>
              <w:adjustRightInd w:val="0"/>
              <w:snapToGrid w:val="0"/>
              <w:ind w:left="-105" w:leftChars="-50" w:right="-105" w:rightChars="-50"/>
              <w:jc w:val="center"/>
              <w:rPr>
                <w:rFonts w:cs="Times New Roman"/>
                <w:bCs/>
                <w:lang w:eastAsia="en-US" w:bidi="en-US"/>
              </w:rPr>
            </w:pPr>
          </w:p>
        </w:tc>
        <w:tc>
          <w:tcPr>
            <w:tcW w:w="475" w:type="dxa"/>
            <w:vMerge w:val="continue"/>
            <w:vAlign w:val="center"/>
          </w:tcPr>
          <w:p>
            <w:pPr>
              <w:adjustRightInd w:val="0"/>
              <w:snapToGrid w:val="0"/>
              <w:ind w:left="-105" w:leftChars="-50" w:right="-105" w:rightChars="-50"/>
              <w:jc w:val="center"/>
              <w:rPr>
                <w:rFonts w:cs="Times New Roman"/>
                <w:bCs/>
                <w:lang w:eastAsia="en-US" w:bidi="en-US"/>
              </w:rPr>
            </w:pPr>
          </w:p>
        </w:tc>
        <w:tc>
          <w:tcPr>
            <w:tcW w:w="707" w:type="dxa"/>
            <w:vMerge w:val="continue"/>
            <w:vAlign w:val="center"/>
          </w:tcPr>
          <w:p>
            <w:pPr>
              <w:adjustRightInd w:val="0"/>
              <w:snapToGrid w:val="0"/>
              <w:ind w:left="-105" w:leftChars="-50" w:right="-105" w:rightChars="-50"/>
              <w:jc w:val="center"/>
              <w:rPr>
                <w:rFonts w:cs="Times New Roman"/>
                <w:bCs/>
                <w:lang w:eastAsia="en-US" w:bidi="en-US"/>
              </w:rPr>
            </w:pPr>
          </w:p>
        </w:tc>
        <w:tc>
          <w:tcPr>
            <w:tcW w:w="942"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气候大区</w:t>
            </w:r>
          </w:p>
          <w:p>
            <w:pPr>
              <w:adjustRightInd w:val="0"/>
              <w:snapToGrid w:val="0"/>
              <w:ind w:left="-105" w:leftChars="-50" w:right="-105" w:rightChars="-50"/>
              <w:jc w:val="center"/>
              <w:rPr>
                <w:rFonts w:cs="Times New Roman"/>
                <w:bCs/>
                <w:lang w:bidi="en-US"/>
              </w:rPr>
            </w:pPr>
            <w:r>
              <w:rPr>
                <w:rFonts w:hAnsi="宋体" w:cs="Times New Roman"/>
                <w:bCs/>
                <w:lang w:bidi="en-US"/>
              </w:rPr>
              <w:t>干湿程度</w:t>
            </w:r>
          </w:p>
        </w:tc>
        <w:tc>
          <w:tcPr>
            <w:tcW w:w="707"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修正值</w:t>
            </w:r>
          </w:p>
        </w:tc>
        <w:tc>
          <w:tcPr>
            <w:tcW w:w="942"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侵蚀强度</w:t>
            </w:r>
          </w:p>
        </w:tc>
        <w:tc>
          <w:tcPr>
            <w:tcW w:w="1117"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修正值</w:t>
            </w:r>
          </w:p>
        </w:tc>
        <w:tc>
          <w:tcPr>
            <w:tcW w:w="942"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项目地形</w:t>
            </w:r>
          </w:p>
        </w:tc>
        <w:tc>
          <w:tcPr>
            <w:tcW w:w="707"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修正值</w:t>
            </w:r>
          </w:p>
        </w:tc>
        <w:tc>
          <w:tcPr>
            <w:tcW w:w="1338"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项目</w:t>
            </w:r>
          </w:p>
          <w:p>
            <w:pPr>
              <w:adjustRightInd w:val="0"/>
              <w:snapToGrid w:val="0"/>
              <w:ind w:left="-105" w:leftChars="-50" w:right="-105" w:rightChars="-50"/>
              <w:jc w:val="center"/>
              <w:rPr>
                <w:rFonts w:cs="Times New Roman"/>
                <w:bCs/>
                <w:lang w:bidi="en-US"/>
              </w:rPr>
            </w:pPr>
            <w:r>
              <w:rPr>
                <w:rFonts w:hAnsi="宋体" w:cs="Times New Roman"/>
                <w:bCs/>
                <w:lang w:bidi="en-US"/>
              </w:rPr>
              <w:t>位置</w:t>
            </w:r>
          </w:p>
        </w:tc>
        <w:tc>
          <w:tcPr>
            <w:tcW w:w="1006"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修正值</w:t>
            </w:r>
          </w:p>
        </w:tc>
        <w:tc>
          <w:tcPr>
            <w:tcW w:w="1410"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项目</w:t>
            </w:r>
          </w:p>
          <w:p>
            <w:pPr>
              <w:adjustRightInd w:val="0"/>
              <w:snapToGrid w:val="0"/>
              <w:ind w:left="-105" w:leftChars="-50" w:right="-105" w:rightChars="-50"/>
              <w:jc w:val="center"/>
              <w:rPr>
                <w:rFonts w:cs="Times New Roman"/>
                <w:bCs/>
                <w:lang w:bidi="en-US"/>
              </w:rPr>
            </w:pPr>
            <w:r>
              <w:rPr>
                <w:rFonts w:hAnsi="宋体" w:cs="Times New Roman"/>
                <w:bCs/>
                <w:lang w:bidi="en-US"/>
              </w:rPr>
              <w:t>位置</w:t>
            </w:r>
          </w:p>
        </w:tc>
        <w:tc>
          <w:tcPr>
            <w:tcW w:w="708"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修正值</w:t>
            </w:r>
          </w:p>
        </w:tc>
        <w:tc>
          <w:tcPr>
            <w:tcW w:w="299" w:type="dxa"/>
            <w:vMerge w:val="continue"/>
            <w:vAlign w:val="center"/>
          </w:tcPr>
          <w:p>
            <w:pPr>
              <w:adjustRightInd w:val="0"/>
              <w:snapToGrid w:val="0"/>
              <w:ind w:left="-105" w:leftChars="-50" w:right="-105" w:rightChars="-50"/>
              <w:jc w:val="center"/>
              <w:rPr>
                <w:rFonts w:cs="Times New Roman"/>
                <w:bCs/>
                <w:lang w:eastAsia="en-US"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1</w:t>
            </w:r>
          </w:p>
        </w:tc>
        <w:tc>
          <w:tcPr>
            <w:tcW w:w="1881" w:type="dxa"/>
            <w:gridSpan w:val="2"/>
            <w:vAlign w:val="center"/>
          </w:tcPr>
          <w:p>
            <w:pPr>
              <w:adjustRightInd w:val="0"/>
              <w:snapToGrid w:val="0"/>
              <w:ind w:left="-105" w:leftChars="-50" w:right="-105" w:rightChars="-50"/>
              <w:jc w:val="center"/>
              <w:rPr>
                <w:rFonts w:cs="Times New Roman"/>
                <w:bCs/>
                <w:lang w:bidi="en-US"/>
              </w:rPr>
            </w:pPr>
            <w:r>
              <w:rPr>
                <w:rFonts w:hAnsi="宋体" w:cs="Times New Roman"/>
                <w:bCs/>
                <w:lang w:eastAsia="en-US" w:bidi="en-US"/>
              </w:rPr>
              <w:t>水土流失</w:t>
            </w:r>
          </w:p>
          <w:p>
            <w:pPr>
              <w:adjustRightInd w:val="0"/>
              <w:snapToGrid w:val="0"/>
              <w:ind w:left="-105" w:leftChars="-50" w:right="-105" w:rightChars="-50"/>
              <w:jc w:val="center"/>
              <w:rPr>
                <w:rFonts w:cs="Times New Roman"/>
                <w:bCs/>
                <w:lang w:bidi="en-US"/>
              </w:rPr>
            </w:pPr>
            <w:r>
              <w:rPr>
                <w:rFonts w:hAnsi="宋体" w:cs="Times New Roman"/>
                <w:bCs/>
                <w:lang w:eastAsia="en-US" w:bidi="en-US"/>
              </w:rPr>
              <w:t>治理度</w:t>
            </w:r>
          </w:p>
        </w:tc>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98</w:t>
            </w:r>
          </w:p>
        </w:tc>
        <w:tc>
          <w:tcPr>
            <w:tcW w:w="942"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湿润</w:t>
            </w:r>
          </w:p>
        </w:tc>
        <w:tc>
          <w:tcPr>
            <w:tcW w:w="707" w:type="dxa"/>
            <w:vAlign w:val="center"/>
          </w:tcPr>
          <w:p>
            <w:pPr>
              <w:adjustRightInd w:val="0"/>
              <w:snapToGrid w:val="0"/>
              <w:ind w:left="-105" w:leftChars="-50" w:right="-105" w:rightChars="-50"/>
              <w:jc w:val="center"/>
              <w:rPr>
                <w:rFonts w:cs="Times New Roman"/>
                <w:bCs/>
                <w:lang w:eastAsia="en-US" w:bidi="en-US"/>
              </w:rPr>
            </w:pPr>
            <w:r>
              <w:rPr>
                <w:rFonts w:hAnsi="宋体" w:cs="Times New Roman"/>
                <w:bCs/>
                <w:lang w:bidi="en-US"/>
              </w:rPr>
              <w:t>不修正</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117" w:type="dxa"/>
            <w:vAlign w:val="center"/>
          </w:tcPr>
          <w:p>
            <w:pPr>
              <w:adjustRightInd w:val="0"/>
              <w:snapToGrid w:val="0"/>
              <w:ind w:left="-105" w:leftChars="-50" w:right="-105" w:rightChars="-50"/>
              <w:jc w:val="center"/>
              <w:rPr>
                <w:rFonts w:cs="Times New Roman"/>
                <w:bCs/>
                <w:lang w:bidi="en-US"/>
              </w:rPr>
            </w:pPr>
            <w:r>
              <w:rPr>
                <w:rFonts w:cs="Times New Roman"/>
                <w:bCs/>
                <w:lang w:eastAsia="en-US" w:bidi="en-US"/>
              </w:rPr>
              <w:t>-</w:t>
            </w:r>
          </w:p>
        </w:tc>
        <w:tc>
          <w:tcPr>
            <w:tcW w:w="942"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338"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1006"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410"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8"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299"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2</w:t>
            </w:r>
          </w:p>
        </w:tc>
        <w:tc>
          <w:tcPr>
            <w:tcW w:w="1881" w:type="dxa"/>
            <w:gridSpan w:val="2"/>
            <w:vAlign w:val="center"/>
          </w:tcPr>
          <w:p>
            <w:pPr>
              <w:adjustRightInd w:val="0"/>
              <w:snapToGrid w:val="0"/>
              <w:ind w:left="-105" w:leftChars="-50" w:right="-105" w:rightChars="-50"/>
              <w:jc w:val="center"/>
              <w:rPr>
                <w:rFonts w:cs="Times New Roman"/>
                <w:bCs/>
                <w:lang w:bidi="en-US"/>
              </w:rPr>
            </w:pPr>
            <w:r>
              <w:rPr>
                <w:rFonts w:hAnsi="宋体" w:cs="Times New Roman"/>
                <w:bCs/>
                <w:lang w:eastAsia="en-US" w:bidi="en-US"/>
              </w:rPr>
              <w:t>土壤流失</w:t>
            </w:r>
          </w:p>
          <w:p>
            <w:pPr>
              <w:adjustRightInd w:val="0"/>
              <w:snapToGrid w:val="0"/>
              <w:ind w:left="-105" w:leftChars="-50" w:right="-105" w:rightChars="-50"/>
              <w:jc w:val="center"/>
              <w:rPr>
                <w:rFonts w:cs="Times New Roman"/>
                <w:bCs/>
                <w:lang w:bidi="en-US"/>
              </w:rPr>
            </w:pPr>
            <w:r>
              <w:rPr>
                <w:rFonts w:hAnsi="宋体" w:cs="Times New Roman"/>
                <w:bCs/>
                <w:lang w:eastAsia="en-US" w:bidi="en-US"/>
              </w:rPr>
              <w:t>控制比</w:t>
            </w:r>
          </w:p>
        </w:tc>
        <w:tc>
          <w:tcPr>
            <w:tcW w:w="475"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0.90</w:t>
            </w:r>
          </w:p>
        </w:tc>
        <w:tc>
          <w:tcPr>
            <w:tcW w:w="942"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eastAsia="en-US"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轻度</w:t>
            </w:r>
          </w:p>
        </w:tc>
        <w:tc>
          <w:tcPr>
            <w:tcW w:w="1117"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不应小于</w:t>
            </w:r>
            <w:r>
              <w:rPr>
                <w:rFonts w:cs="Times New Roman"/>
                <w:bCs/>
                <w:lang w:bidi="en-US"/>
              </w:rPr>
              <w:t>1</w:t>
            </w:r>
          </w:p>
        </w:tc>
        <w:tc>
          <w:tcPr>
            <w:tcW w:w="942"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338"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1006"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410"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8"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299" w:type="dxa"/>
            <w:vAlign w:val="center"/>
          </w:tcPr>
          <w:p>
            <w:pPr>
              <w:adjustRightInd w:val="0"/>
              <w:snapToGrid w:val="0"/>
              <w:ind w:left="-105" w:leftChars="-50" w:right="-105" w:rightChars="-50"/>
              <w:jc w:val="center"/>
              <w:rPr>
                <w:rFonts w:cs="Times New Roman"/>
                <w:bCs/>
                <w:lang w:bidi="en-US"/>
              </w:rPr>
            </w:pPr>
            <w:r>
              <w:rPr>
                <w:rFonts w:cs="Times New Roman"/>
                <w:bCs/>
                <w:lang w:bidi="en-US"/>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Merge w:val="restart"/>
            <w:vAlign w:val="center"/>
          </w:tcPr>
          <w:p>
            <w:pPr>
              <w:adjustRightInd w:val="0"/>
              <w:snapToGrid w:val="0"/>
              <w:ind w:left="-105" w:leftChars="-50" w:right="-105" w:rightChars="-50"/>
              <w:jc w:val="center"/>
              <w:rPr>
                <w:rFonts w:cs="Times New Roman"/>
                <w:bCs/>
                <w:lang w:bidi="en-US"/>
              </w:rPr>
            </w:pPr>
            <w:r>
              <w:rPr>
                <w:rFonts w:cs="Times New Roman"/>
                <w:bCs/>
                <w:lang w:bidi="en-US"/>
              </w:rPr>
              <w:t>3</w:t>
            </w:r>
          </w:p>
        </w:tc>
        <w:tc>
          <w:tcPr>
            <w:tcW w:w="707" w:type="dxa"/>
            <w:vMerge w:val="restart"/>
            <w:vAlign w:val="center"/>
          </w:tcPr>
          <w:p>
            <w:pPr>
              <w:adjustRightInd w:val="0"/>
              <w:snapToGrid w:val="0"/>
              <w:ind w:left="-105" w:leftChars="-50" w:right="-105" w:rightChars="-50"/>
              <w:jc w:val="center"/>
              <w:rPr>
                <w:rFonts w:cs="Times New Roman"/>
                <w:bCs/>
                <w:lang w:bidi="en-US"/>
              </w:rPr>
            </w:pPr>
            <w:r>
              <w:rPr>
                <w:rFonts w:hAnsi="宋体" w:cs="Times New Roman"/>
                <w:bCs/>
                <w:lang w:bidi="en-US"/>
              </w:rPr>
              <w:t>渣土</w:t>
            </w:r>
          </w:p>
          <w:p>
            <w:pPr>
              <w:adjustRightInd w:val="0"/>
              <w:snapToGrid w:val="0"/>
              <w:ind w:left="-105" w:leftChars="-50" w:right="-105" w:rightChars="-50"/>
              <w:jc w:val="center"/>
              <w:rPr>
                <w:rFonts w:cs="Times New Roman"/>
                <w:bCs/>
                <w:lang w:bidi="en-US"/>
              </w:rPr>
            </w:pPr>
            <w:r>
              <w:rPr>
                <w:rFonts w:hAnsi="宋体" w:cs="Times New Roman"/>
                <w:bCs/>
                <w:lang w:bidi="en-US"/>
              </w:rPr>
              <w:t>防护</w:t>
            </w:r>
            <w:r>
              <w:rPr>
                <w:rFonts w:hAnsi="宋体" w:cs="Times New Roman"/>
                <w:bCs/>
                <w:lang w:eastAsia="en-US" w:bidi="en-US"/>
              </w:rPr>
              <w:t>率</w:t>
            </w:r>
          </w:p>
        </w:tc>
        <w:tc>
          <w:tcPr>
            <w:tcW w:w="1174" w:type="dxa"/>
            <w:vAlign w:val="center"/>
          </w:tcPr>
          <w:p>
            <w:pPr>
              <w:adjustRightInd w:val="0"/>
              <w:snapToGrid w:val="0"/>
              <w:ind w:left="-105" w:leftChars="-50" w:right="-105" w:rightChars="-50"/>
              <w:jc w:val="center"/>
              <w:rPr>
                <w:rFonts w:cs="Times New Roman"/>
                <w:bCs/>
                <w:lang w:eastAsia="en-US" w:bidi="en-US"/>
              </w:rPr>
            </w:pPr>
            <w:r>
              <w:rPr>
                <w:rFonts w:hAnsi="宋体" w:cs="Times New Roman"/>
                <w:bCs/>
                <w:lang w:eastAsia="en-US" w:bidi="en-US"/>
              </w:rPr>
              <w:t>施工期</w:t>
            </w:r>
          </w:p>
        </w:tc>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95</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eastAsia="en-US" w:bidi="en-US"/>
              </w:rPr>
              <w:t>-</w:t>
            </w:r>
          </w:p>
        </w:tc>
        <w:tc>
          <w:tcPr>
            <w:tcW w:w="111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942" w:type="dxa"/>
            <w:vMerge w:val="restart"/>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中低山</w:t>
            </w:r>
          </w:p>
        </w:tc>
        <w:tc>
          <w:tcPr>
            <w:tcW w:w="707" w:type="dxa"/>
            <w:vMerge w:val="restart"/>
            <w:vAlign w:val="center"/>
          </w:tcPr>
          <w:p>
            <w:pPr>
              <w:adjustRightInd w:val="0"/>
              <w:snapToGrid w:val="0"/>
              <w:ind w:left="-105" w:leftChars="-50" w:right="-105" w:rightChars="-50"/>
              <w:jc w:val="center"/>
              <w:rPr>
                <w:rFonts w:cs="Times New Roman"/>
                <w:bCs/>
                <w:lang w:eastAsia="en-US" w:bidi="en-US"/>
              </w:rPr>
            </w:pPr>
            <w:r>
              <w:rPr>
                <w:rFonts w:hAnsi="宋体" w:cs="Times New Roman"/>
                <w:bCs/>
                <w:lang w:bidi="en-US"/>
              </w:rPr>
              <w:t>不修正</w:t>
            </w:r>
          </w:p>
        </w:tc>
        <w:tc>
          <w:tcPr>
            <w:tcW w:w="1338" w:type="dxa"/>
            <w:vMerge w:val="restart"/>
            <w:vAlign w:val="center"/>
          </w:tcPr>
          <w:p>
            <w:pPr>
              <w:adjustRightInd w:val="0"/>
              <w:snapToGrid w:val="0"/>
              <w:ind w:left="-105" w:leftChars="-50" w:right="-105" w:rightChars="-50"/>
              <w:jc w:val="center"/>
              <w:rPr>
                <w:rFonts w:cs="Times New Roman"/>
                <w:bCs/>
                <w:lang w:bidi="en-US"/>
              </w:rPr>
            </w:pPr>
            <w:r>
              <w:rPr>
                <w:rFonts w:hAnsi="宋体" w:cs="Times New Roman"/>
                <w:bCs/>
                <w:lang w:bidi="en-US"/>
              </w:rPr>
              <w:t>非城市区</w:t>
            </w:r>
          </w:p>
        </w:tc>
        <w:tc>
          <w:tcPr>
            <w:tcW w:w="1006" w:type="dxa"/>
            <w:vMerge w:val="restart"/>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不修正</w:t>
            </w:r>
          </w:p>
        </w:tc>
        <w:tc>
          <w:tcPr>
            <w:tcW w:w="1410"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8"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299" w:type="dxa"/>
            <w:vAlign w:val="center"/>
          </w:tcPr>
          <w:p>
            <w:pPr>
              <w:adjustRightInd w:val="0"/>
              <w:snapToGrid w:val="0"/>
              <w:ind w:left="-105" w:leftChars="-50" w:right="-105" w:rightChars="-50"/>
              <w:jc w:val="center"/>
              <w:rPr>
                <w:rFonts w:cs="Times New Roman"/>
                <w:bCs/>
                <w:lang w:bidi="en-US"/>
              </w:rPr>
            </w:pPr>
            <w:r>
              <w:rPr>
                <w:rFonts w:cs="Times New Roman"/>
                <w:bCs/>
                <w:lang w:bidi="en-US"/>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Merge w:val="continue"/>
            <w:vAlign w:val="center"/>
          </w:tcPr>
          <w:p>
            <w:pPr>
              <w:adjustRightInd w:val="0"/>
              <w:snapToGrid w:val="0"/>
              <w:ind w:left="-105" w:leftChars="-50" w:right="-105" w:rightChars="-50"/>
              <w:jc w:val="center"/>
              <w:rPr>
                <w:rFonts w:cs="Times New Roman"/>
                <w:bCs/>
                <w:lang w:eastAsia="en-US" w:bidi="en-US"/>
              </w:rPr>
            </w:pPr>
          </w:p>
        </w:tc>
        <w:tc>
          <w:tcPr>
            <w:tcW w:w="707" w:type="dxa"/>
            <w:vMerge w:val="continue"/>
            <w:vAlign w:val="center"/>
          </w:tcPr>
          <w:p>
            <w:pPr>
              <w:adjustRightInd w:val="0"/>
              <w:snapToGrid w:val="0"/>
              <w:ind w:left="-105" w:leftChars="-50" w:right="-105" w:rightChars="-50"/>
              <w:jc w:val="center"/>
              <w:rPr>
                <w:rFonts w:cs="Times New Roman"/>
                <w:bCs/>
                <w:lang w:eastAsia="en-US" w:bidi="en-US"/>
              </w:rPr>
            </w:pPr>
          </w:p>
        </w:tc>
        <w:tc>
          <w:tcPr>
            <w:tcW w:w="1174"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设计水平年</w:t>
            </w:r>
          </w:p>
        </w:tc>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eastAsia="en-US" w:bidi="en-US"/>
              </w:rPr>
              <w:t>9</w:t>
            </w:r>
            <w:r>
              <w:rPr>
                <w:rFonts w:cs="Times New Roman"/>
                <w:bCs/>
                <w:lang w:bidi="en-US"/>
              </w:rPr>
              <w:t>7</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11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942" w:type="dxa"/>
            <w:vMerge w:val="continue"/>
            <w:vAlign w:val="center"/>
          </w:tcPr>
          <w:p>
            <w:pPr>
              <w:adjustRightInd w:val="0"/>
              <w:snapToGrid w:val="0"/>
              <w:ind w:left="-105" w:leftChars="-50" w:right="-105" w:rightChars="-50"/>
              <w:jc w:val="center"/>
              <w:rPr>
                <w:rFonts w:cs="Times New Roman"/>
                <w:bCs/>
                <w:lang w:bidi="en-US"/>
              </w:rPr>
            </w:pPr>
          </w:p>
        </w:tc>
        <w:tc>
          <w:tcPr>
            <w:tcW w:w="707" w:type="dxa"/>
            <w:vMerge w:val="continue"/>
            <w:vAlign w:val="center"/>
          </w:tcPr>
          <w:p>
            <w:pPr>
              <w:adjustRightInd w:val="0"/>
              <w:snapToGrid w:val="0"/>
              <w:ind w:left="-105" w:leftChars="-50" w:right="-105" w:rightChars="-50"/>
              <w:jc w:val="center"/>
              <w:rPr>
                <w:rFonts w:cs="Times New Roman"/>
                <w:bCs/>
                <w:lang w:eastAsia="en-US" w:bidi="en-US"/>
              </w:rPr>
            </w:pPr>
          </w:p>
        </w:tc>
        <w:tc>
          <w:tcPr>
            <w:tcW w:w="1338" w:type="dxa"/>
            <w:vMerge w:val="continue"/>
            <w:vAlign w:val="center"/>
          </w:tcPr>
          <w:p>
            <w:pPr>
              <w:adjustRightInd w:val="0"/>
              <w:snapToGrid w:val="0"/>
              <w:ind w:left="-105" w:leftChars="-50" w:right="-105" w:rightChars="-50"/>
              <w:jc w:val="center"/>
              <w:rPr>
                <w:rFonts w:cs="Times New Roman"/>
                <w:bCs/>
                <w:lang w:eastAsia="en-US" w:bidi="en-US"/>
              </w:rPr>
            </w:pPr>
          </w:p>
        </w:tc>
        <w:tc>
          <w:tcPr>
            <w:tcW w:w="1006" w:type="dxa"/>
            <w:vMerge w:val="continue"/>
            <w:vAlign w:val="center"/>
          </w:tcPr>
          <w:p>
            <w:pPr>
              <w:adjustRightInd w:val="0"/>
              <w:snapToGrid w:val="0"/>
              <w:ind w:left="-105" w:leftChars="-50" w:right="-105" w:rightChars="-50"/>
              <w:jc w:val="center"/>
              <w:rPr>
                <w:rFonts w:cs="Times New Roman"/>
                <w:bCs/>
                <w:lang w:bidi="en-US"/>
              </w:rPr>
            </w:pPr>
          </w:p>
        </w:tc>
        <w:tc>
          <w:tcPr>
            <w:tcW w:w="1410"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8"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299" w:type="dxa"/>
            <w:vAlign w:val="center"/>
          </w:tcPr>
          <w:p>
            <w:pPr>
              <w:adjustRightInd w:val="0"/>
              <w:snapToGrid w:val="0"/>
              <w:ind w:left="-105" w:leftChars="-50" w:right="-105" w:rightChars="-50"/>
              <w:jc w:val="center"/>
              <w:rPr>
                <w:rFonts w:cs="Times New Roman"/>
                <w:bCs/>
                <w:lang w:bidi="en-US"/>
              </w:rPr>
            </w:pPr>
            <w:r>
              <w:rPr>
                <w:rFonts w:cs="Times New Roman"/>
                <w:bCs/>
                <w:lang w:eastAsia="en-US" w:bidi="en-US"/>
              </w:rPr>
              <w:t>9</w:t>
            </w:r>
            <w:r>
              <w:rPr>
                <w:rFonts w:cs="Times New Roman"/>
                <w:bCs/>
                <w:lang w:bidi="en-US"/>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Merge w:val="restart"/>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4</w:t>
            </w:r>
          </w:p>
        </w:tc>
        <w:tc>
          <w:tcPr>
            <w:tcW w:w="707" w:type="dxa"/>
            <w:vMerge w:val="restart"/>
            <w:vAlign w:val="center"/>
          </w:tcPr>
          <w:p>
            <w:pPr>
              <w:adjustRightInd w:val="0"/>
              <w:snapToGrid w:val="0"/>
              <w:ind w:left="-105" w:leftChars="-50" w:right="-105" w:rightChars="-50"/>
              <w:jc w:val="center"/>
              <w:rPr>
                <w:rFonts w:cs="Times New Roman"/>
                <w:bCs/>
                <w:lang w:bidi="en-US"/>
              </w:rPr>
            </w:pPr>
            <w:r>
              <w:rPr>
                <w:rFonts w:hAnsi="宋体" w:cs="Times New Roman"/>
                <w:bCs/>
                <w:lang w:bidi="en-US"/>
              </w:rPr>
              <w:t>表土</w:t>
            </w:r>
          </w:p>
          <w:p>
            <w:pPr>
              <w:adjustRightInd w:val="0"/>
              <w:snapToGrid w:val="0"/>
              <w:ind w:left="-105" w:leftChars="-50" w:right="-105" w:rightChars="-50"/>
              <w:jc w:val="center"/>
              <w:rPr>
                <w:rFonts w:cs="Times New Roman"/>
                <w:bCs/>
                <w:lang w:bidi="en-US"/>
              </w:rPr>
            </w:pPr>
            <w:r>
              <w:rPr>
                <w:rFonts w:hAnsi="宋体" w:cs="Times New Roman"/>
                <w:bCs/>
                <w:lang w:bidi="en-US"/>
              </w:rPr>
              <w:t>保护率</w:t>
            </w:r>
          </w:p>
        </w:tc>
        <w:tc>
          <w:tcPr>
            <w:tcW w:w="1174" w:type="dxa"/>
            <w:vAlign w:val="center"/>
          </w:tcPr>
          <w:p>
            <w:pPr>
              <w:adjustRightInd w:val="0"/>
              <w:snapToGrid w:val="0"/>
              <w:ind w:left="-105" w:leftChars="-50" w:right="-105" w:rightChars="-50"/>
              <w:jc w:val="center"/>
              <w:rPr>
                <w:rFonts w:cs="Times New Roman"/>
                <w:bCs/>
                <w:lang w:eastAsia="en-US" w:bidi="en-US"/>
              </w:rPr>
            </w:pPr>
            <w:r>
              <w:rPr>
                <w:rFonts w:hAnsi="宋体" w:cs="Times New Roman"/>
                <w:bCs/>
                <w:lang w:eastAsia="en-US" w:bidi="en-US"/>
              </w:rPr>
              <w:t>施工期</w:t>
            </w:r>
          </w:p>
        </w:tc>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92</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11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1338"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1006"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410"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8"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299" w:type="dxa"/>
            <w:vAlign w:val="center"/>
          </w:tcPr>
          <w:p>
            <w:pPr>
              <w:adjustRightInd w:val="0"/>
              <w:snapToGrid w:val="0"/>
              <w:ind w:left="-105" w:leftChars="-50" w:right="-105" w:rightChars="-50"/>
              <w:jc w:val="center"/>
              <w:rPr>
                <w:rFonts w:cs="Times New Roman"/>
                <w:bCs/>
                <w:lang w:bidi="en-US"/>
              </w:rPr>
            </w:pPr>
            <w:r>
              <w:rPr>
                <w:rFonts w:cs="Times New Roman"/>
                <w:bCs/>
                <w:lang w:bidi="en-US"/>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Merge w:val="continue"/>
            <w:vAlign w:val="center"/>
          </w:tcPr>
          <w:p>
            <w:pPr>
              <w:adjustRightInd w:val="0"/>
              <w:snapToGrid w:val="0"/>
              <w:ind w:left="-105" w:leftChars="-50" w:right="-105" w:rightChars="-50"/>
              <w:jc w:val="center"/>
              <w:rPr>
                <w:rFonts w:cs="Times New Roman"/>
                <w:bCs/>
                <w:lang w:eastAsia="en-US" w:bidi="en-US"/>
              </w:rPr>
            </w:pPr>
          </w:p>
        </w:tc>
        <w:tc>
          <w:tcPr>
            <w:tcW w:w="707" w:type="dxa"/>
            <w:vMerge w:val="continue"/>
            <w:vAlign w:val="center"/>
          </w:tcPr>
          <w:p>
            <w:pPr>
              <w:adjustRightInd w:val="0"/>
              <w:snapToGrid w:val="0"/>
              <w:ind w:left="-105" w:leftChars="-50" w:right="-105" w:rightChars="-50"/>
              <w:jc w:val="center"/>
              <w:rPr>
                <w:rFonts w:cs="Times New Roman"/>
                <w:bCs/>
                <w:lang w:bidi="en-US"/>
              </w:rPr>
            </w:pPr>
          </w:p>
        </w:tc>
        <w:tc>
          <w:tcPr>
            <w:tcW w:w="1174" w:type="dxa"/>
            <w:vAlign w:val="center"/>
          </w:tcPr>
          <w:p>
            <w:pPr>
              <w:adjustRightInd w:val="0"/>
              <w:snapToGrid w:val="0"/>
              <w:ind w:left="-105" w:leftChars="-50" w:right="-105" w:rightChars="-50"/>
              <w:jc w:val="center"/>
              <w:rPr>
                <w:rFonts w:cs="Times New Roman"/>
                <w:bCs/>
                <w:lang w:eastAsia="en-US" w:bidi="en-US"/>
              </w:rPr>
            </w:pPr>
            <w:r>
              <w:rPr>
                <w:rFonts w:hAnsi="宋体" w:cs="Times New Roman"/>
                <w:bCs/>
                <w:lang w:bidi="en-US"/>
              </w:rPr>
              <w:t>设计水平年</w:t>
            </w:r>
          </w:p>
        </w:tc>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92</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11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1338"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1006"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410"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8"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299" w:type="dxa"/>
            <w:vAlign w:val="center"/>
          </w:tcPr>
          <w:p>
            <w:pPr>
              <w:adjustRightInd w:val="0"/>
              <w:snapToGrid w:val="0"/>
              <w:ind w:left="-105" w:leftChars="-50" w:right="-105" w:rightChars="-50"/>
              <w:jc w:val="center"/>
              <w:rPr>
                <w:rFonts w:cs="Times New Roman"/>
                <w:bCs/>
                <w:lang w:bidi="en-US"/>
              </w:rPr>
            </w:pPr>
            <w:r>
              <w:rPr>
                <w:rFonts w:cs="Times New Roman"/>
                <w:bCs/>
                <w:lang w:bidi="en-US"/>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5</w:t>
            </w:r>
          </w:p>
        </w:tc>
        <w:tc>
          <w:tcPr>
            <w:tcW w:w="1881" w:type="dxa"/>
            <w:gridSpan w:val="2"/>
            <w:vAlign w:val="center"/>
          </w:tcPr>
          <w:p>
            <w:pPr>
              <w:adjustRightInd w:val="0"/>
              <w:snapToGrid w:val="0"/>
              <w:ind w:left="-105" w:leftChars="-50" w:right="-105" w:rightChars="-50"/>
              <w:jc w:val="center"/>
              <w:rPr>
                <w:rFonts w:cs="Times New Roman"/>
                <w:bCs/>
                <w:lang w:bidi="en-US"/>
              </w:rPr>
            </w:pPr>
            <w:r>
              <w:rPr>
                <w:rFonts w:hAnsi="宋体" w:cs="Times New Roman"/>
                <w:bCs/>
                <w:lang w:eastAsia="en-US" w:bidi="en-US"/>
              </w:rPr>
              <w:t>林草植被</w:t>
            </w:r>
          </w:p>
          <w:p>
            <w:pPr>
              <w:adjustRightInd w:val="0"/>
              <w:snapToGrid w:val="0"/>
              <w:ind w:left="-105" w:leftChars="-50" w:right="-105" w:rightChars="-50"/>
              <w:jc w:val="center"/>
              <w:rPr>
                <w:rFonts w:cs="Times New Roman"/>
                <w:bCs/>
                <w:lang w:bidi="en-US"/>
              </w:rPr>
            </w:pPr>
            <w:r>
              <w:rPr>
                <w:rFonts w:hAnsi="宋体" w:cs="Times New Roman"/>
                <w:bCs/>
                <w:lang w:eastAsia="en-US" w:bidi="en-US"/>
              </w:rPr>
              <w:t>恢复率</w:t>
            </w:r>
          </w:p>
        </w:tc>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98</w:t>
            </w:r>
          </w:p>
        </w:tc>
        <w:tc>
          <w:tcPr>
            <w:tcW w:w="942" w:type="dxa"/>
            <w:vAlign w:val="center"/>
          </w:tcPr>
          <w:p>
            <w:pPr>
              <w:adjustRightInd w:val="0"/>
              <w:snapToGrid w:val="0"/>
              <w:ind w:left="-105" w:leftChars="-50" w:right="-105" w:rightChars="-50"/>
              <w:jc w:val="center"/>
              <w:rPr>
                <w:rFonts w:cs="Times New Roman"/>
                <w:bCs/>
                <w:lang w:eastAsia="en-US" w:bidi="en-US"/>
              </w:rPr>
            </w:pPr>
            <w:r>
              <w:rPr>
                <w:rFonts w:hAnsi="宋体" w:cs="Times New Roman"/>
                <w:bCs/>
                <w:lang w:bidi="en-US"/>
              </w:rPr>
              <w:t>湿润</w:t>
            </w:r>
          </w:p>
        </w:tc>
        <w:tc>
          <w:tcPr>
            <w:tcW w:w="707"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不修正</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11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338"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1006"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410" w:type="dxa"/>
            <w:vAlign w:val="center"/>
          </w:tcPr>
          <w:p>
            <w:pPr>
              <w:adjustRightInd w:val="0"/>
              <w:snapToGrid w:val="0"/>
              <w:ind w:left="-105" w:leftChars="-50" w:right="-105" w:rightChars="-50"/>
              <w:jc w:val="center"/>
              <w:rPr>
                <w:rFonts w:cs="Times New Roman"/>
                <w:bCs/>
                <w:lang w:eastAsia="en-US" w:bidi="en-US"/>
              </w:rPr>
            </w:pPr>
            <w:r>
              <w:rPr>
                <w:rFonts w:cs="Times New Roman"/>
                <w:bCs/>
                <w:lang w:bidi="en-US"/>
              </w:rPr>
              <w:t>-</w:t>
            </w:r>
          </w:p>
        </w:tc>
        <w:tc>
          <w:tcPr>
            <w:tcW w:w="708"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299" w:type="dxa"/>
            <w:vAlign w:val="center"/>
          </w:tcPr>
          <w:p>
            <w:pPr>
              <w:adjustRightInd w:val="0"/>
              <w:snapToGrid w:val="0"/>
              <w:ind w:left="-105" w:leftChars="-50" w:right="-105" w:rightChars="-50"/>
              <w:jc w:val="center"/>
              <w:rPr>
                <w:rFonts w:cs="Times New Roman"/>
                <w:bCs/>
                <w:lang w:bidi="en-US"/>
              </w:rPr>
            </w:pPr>
            <w:r>
              <w:rPr>
                <w:rFonts w:cs="Times New Roman"/>
                <w:bCs/>
                <w:lang w:bidi="en-US"/>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6</w:t>
            </w:r>
          </w:p>
        </w:tc>
        <w:tc>
          <w:tcPr>
            <w:tcW w:w="1881" w:type="dxa"/>
            <w:gridSpan w:val="2"/>
            <w:vAlign w:val="center"/>
          </w:tcPr>
          <w:p>
            <w:pPr>
              <w:adjustRightInd w:val="0"/>
              <w:snapToGrid w:val="0"/>
              <w:ind w:left="-105" w:leftChars="-50" w:right="-105" w:rightChars="-50"/>
              <w:jc w:val="center"/>
              <w:rPr>
                <w:rFonts w:cs="Times New Roman"/>
                <w:bCs/>
                <w:lang w:bidi="en-US"/>
              </w:rPr>
            </w:pPr>
            <w:r>
              <w:rPr>
                <w:rFonts w:hAnsi="宋体" w:cs="Times New Roman"/>
                <w:bCs/>
                <w:lang w:eastAsia="en-US" w:bidi="en-US"/>
              </w:rPr>
              <w:t>林草覆盖率</w:t>
            </w:r>
          </w:p>
        </w:tc>
        <w:tc>
          <w:tcPr>
            <w:tcW w:w="475" w:type="dxa"/>
            <w:vAlign w:val="center"/>
          </w:tcPr>
          <w:p>
            <w:pPr>
              <w:adjustRightInd w:val="0"/>
              <w:snapToGrid w:val="0"/>
              <w:ind w:left="-105" w:leftChars="-50" w:right="-105" w:rightChars="-50"/>
              <w:jc w:val="center"/>
              <w:rPr>
                <w:rFonts w:cs="Times New Roman"/>
                <w:bCs/>
                <w:lang w:eastAsia="en-US" w:bidi="en-US"/>
              </w:rPr>
            </w:pPr>
            <w:r>
              <w:rPr>
                <w:rFonts w:cs="Times New Roman"/>
                <w:bCs/>
                <w:lang w:eastAsia="en-US"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25</w:t>
            </w:r>
          </w:p>
        </w:tc>
        <w:tc>
          <w:tcPr>
            <w:tcW w:w="942" w:type="dxa"/>
            <w:vAlign w:val="center"/>
          </w:tcPr>
          <w:p>
            <w:pPr>
              <w:adjustRightInd w:val="0"/>
              <w:snapToGrid w:val="0"/>
              <w:ind w:left="-105" w:leftChars="-50" w:right="-105" w:rightChars="-50"/>
              <w:jc w:val="center"/>
              <w:rPr>
                <w:rFonts w:cs="Times New Roman"/>
                <w:bCs/>
                <w:lang w:eastAsia="en-US" w:bidi="en-US"/>
              </w:rPr>
            </w:pPr>
            <w:r>
              <w:rPr>
                <w:rFonts w:hAnsi="宋体" w:cs="Times New Roman"/>
                <w:bCs/>
                <w:lang w:bidi="en-US"/>
              </w:rPr>
              <w:t>湿润</w:t>
            </w:r>
          </w:p>
        </w:tc>
        <w:tc>
          <w:tcPr>
            <w:tcW w:w="707"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不修正</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11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942"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707" w:type="dxa"/>
            <w:vAlign w:val="center"/>
          </w:tcPr>
          <w:p>
            <w:pPr>
              <w:adjustRightInd w:val="0"/>
              <w:snapToGrid w:val="0"/>
              <w:ind w:left="-105" w:leftChars="-50" w:right="-105" w:rightChars="-50"/>
              <w:jc w:val="center"/>
              <w:rPr>
                <w:rFonts w:cs="Times New Roman"/>
                <w:bCs/>
                <w:lang w:bidi="en-US"/>
              </w:rPr>
            </w:pPr>
            <w:r>
              <w:rPr>
                <w:rFonts w:cs="Times New Roman"/>
                <w:bCs/>
                <w:lang w:bidi="en-US"/>
              </w:rPr>
              <w:t>-</w:t>
            </w:r>
          </w:p>
        </w:tc>
        <w:tc>
          <w:tcPr>
            <w:tcW w:w="1338"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非城市区</w:t>
            </w:r>
          </w:p>
        </w:tc>
        <w:tc>
          <w:tcPr>
            <w:tcW w:w="1006"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不修正</w:t>
            </w:r>
          </w:p>
        </w:tc>
        <w:tc>
          <w:tcPr>
            <w:tcW w:w="1410" w:type="dxa"/>
            <w:vAlign w:val="center"/>
          </w:tcPr>
          <w:p>
            <w:pPr>
              <w:adjustRightInd w:val="0"/>
              <w:snapToGrid w:val="0"/>
              <w:ind w:left="-105" w:leftChars="-50" w:right="-105" w:rightChars="-50"/>
              <w:jc w:val="center"/>
              <w:rPr>
                <w:rFonts w:cs="Times New Roman"/>
                <w:bCs/>
                <w:lang w:bidi="en-US"/>
              </w:rPr>
            </w:pPr>
            <w:r>
              <w:rPr>
                <w:rFonts w:hAnsi="宋体" w:cs="Times New Roman"/>
                <w:bCs/>
                <w:lang w:bidi="en-US"/>
              </w:rPr>
              <w:t>无法避让省区</w:t>
            </w:r>
          </w:p>
        </w:tc>
        <w:tc>
          <w:tcPr>
            <w:tcW w:w="708" w:type="dxa"/>
            <w:vAlign w:val="center"/>
          </w:tcPr>
          <w:p>
            <w:pPr>
              <w:adjustRightInd w:val="0"/>
              <w:snapToGrid w:val="0"/>
              <w:ind w:left="-105" w:leftChars="-50" w:right="-105" w:rightChars="-50"/>
              <w:jc w:val="center"/>
              <w:rPr>
                <w:rFonts w:cs="Times New Roman"/>
                <w:bCs/>
                <w:lang w:bidi="en-US"/>
              </w:rPr>
            </w:pPr>
            <w:r>
              <w:rPr>
                <w:rFonts w:cs="Times New Roman"/>
                <w:bCs/>
                <w:lang w:bidi="en-US"/>
              </w:rPr>
              <w:t>+2</w:t>
            </w:r>
          </w:p>
        </w:tc>
        <w:tc>
          <w:tcPr>
            <w:tcW w:w="299" w:type="dxa"/>
            <w:vAlign w:val="center"/>
          </w:tcPr>
          <w:p>
            <w:pPr>
              <w:adjustRightInd w:val="0"/>
              <w:snapToGrid w:val="0"/>
              <w:ind w:left="-105" w:leftChars="-50" w:right="-105" w:rightChars="-50"/>
              <w:jc w:val="center"/>
              <w:rPr>
                <w:rFonts w:cs="Times New Roman"/>
                <w:bCs/>
                <w:lang w:bidi="en-US"/>
              </w:rPr>
            </w:pPr>
            <w:r>
              <w:rPr>
                <w:rFonts w:cs="Times New Roman"/>
                <w:bCs/>
                <w:lang w:bidi="en-US"/>
              </w:rPr>
              <w:t>27</w:t>
            </w:r>
          </w:p>
        </w:tc>
      </w:tr>
    </w:tbl>
    <w:p>
      <w:pPr>
        <w:rPr>
          <w:rFonts w:ascii="Tahoma" w:hAnsi="Tahoma" w:cs="Tahoma"/>
          <w:sz w:val="24"/>
          <w:szCs w:val="24"/>
          <w:lang w:val="zh-CN"/>
        </w:rPr>
      </w:pPr>
    </w:p>
    <w:p>
      <w:pPr>
        <w:rPr>
          <w:rFonts w:ascii="Tahoma" w:hAnsi="Tahoma" w:cs="Tahoma"/>
          <w:sz w:val="24"/>
          <w:szCs w:val="24"/>
          <w:lang w:val="zh-CN"/>
        </w:rPr>
        <w:sectPr>
          <w:footerReference r:id="rId22" w:type="default"/>
          <w:pgSz w:w="16838" w:h="11906" w:orient="landscape"/>
          <w:pgMar w:top="1565" w:right="1588" w:bottom="1565" w:left="1531" w:header="1134" w:footer="1247" w:gutter="0"/>
          <w:cols w:space="720" w:num="1"/>
          <w:docGrid w:linePitch="312" w:charSpace="0"/>
        </w:sectPr>
      </w:pPr>
    </w:p>
    <w:p>
      <w:pPr>
        <w:pStyle w:val="2"/>
        <w:rPr>
          <w:lang w:val="en-US"/>
        </w:rPr>
      </w:pPr>
      <w:bookmarkStart w:id="331" w:name="_Toc90934890"/>
      <w:r>
        <w:t>9  移民生产生活水平预测</w:t>
      </w:r>
      <w:bookmarkEnd w:id="320"/>
      <w:bookmarkEnd w:id="321"/>
      <w:bookmarkEnd w:id="322"/>
      <w:bookmarkEnd w:id="323"/>
      <w:bookmarkEnd w:id="324"/>
      <w:bookmarkEnd w:id="331"/>
    </w:p>
    <w:p>
      <w:pPr>
        <w:overflowPunct w:val="0"/>
        <w:autoSpaceDE w:val="0"/>
        <w:autoSpaceDN w:val="0"/>
        <w:adjustRightInd w:val="0"/>
        <w:snapToGrid w:val="0"/>
        <w:spacing w:line="480" w:lineRule="exact"/>
        <w:ind w:firstLine="480" w:firstLineChars="200"/>
        <w:rPr>
          <w:sz w:val="24"/>
        </w:rPr>
      </w:pPr>
      <w:r>
        <w:rPr>
          <w:rFonts w:hAnsi="宋体"/>
          <w:sz w:val="24"/>
        </w:rPr>
        <w:t>农村移民生产生活水平评价预测包括现状评价和预测评价两方面的内容。现状评价是指对农村移民现状的生产状况、生活水平进行分析评价；预测评价是指在进行农村移民生产安置和搬迁安置规划后，通过分析和预测，分析农村移民在安置后的生产生活水平指标变化情况，预测移民生产生活水平恢复与提高程度，反映移民安置规划的效果能否让移民达到和超过原有的生产生活水平。</w:t>
      </w:r>
    </w:p>
    <w:p>
      <w:pPr>
        <w:pStyle w:val="3"/>
      </w:pPr>
      <w:bookmarkStart w:id="332" w:name="_Toc90934891"/>
      <w:bookmarkStart w:id="333" w:name="_Toc85487763"/>
      <w:bookmarkStart w:id="334" w:name="_Toc13341"/>
      <w:bookmarkStart w:id="335" w:name="_Toc85660300"/>
      <w:bookmarkStart w:id="336" w:name="_Toc86265100"/>
      <w:bookmarkStart w:id="337" w:name="_Toc24278"/>
      <w:r>
        <w:t>9.1  指标体系</w:t>
      </w:r>
      <w:bookmarkEnd w:id="332"/>
      <w:bookmarkEnd w:id="333"/>
      <w:bookmarkEnd w:id="334"/>
      <w:bookmarkEnd w:id="335"/>
      <w:bookmarkEnd w:id="336"/>
      <w:bookmarkEnd w:id="337"/>
    </w:p>
    <w:p>
      <w:pPr>
        <w:pStyle w:val="183"/>
        <w:adjustRightInd w:val="0"/>
        <w:snapToGrid w:val="0"/>
        <w:spacing w:line="480" w:lineRule="exact"/>
        <w:ind w:firstLine="480" w:firstLineChars="200"/>
      </w:pPr>
      <w:r>
        <w:rPr>
          <w:rFonts w:hAnsi="宋体"/>
        </w:rPr>
        <w:t>生产生活水平评价指标体系是一个多因素、多准则的复杂系统，涉及家庭经济、生产条件、生活质量及环境状况等多个方面，各个因素所反映生产生活水平的角度是不同的，对生产生活综合水平的重要性也不同。</w:t>
      </w:r>
    </w:p>
    <w:p>
      <w:pPr>
        <w:pStyle w:val="183"/>
        <w:adjustRightInd w:val="0"/>
        <w:snapToGrid w:val="0"/>
        <w:spacing w:line="480" w:lineRule="exact"/>
        <w:ind w:firstLine="480" w:firstLineChars="200"/>
      </w:pPr>
      <w:r>
        <w:rPr>
          <w:rFonts w:hAnsi="宋体"/>
        </w:rPr>
        <w:t>鉴于本工程移民的生产安置方式为一次性货币补偿安置，对照移民安置规划目标及标准，在进行生产生活水平预测评价时，应根据移民投资收益、安置区基础设施条件变化、二三产业就业机会增加等几个方面，对农村移民人均可支配收入、居住地基础设施条件两个主要指标进行分析，作为移民安置后生产生活水平预测评价的依据。</w:t>
      </w:r>
    </w:p>
    <w:p>
      <w:pPr>
        <w:pStyle w:val="3"/>
      </w:pPr>
      <w:bookmarkStart w:id="338" w:name="_Toc85487764"/>
      <w:bookmarkStart w:id="339" w:name="_Toc26874"/>
      <w:bookmarkStart w:id="340" w:name="_Toc85660301"/>
      <w:bookmarkStart w:id="341" w:name="_Toc2405"/>
      <w:bookmarkStart w:id="342" w:name="_Toc90934892"/>
      <w:bookmarkStart w:id="343" w:name="_Toc86265101"/>
      <w:r>
        <w:t>9.2  现状评价</w:t>
      </w:r>
      <w:bookmarkEnd w:id="338"/>
      <w:bookmarkEnd w:id="339"/>
      <w:bookmarkEnd w:id="340"/>
      <w:bookmarkEnd w:id="341"/>
      <w:bookmarkEnd w:id="342"/>
      <w:bookmarkEnd w:id="343"/>
    </w:p>
    <w:p>
      <w:pPr>
        <w:pStyle w:val="4"/>
      </w:pPr>
      <w:bookmarkStart w:id="344" w:name="_Toc85487765"/>
      <w:bookmarkStart w:id="345" w:name="_Toc85632534"/>
      <w:bookmarkStart w:id="346" w:name="_Toc85660302"/>
      <w:r>
        <w:t>9.2.1  移民收入水平现状</w:t>
      </w:r>
      <w:bookmarkEnd w:id="344"/>
      <w:bookmarkEnd w:id="345"/>
      <w:bookmarkEnd w:id="346"/>
    </w:p>
    <w:p>
      <w:pPr>
        <w:adjustRightInd w:val="0"/>
        <w:spacing w:line="480" w:lineRule="exact"/>
        <w:ind w:firstLine="480" w:firstLineChars="200"/>
        <w:rPr>
          <w:sz w:val="24"/>
        </w:rPr>
      </w:pPr>
      <w:bookmarkStart w:id="347" w:name="_Toc85487766"/>
      <w:bookmarkStart w:id="348" w:name="_Toc85632535"/>
      <w:bookmarkStart w:id="349" w:name="_Toc85660303"/>
      <w:r>
        <w:rPr>
          <w:rFonts w:hint="eastAsia" w:hAnsi="宋体"/>
          <w:sz w:val="24"/>
        </w:rPr>
        <w:t>以陆河县近三年农村居民人均可支配收入</w:t>
      </w:r>
      <w:r>
        <w:rPr>
          <w:rFonts w:hAnsi="宋体"/>
          <w:sz w:val="24"/>
        </w:rPr>
        <w:t>为基础，结合</w:t>
      </w:r>
      <w:r>
        <w:rPr>
          <w:rFonts w:hint="eastAsia" w:hAnsi="宋体"/>
          <w:sz w:val="24"/>
        </w:rPr>
        <w:t>陆河</w:t>
      </w:r>
      <w:r>
        <w:rPr>
          <w:rFonts w:hAnsi="宋体"/>
          <w:sz w:val="24"/>
        </w:rPr>
        <w:t>抽水蓄能电站建设征地区的实际情况进行分析计算。分析采用的基础数据为</w:t>
      </w:r>
      <w:r>
        <w:rPr>
          <w:rFonts w:hint="eastAsia"/>
          <w:sz w:val="24"/>
        </w:rPr>
        <w:t>陆河县</w:t>
      </w:r>
      <w:r>
        <w:rPr>
          <w:rFonts w:hAnsi="宋体"/>
          <w:sz w:val="24"/>
        </w:rPr>
        <w:t>统计</w:t>
      </w:r>
      <w:r>
        <w:rPr>
          <w:rFonts w:hint="eastAsia" w:hAnsi="宋体"/>
          <w:sz w:val="24"/>
        </w:rPr>
        <w:t>数据</w:t>
      </w:r>
      <w:r>
        <w:rPr>
          <w:rFonts w:hAnsi="宋体"/>
          <w:sz w:val="24"/>
        </w:rPr>
        <w:t>。</w:t>
      </w:r>
    </w:p>
    <w:p>
      <w:pPr>
        <w:adjustRightInd w:val="0"/>
        <w:spacing w:line="480" w:lineRule="exact"/>
        <w:ind w:firstLine="480" w:firstLineChars="200"/>
        <w:rPr>
          <w:sz w:val="24"/>
        </w:rPr>
      </w:pPr>
      <w:r>
        <w:rPr>
          <w:rFonts w:hAnsi="宋体"/>
          <w:sz w:val="24"/>
        </w:rPr>
        <w:t>农村移民的总收入</w:t>
      </w:r>
      <w:r>
        <w:rPr>
          <w:rFonts w:hint="eastAsia" w:hAnsi="宋体"/>
          <w:sz w:val="24"/>
        </w:rPr>
        <w:t>包括农业收入、林业收入、牧业收入、渔业收入、工业和建筑业收入、运输商业饮食等收入、在外打工收入、服务业收入、其他收入</w:t>
      </w:r>
      <w:r>
        <w:rPr>
          <w:rFonts w:hAnsi="宋体"/>
          <w:sz w:val="24"/>
        </w:rPr>
        <w:t>。</w:t>
      </w:r>
    </w:p>
    <w:p>
      <w:pPr>
        <w:adjustRightInd w:val="0"/>
        <w:spacing w:line="480" w:lineRule="exact"/>
        <w:ind w:firstLine="480" w:firstLineChars="200"/>
        <w:rPr>
          <w:sz w:val="24"/>
        </w:rPr>
      </w:pPr>
      <w:r>
        <w:rPr>
          <w:rFonts w:hAnsi="宋体"/>
          <w:sz w:val="24"/>
        </w:rPr>
        <w:t>农村移民的总支出分为生活消费支出、生产经营费用支出、财产性支出、转移性支出、部分商业保险支出、购置资产及非经常性转移支出和借贷性支出</w:t>
      </w:r>
      <w:r>
        <w:rPr>
          <w:sz w:val="24"/>
        </w:rPr>
        <w:t>8</w:t>
      </w:r>
      <w:r>
        <w:rPr>
          <w:rFonts w:hAnsi="宋体"/>
          <w:sz w:val="24"/>
        </w:rPr>
        <w:t>部分。其中生活消费支出分为食品、衣着、居住、家庭设备、用品及服务、医疗保健、交通通讯、文教娱乐用品及服务、其他商品和服务支出。</w:t>
      </w:r>
    </w:p>
    <w:p>
      <w:pPr>
        <w:adjustRightInd w:val="0"/>
        <w:spacing w:line="480" w:lineRule="exact"/>
        <w:ind w:firstLine="480" w:firstLineChars="200"/>
        <w:rPr>
          <w:sz w:val="24"/>
        </w:rPr>
      </w:pPr>
      <w:r>
        <w:rPr>
          <w:rFonts w:hAnsi="宋体"/>
          <w:sz w:val="24"/>
        </w:rPr>
        <w:t>农民人均可支配收入为总收入扣除相应支出部分的结果，根据</w:t>
      </w:r>
      <w:r>
        <w:rPr>
          <w:rFonts w:hint="eastAsia" w:hAnsi="宋体"/>
          <w:sz w:val="24"/>
        </w:rPr>
        <w:t>陆河县近三年统计年鉴</w:t>
      </w:r>
      <w:r>
        <w:rPr>
          <w:rFonts w:hAnsi="宋体"/>
          <w:sz w:val="24"/>
        </w:rPr>
        <w:t>，</w:t>
      </w:r>
      <w:r>
        <w:rPr>
          <w:rFonts w:hint="eastAsia" w:hAnsi="宋体"/>
          <w:sz w:val="24"/>
        </w:rPr>
        <w:t>陆河县</w:t>
      </w:r>
      <w:r>
        <w:rPr>
          <w:sz w:val="24"/>
        </w:rPr>
        <w:t>2018</w:t>
      </w:r>
      <w:r>
        <w:rPr>
          <w:rFonts w:hint="eastAsia"/>
          <w:sz w:val="24"/>
        </w:rPr>
        <w:t>年</w:t>
      </w:r>
      <w:r>
        <w:rPr>
          <w:rFonts w:hAnsi="宋体"/>
          <w:sz w:val="24"/>
        </w:rPr>
        <w:t>至</w:t>
      </w:r>
      <w:r>
        <w:rPr>
          <w:sz w:val="24"/>
        </w:rPr>
        <w:t>2020</w:t>
      </w:r>
      <w:r>
        <w:rPr>
          <w:rFonts w:hAnsi="宋体"/>
          <w:sz w:val="24"/>
        </w:rPr>
        <w:t>年</w:t>
      </w:r>
      <w:r>
        <w:rPr>
          <w:rFonts w:hint="eastAsia" w:hAnsi="宋体"/>
          <w:sz w:val="24"/>
        </w:rPr>
        <w:t>农村居民</w:t>
      </w:r>
      <w:r>
        <w:rPr>
          <w:rFonts w:hAnsi="宋体"/>
          <w:sz w:val="24"/>
        </w:rPr>
        <w:t>人均可支配收入分别为</w:t>
      </w:r>
      <w:r>
        <w:rPr>
          <w:rFonts w:hint="eastAsia"/>
          <w:sz w:val="24"/>
        </w:rPr>
        <w:t>11530元、12681元、13848元</w:t>
      </w:r>
      <w:r>
        <w:rPr>
          <w:rFonts w:hAnsi="宋体"/>
          <w:sz w:val="24"/>
        </w:rPr>
        <w:t>。在人均收入构成中</w:t>
      </w:r>
      <w:r>
        <w:rPr>
          <w:rFonts w:hint="eastAsia" w:hAnsi="宋体"/>
          <w:sz w:val="24"/>
        </w:rPr>
        <w:t>，农业收入平均占比为14.73%，其他类型的收入总和平均占比为85.27%</w:t>
      </w:r>
      <w:r>
        <w:rPr>
          <w:rFonts w:hAnsi="宋体"/>
          <w:sz w:val="24"/>
        </w:rPr>
        <w:t>。</w:t>
      </w:r>
    </w:p>
    <w:p>
      <w:pPr>
        <w:pStyle w:val="4"/>
      </w:pPr>
      <w:r>
        <w:t>9.2.2  生活水平现状</w:t>
      </w:r>
      <w:bookmarkEnd w:id="347"/>
      <w:bookmarkEnd w:id="348"/>
      <w:bookmarkEnd w:id="349"/>
    </w:p>
    <w:p>
      <w:pPr>
        <w:overflowPunct w:val="0"/>
        <w:autoSpaceDE w:val="0"/>
        <w:autoSpaceDN w:val="0"/>
        <w:adjustRightInd w:val="0"/>
        <w:snapToGrid w:val="0"/>
        <w:spacing w:line="480" w:lineRule="exact"/>
        <w:ind w:firstLine="480" w:firstLineChars="200"/>
        <w:rPr>
          <w:rFonts w:hAnsi="宋体"/>
          <w:sz w:val="24"/>
          <w:szCs w:val="24"/>
        </w:rPr>
      </w:pPr>
      <w:r>
        <w:rPr>
          <w:rFonts w:hAnsi="宋体"/>
          <w:sz w:val="24"/>
          <w:szCs w:val="24"/>
        </w:rPr>
        <w:t>建设征地区综合交通条件较好，建设征地影响的村均有通村公路，交通条件便利，建设征地影响的村基本上均有已硬化的通村公路。</w:t>
      </w:r>
    </w:p>
    <w:p>
      <w:pPr>
        <w:overflowPunct w:val="0"/>
        <w:autoSpaceDE w:val="0"/>
        <w:autoSpaceDN w:val="0"/>
        <w:adjustRightInd w:val="0"/>
        <w:snapToGrid w:val="0"/>
        <w:spacing w:line="480" w:lineRule="exact"/>
        <w:ind w:firstLine="480" w:firstLineChars="200"/>
        <w:rPr>
          <w:rFonts w:hAnsi="宋体"/>
          <w:sz w:val="24"/>
          <w:szCs w:val="24"/>
        </w:rPr>
      </w:pPr>
      <w:r>
        <w:rPr>
          <w:rFonts w:hint="eastAsia" w:hAnsi="宋体"/>
          <w:sz w:val="24"/>
          <w:szCs w:val="24"/>
        </w:rPr>
        <w:t>激石溪全部村民于</w:t>
      </w:r>
      <w:r>
        <w:rPr>
          <w:rFonts w:hAnsi="宋体"/>
          <w:sz w:val="24"/>
          <w:szCs w:val="24"/>
        </w:rPr>
        <w:t>10</w:t>
      </w:r>
      <w:r>
        <w:rPr>
          <w:rFonts w:hint="eastAsia" w:hAnsi="宋体"/>
          <w:sz w:val="24"/>
          <w:szCs w:val="24"/>
        </w:rPr>
        <w:t>年前集中搬迁至新田镇居住，且村内大部分房屋已于</w:t>
      </w:r>
      <w:r>
        <w:rPr>
          <w:rFonts w:hAnsi="宋体"/>
          <w:sz w:val="24"/>
          <w:szCs w:val="24"/>
        </w:rPr>
        <w:t>2019</w:t>
      </w:r>
      <w:r>
        <w:rPr>
          <w:rFonts w:hint="eastAsia" w:hAnsi="宋体"/>
          <w:sz w:val="24"/>
          <w:szCs w:val="24"/>
        </w:rPr>
        <w:t>年农村改造时拆除，剩余本工程建设征地范围内的零星房屋均无常驻村民，仅作为生产性房屋，不涉及搬迁人口。村民在新田镇就医、上学方便，文教卫等设施齐全，居住条件优于建设中地区。</w:t>
      </w:r>
    </w:p>
    <w:p>
      <w:pPr>
        <w:pStyle w:val="3"/>
      </w:pPr>
      <w:bookmarkStart w:id="350" w:name="_Toc86265102"/>
      <w:bookmarkStart w:id="351" w:name="_Toc31846"/>
      <w:bookmarkStart w:id="352" w:name="_Toc85487767"/>
      <w:bookmarkStart w:id="353" w:name="_Toc90934893"/>
      <w:bookmarkStart w:id="354" w:name="_Toc20442"/>
      <w:bookmarkStart w:id="355" w:name="_Toc85660304"/>
      <w:r>
        <w:t>9.3  预测分析</w:t>
      </w:r>
    </w:p>
    <w:p>
      <w:pPr>
        <w:pStyle w:val="4"/>
      </w:pPr>
      <w:r>
        <w:t xml:space="preserve">9.3.1  </w:t>
      </w:r>
      <w:r>
        <w:rPr>
          <w:rFonts w:hint="eastAsia"/>
        </w:rPr>
        <w:t>一次性货币补偿</w:t>
      </w:r>
      <w:r>
        <w:t>安置移民生活水平预测</w:t>
      </w:r>
    </w:p>
    <w:p>
      <w:pPr>
        <w:pStyle w:val="5"/>
      </w:pPr>
      <w:r>
        <w:t>9.3.1.1  影响分析</w:t>
      </w:r>
    </w:p>
    <w:p>
      <w:pPr>
        <w:overflowPunct w:val="0"/>
        <w:autoSpaceDE w:val="0"/>
        <w:autoSpaceDN w:val="0"/>
        <w:adjustRightInd w:val="0"/>
        <w:snapToGrid w:val="0"/>
        <w:spacing w:line="480" w:lineRule="exact"/>
        <w:ind w:firstLine="480" w:firstLineChars="200"/>
        <w:rPr>
          <w:sz w:val="24"/>
        </w:rPr>
      </w:pPr>
      <w:r>
        <w:rPr>
          <w:rFonts w:hAnsi="宋体"/>
          <w:sz w:val="24"/>
        </w:rPr>
        <w:t>现状农民人均纯收入的构成中，因建设征地直接影响的移民收入部分为与耕地相关的部分农业纯收入。</w:t>
      </w:r>
    </w:p>
    <w:p>
      <w:pPr>
        <w:pStyle w:val="5"/>
      </w:pPr>
      <w:r>
        <w:t>9.3.1.2  从安置项目中获得的纯收入</w:t>
      </w:r>
    </w:p>
    <w:p>
      <w:pPr>
        <w:overflowPunct w:val="0"/>
        <w:autoSpaceDE w:val="0"/>
        <w:autoSpaceDN w:val="0"/>
        <w:adjustRightInd w:val="0"/>
        <w:snapToGrid w:val="0"/>
        <w:spacing w:line="480" w:lineRule="exact"/>
        <w:ind w:firstLine="480" w:firstLineChars="200"/>
        <w:rPr>
          <w:sz w:val="24"/>
        </w:rPr>
      </w:pPr>
      <w:r>
        <w:rPr>
          <w:rFonts w:hint="eastAsia" w:hAnsi="宋体"/>
          <w:sz w:val="24"/>
        </w:rPr>
        <w:t>由“5</w:t>
      </w:r>
      <w:r>
        <w:rPr>
          <w:rFonts w:hAnsi="宋体"/>
          <w:sz w:val="24"/>
        </w:rPr>
        <w:t>.2.1.1</w:t>
      </w:r>
      <w:r>
        <w:rPr>
          <w:rFonts w:hint="eastAsia" w:hAnsi="宋体"/>
          <w:sz w:val="24"/>
        </w:rPr>
        <w:t>”章节，至规划水平年2</w:t>
      </w:r>
      <w:r>
        <w:rPr>
          <w:rFonts w:hAnsi="宋体"/>
          <w:sz w:val="24"/>
        </w:rPr>
        <w:t>024</w:t>
      </w:r>
      <w:r>
        <w:rPr>
          <w:rFonts w:hint="eastAsia" w:hAnsi="宋体"/>
          <w:sz w:val="24"/>
        </w:rPr>
        <w:t>年，建设征地范围内居民在不受征地影响的情况下，移民应从耕地中获取的纯收入为2657元/</w:t>
      </w:r>
      <w:r>
        <w:rPr>
          <w:rFonts w:hAnsi="宋体"/>
          <w:sz w:val="24"/>
        </w:rPr>
        <w:t>(</w:t>
      </w:r>
      <w:r>
        <w:rPr>
          <w:rFonts w:hint="eastAsia" w:hAnsi="宋体"/>
          <w:sz w:val="24"/>
        </w:rPr>
        <w:t>人</w:t>
      </w:r>
      <w:r>
        <w:rPr>
          <w:rFonts w:hint="eastAsia"/>
          <w:sz w:val="24"/>
        </w:rPr>
        <w:t>·</w:t>
      </w:r>
      <w:r>
        <w:rPr>
          <w:rFonts w:hint="eastAsia" w:hAnsi="宋体"/>
          <w:sz w:val="24"/>
        </w:rPr>
        <w:t>年</w:t>
      </w:r>
      <w:r>
        <w:rPr>
          <w:rFonts w:hAnsi="宋体"/>
          <w:sz w:val="24"/>
        </w:rPr>
        <w:t>)</w:t>
      </w:r>
      <w:r>
        <w:rPr>
          <w:rFonts w:hint="eastAsia" w:hAnsi="宋体"/>
          <w:sz w:val="24"/>
        </w:rPr>
        <w:t>。规划水平年预测人均纯收入为生产安置项目预测收入与不含农业收入部分的目标收入(即人均纯收入目标与农业收入目标的差值</w:t>
      </w:r>
      <w:r>
        <w:rPr>
          <w:rFonts w:hAnsi="宋体"/>
          <w:sz w:val="24"/>
        </w:rPr>
        <w:t>)</w:t>
      </w:r>
      <w:r>
        <w:rPr>
          <w:rFonts w:hint="eastAsia" w:hAnsi="宋体"/>
          <w:sz w:val="24"/>
        </w:rPr>
        <w:t>的总和。</w:t>
      </w:r>
    </w:p>
    <w:p>
      <w:pPr>
        <w:overflowPunct w:val="0"/>
        <w:autoSpaceDE w:val="0"/>
        <w:autoSpaceDN w:val="0"/>
        <w:adjustRightInd w:val="0"/>
        <w:snapToGrid w:val="0"/>
        <w:spacing w:line="480" w:lineRule="exact"/>
        <w:ind w:firstLine="480" w:firstLineChars="200"/>
        <w:rPr>
          <w:rFonts w:hAnsi="宋体"/>
          <w:sz w:val="24"/>
        </w:rPr>
      </w:pPr>
      <w:r>
        <w:rPr>
          <w:rFonts w:hint="eastAsia" w:hAnsi="宋体"/>
          <w:sz w:val="24"/>
        </w:rPr>
        <w:t>对于选择长效实物补偿安置的移民，其生产安置项目收入来源主要为被征收耕园地面积补偿费通过固定投资每年产生的定期收益。激石溪组的生产安置移民人均一次性货币补偿面积为</w:t>
      </w:r>
      <w:r>
        <w:rPr>
          <w:rFonts w:hAnsi="宋体"/>
          <w:sz w:val="24"/>
        </w:rPr>
        <w:t>2.41</w:t>
      </w:r>
      <w:r>
        <w:rPr>
          <w:rFonts w:hint="eastAsia" w:hAnsi="宋体"/>
          <w:sz w:val="24"/>
        </w:rPr>
        <w:t>亩/人，为方便定量计算，暂按定期存款计算征收土地补偿带来的</w:t>
      </w:r>
      <w:bookmarkStart w:id="356" w:name="_Hlk96007957"/>
      <w:r>
        <w:rPr>
          <w:rFonts w:hint="eastAsia" w:hAnsi="宋体"/>
          <w:sz w:val="24"/>
        </w:rPr>
        <w:t>利息净收入</w:t>
      </w:r>
      <w:bookmarkEnd w:id="356"/>
      <w:r>
        <w:rPr>
          <w:rFonts w:hint="eastAsia" w:hAnsi="宋体"/>
          <w:sz w:val="24"/>
        </w:rPr>
        <w:t>，利率为一年定期存款3%。按照上述方式计算，一次性货币补偿安置人均利息净收入为</w:t>
      </w:r>
      <w:r>
        <w:rPr>
          <w:rFonts w:hAnsi="宋体"/>
          <w:sz w:val="24"/>
        </w:rPr>
        <w:t>2943</w:t>
      </w:r>
      <w:r>
        <w:rPr>
          <w:rFonts w:hint="eastAsia" w:hAnsi="宋体"/>
          <w:sz w:val="24"/>
        </w:rPr>
        <w:t>元/</w:t>
      </w:r>
      <w:r>
        <w:rPr>
          <w:rFonts w:hAnsi="宋体"/>
          <w:sz w:val="24"/>
        </w:rPr>
        <w:t>(</w:t>
      </w:r>
      <w:r>
        <w:rPr>
          <w:rFonts w:hint="eastAsia" w:hAnsi="宋体"/>
          <w:sz w:val="24"/>
        </w:rPr>
        <w:t>人·年)，高于移民应从耕地中获取的纯收入目标。</w:t>
      </w:r>
    </w:p>
    <w:p>
      <w:pPr>
        <w:pStyle w:val="5"/>
      </w:pPr>
      <w:r>
        <w:rPr>
          <w:rFonts w:hint="eastAsia" w:hAnsi="宋体"/>
        </w:rPr>
        <w:t>9</w:t>
      </w:r>
      <w:r>
        <w:t>.3.1.3  收入水平预测结论</w:t>
      </w:r>
    </w:p>
    <w:p>
      <w:pPr>
        <w:overflowPunct w:val="0"/>
        <w:autoSpaceDE w:val="0"/>
        <w:autoSpaceDN w:val="0"/>
        <w:adjustRightInd w:val="0"/>
        <w:snapToGrid w:val="0"/>
        <w:spacing w:line="480" w:lineRule="exact"/>
        <w:ind w:firstLine="480" w:firstLineChars="200"/>
        <w:rPr>
          <w:sz w:val="24"/>
        </w:rPr>
      </w:pPr>
      <w:r>
        <w:rPr>
          <w:rFonts w:hAnsi="宋体"/>
          <w:sz w:val="24"/>
        </w:rPr>
        <w:t>根据以上分析计算，选择</w:t>
      </w:r>
      <w:r>
        <w:rPr>
          <w:rFonts w:hint="eastAsia" w:hAnsi="宋体"/>
          <w:sz w:val="24"/>
        </w:rPr>
        <w:t>一次性货币补偿</w:t>
      </w:r>
      <w:r>
        <w:rPr>
          <w:rFonts w:hAnsi="宋体"/>
          <w:sz w:val="24"/>
        </w:rPr>
        <w:t>安置的移民，从生产安置项目中获得的纯收入大于建设征地前从种植业中获得的农业纯收入，规划设计水平年的人均可支配收入也达到了规划目标值，移民达到了原先的收入水平。</w:t>
      </w:r>
    </w:p>
    <w:p>
      <w:pPr>
        <w:overflowPunct w:val="0"/>
        <w:autoSpaceDE w:val="0"/>
        <w:autoSpaceDN w:val="0"/>
        <w:adjustRightInd w:val="0"/>
        <w:snapToGrid w:val="0"/>
        <w:spacing w:line="480" w:lineRule="exact"/>
        <w:ind w:firstLine="480" w:firstLineChars="200"/>
        <w:rPr>
          <w:rFonts w:hAnsi="宋体"/>
          <w:sz w:val="24"/>
        </w:rPr>
      </w:pPr>
      <w:r>
        <w:rPr>
          <w:rFonts w:hAnsi="宋体"/>
          <w:sz w:val="24"/>
        </w:rPr>
        <w:t>根据规划设计成果以及对农村移民安置后生产生活水平的预测，通过移民安置规划的实施，与移民生产生活水平息息相关的各主要指标均能达到和超过规划目标值，较移民搬迁前均有一定程度的提高和改善；随着电站的开工建设，将优化当地的基础设施建设，同时会优先利用当地剩余的劳动力资源，带动二、三产业的快速发展，移民的二、三产业收入随之相应增加，移民的总体人均收入将进一步增加，为移民的生产生活水平再一次提高创造了良好的基本条件。</w:t>
      </w:r>
    </w:p>
    <w:bookmarkEnd w:id="350"/>
    <w:bookmarkEnd w:id="351"/>
    <w:bookmarkEnd w:id="352"/>
    <w:bookmarkEnd w:id="353"/>
    <w:bookmarkEnd w:id="354"/>
    <w:bookmarkEnd w:id="355"/>
    <w:p>
      <w:pPr>
        <w:pStyle w:val="2"/>
        <w:rPr>
          <w:lang w:val="en-US"/>
        </w:rPr>
      </w:pPr>
      <w:bookmarkStart w:id="357" w:name="_Toc85487771"/>
      <w:bookmarkStart w:id="358" w:name="_Toc29018"/>
      <w:bookmarkStart w:id="359" w:name="_Toc6582"/>
      <w:bookmarkStart w:id="360" w:name="_Toc85660308"/>
      <w:bookmarkStart w:id="361" w:name="_Toc86265104"/>
      <w:r>
        <w:br w:type="page"/>
      </w:r>
      <w:bookmarkStart w:id="362" w:name="_Toc90934894"/>
      <w:r>
        <w:t xml:space="preserve">10  </w:t>
      </w:r>
      <w:bookmarkEnd w:id="357"/>
      <w:bookmarkEnd w:id="358"/>
      <w:bookmarkEnd w:id="359"/>
      <w:bookmarkEnd w:id="360"/>
      <w:bookmarkEnd w:id="361"/>
      <w:r>
        <w:rPr>
          <w:rFonts w:hint="eastAsia"/>
          <w:lang w:val="en-US"/>
        </w:rPr>
        <w:t>听取和征求意见</w:t>
      </w:r>
      <w:bookmarkEnd w:id="362"/>
    </w:p>
    <w:p>
      <w:pPr>
        <w:pStyle w:val="3"/>
      </w:pPr>
      <w:bookmarkStart w:id="363" w:name="_Toc86265105"/>
      <w:bookmarkStart w:id="364" w:name="_Toc23063"/>
      <w:bookmarkStart w:id="365" w:name="_Toc85487772"/>
      <w:bookmarkStart w:id="366" w:name="_Toc2694"/>
      <w:bookmarkStart w:id="367" w:name="_Toc85660309"/>
      <w:bookmarkStart w:id="368" w:name="_Toc90934895"/>
      <w:r>
        <w:t>10.1  听取移民及移民安置区居民意见</w:t>
      </w:r>
      <w:bookmarkEnd w:id="363"/>
      <w:bookmarkEnd w:id="364"/>
      <w:bookmarkEnd w:id="365"/>
      <w:bookmarkEnd w:id="366"/>
      <w:bookmarkEnd w:id="367"/>
      <w:bookmarkEnd w:id="368"/>
    </w:p>
    <w:p>
      <w:pPr>
        <w:overflowPunct w:val="0"/>
        <w:autoSpaceDE w:val="0"/>
        <w:autoSpaceDN w:val="0"/>
        <w:adjustRightInd w:val="0"/>
        <w:snapToGrid w:val="0"/>
        <w:spacing w:line="480" w:lineRule="exact"/>
        <w:ind w:firstLine="480" w:firstLineChars="200"/>
        <w:rPr>
          <w:sz w:val="24"/>
        </w:rPr>
      </w:pPr>
      <w:r>
        <w:rPr>
          <w:rFonts w:hint="eastAsia" w:hAnsi="宋体"/>
          <w:sz w:val="24"/>
        </w:rPr>
        <w:t>陆河</w:t>
      </w:r>
      <w:r>
        <w:rPr>
          <w:rFonts w:hAnsi="宋体"/>
          <w:sz w:val="24"/>
        </w:rPr>
        <w:t>抽水蓄能电站建设征地移民安置规划大纲的编制，听取移民和安置区居民意见的工作由</w:t>
      </w:r>
      <w:r>
        <w:rPr>
          <w:rFonts w:hint="eastAsia" w:hAnsi="宋体"/>
          <w:sz w:val="24"/>
        </w:rPr>
        <w:t>陆河</w:t>
      </w:r>
      <w:r>
        <w:rPr>
          <w:rFonts w:hAnsi="宋体"/>
          <w:sz w:val="24"/>
        </w:rPr>
        <w:t>县人民政府统一组织实施，县政府会同建设征地涉及乡镇、村、组各基层部门、</w:t>
      </w:r>
      <w:r>
        <w:rPr>
          <w:rFonts w:hint="eastAsia" w:hAnsi="宋体"/>
          <w:sz w:val="24"/>
        </w:rPr>
        <w:t>陆蓄公司</w:t>
      </w:r>
      <w:r>
        <w:rPr>
          <w:rFonts w:hAnsi="宋体"/>
          <w:sz w:val="24"/>
        </w:rPr>
        <w:t>和中南院共同参与完成。</w:t>
      </w:r>
    </w:p>
    <w:p>
      <w:pPr>
        <w:overflowPunct w:val="0"/>
        <w:autoSpaceDE w:val="0"/>
        <w:autoSpaceDN w:val="0"/>
        <w:adjustRightInd w:val="0"/>
        <w:snapToGrid w:val="0"/>
        <w:spacing w:line="480" w:lineRule="exact"/>
        <w:ind w:firstLine="480" w:firstLineChars="200"/>
        <w:rPr>
          <w:sz w:val="24"/>
        </w:rPr>
      </w:pPr>
      <w:r>
        <w:rPr>
          <w:rFonts w:hint="eastAsia" w:hAnsi="宋体"/>
          <w:sz w:val="24"/>
        </w:rPr>
        <w:t>目前，陆河</w:t>
      </w:r>
      <w:r>
        <w:rPr>
          <w:rFonts w:hAnsi="宋体"/>
          <w:sz w:val="24"/>
        </w:rPr>
        <w:t>县人民政府、</w:t>
      </w:r>
      <w:r>
        <w:rPr>
          <w:rFonts w:hint="eastAsia" w:hAnsi="宋体"/>
          <w:sz w:val="24"/>
        </w:rPr>
        <w:t>陆蓄公司</w:t>
      </w:r>
      <w:r>
        <w:rPr>
          <w:rFonts w:hAnsi="宋体"/>
          <w:sz w:val="24"/>
        </w:rPr>
        <w:t>、</w:t>
      </w:r>
      <w:r>
        <w:rPr>
          <w:rFonts w:hint="eastAsia" w:hAnsi="宋体"/>
          <w:sz w:val="24"/>
        </w:rPr>
        <w:t>中南院已基本完成</w:t>
      </w:r>
      <w:r>
        <w:rPr>
          <w:rFonts w:hAnsi="宋体"/>
          <w:sz w:val="24"/>
        </w:rPr>
        <w:t>建设征地移民</w:t>
      </w:r>
      <w:r>
        <w:rPr>
          <w:rFonts w:hint="eastAsia" w:hAnsi="宋体"/>
          <w:sz w:val="24"/>
        </w:rPr>
        <w:t>安置</w:t>
      </w:r>
      <w:r>
        <w:rPr>
          <w:rFonts w:hAnsi="宋体"/>
          <w:sz w:val="24"/>
        </w:rPr>
        <w:t>意愿调查工作。</w:t>
      </w:r>
    </w:p>
    <w:p>
      <w:pPr>
        <w:pStyle w:val="4"/>
      </w:pPr>
      <w:bookmarkStart w:id="369" w:name="_Toc85632542"/>
      <w:bookmarkStart w:id="370" w:name="_Toc85487773"/>
      <w:bookmarkStart w:id="371" w:name="_Toc85660310"/>
      <w:bookmarkStart w:id="372" w:name="_Toc85660314"/>
      <w:bookmarkStart w:id="373" w:name="_Toc19460"/>
      <w:bookmarkStart w:id="374" w:name="_Toc85487777"/>
      <w:bookmarkStart w:id="375" w:name="_Toc12362"/>
      <w:bookmarkStart w:id="376" w:name="_Toc86265107"/>
      <w:r>
        <w:t>10.</w:t>
      </w:r>
      <w:r>
        <w:rPr>
          <w:rFonts w:hint="eastAsia"/>
        </w:rPr>
        <w:t>1</w:t>
      </w:r>
      <w:r>
        <w:t>.1  组织方式</w:t>
      </w:r>
      <w:bookmarkEnd w:id="369"/>
      <w:bookmarkEnd w:id="370"/>
      <w:bookmarkEnd w:id="371"/>
    </w:p>
    <w:p>
      <w:pPr>
        <w:overflowPunct w:val="0"/>
        <w:autoSpaceDE w:val="0"/>
        <w:autoSpaceDN w:val="0"/>
        <w:adjustRightInd w:val="0"/>
        <w:snapToGrid w:val="0"/>
        <w:spacing w:line="480" w:lineRule="exact"/>
        <w:ind w:firstLine="480" w:firstLineChars="200"/>
        <w:rPr>
          <w:sz w:val="24"/>
        </w:rPr>
      </w:pPr>
      <w:r>
        <w:rPr>
          <w:rFonts w:hAnsi="宋体"/>
          <w:sz w:val="24"/>
        </w:rPr>
        <w:t>意见听取的主要组织方式为：</w:t>
      </w:r>
    </w:p>
    <w:p>
      <w:pPr>
        <w:pStyle w:val="183"/>
        <w:numPr>
          <w:ilvl w:val="0"/>
          <w:numId w:val="17"/>
        </w:numPr>
        <w:adjustRightInd w:val="0"/>
        <w:snapToGrid w:val="0"/>
        <w:spacing w:line="480" w:lineRule="exact"/>
        <w:ind w:left="0" w:firstLine="482"/>
      </w:pPr>
      <w:r>
        <w:rPr>
          <w:rFonts w:hAnsi="宋体"/>
        </w:rPr>
        <w:t>由调查组向建设征地涉及的移民进行移民政策宣传，介绍安置方式、安置方案等；</w:t>
      </w:r>
    </w:p>
    <w:p>
      <w:pPr>
        <w:pStyle w:val="183"/>
        <w:numPr>
          <w:ilvl w:val="0"/>
          <w:numId w:val="17"/>
        </w:numPr>
        <w:adjustRightInd w:val="0"/>
        <w:snapToGrid w:val="0"/>
        <w:spacing w:line="480" w:lineRule="exact"/>
        <w:ind w:left="0" w:firstLine="480" w:firstLineChars="200"/>
      </w:pPr>
      <w:r>
        <w:rPr>
          <w:rFonts w:hAnsi="宋体"/>
        </w:rPr>
        <w:t>通过村组干部对移民进行宣传动员，调动广大群众参与移民调查意愿的积极性，让其进一步了解国家相关的移民政策法规和建设征地移民安置报告的编制工作；</w:t>
      </w:r>
    </w:p>
    <w:p>
      <w:pPr>
        <w:pStyle w:val="183"/>
        <w:numPr>
          <w:ilvl w:val="0"/>
          <w:numId w:val="17"/>
        </w:numPr>
        <w:adjustRightInd w:val="0"/>
        <w:snapToGrid w:val="0"/>
        <w:spacing w:line="480" w:lineRule="exact"/>
        <w:ind w:left="0" w:firstLine="480" w:firstLineChars="200"/>
      </w:pPr>
      <w:r>
        <w:rPr>
          <w:rFonts w:hAnsi="宋体"/>
        </w:rPr>
        <w:t>调查组进村开展工作，以户为单位进行安置意愿调查，并听取对建设征地移民安置的意见，同时向建设征地涉及村组及安置地村组发放调查表格；</w:t>
      </w:r>
    </w:p>
    <w:p>
      <w:pPr>
        <w:pStyle w:val="183"/>
        <w:numPr>
          <w:ilvl w:val="0"/>
          <w:numId w:val="17"/>
        </w:numPr>
        <w:adjustRightInd w:val="0"/>
        <w:snapToGrid w:val="0"/>
        <w:spacing w:line="480" w:lineRule="exact"/>
        <w:ind w:left="0" w:firstLine="480" w:firstLineChars="200"/>
      </w:pPr>
      <w:r>
        <w:rPr>
          <w:rFonts w:hAnsi="宋体"/>
        </w:rPr>
        <w:t>调查组对听取的安置意见进行分类汇总；</w:t>
      </w:r>
    </w:p>
    <w:p>
      <w:pPr>
        <w:pStyle w:val="183"/>
        <w:numPr>
          <w:ilvl w:val="0"/>
          <w:numId w:val="17"/>
        </w:numPr>
        <w:adjustRightInd w:val="0"/>
        <w:snapToGrid w:val="0"/>
        <w:spacing w:line="480" w:lineRule="exact"/>
        <w:ind w:left="0" w:firstLine="480" w:firstLineChars="200"/>
      </w:pPr>
      <w:r>
        <w:rPr>
          <w:rFonts w:hAnsi="宋体"/>
        </w:rPr>
        <w:t>对汇总意见进行分析后，对其中移民安置可行且合理的内容及要求，在规划大纲编制中予以体现。</w:t>
      </w:r>
    </w:p>
    <w:p>
      <w:pPr>
        <w:pStyle w:val="4"/>
      </w:pPr>
      <w:bookmarkStart w:id="377" w:name="_Toc85487774"/>
      <w:bookmarkStart w:id="378" w:name="_Toc85632543"/>
      <w:bookmarkStart w:id="379" w:name="_Toc85660311"/>
      <w:r>
        <w:t>10.</w:t>
      </w:r>
      <w:r>
        <w:rPr>
          <w:rFonts w:hint="eastAsia"/>
        </w:rPr>
        <w:t>1</w:t>
      </w:r>
      <w:r>
        <w:t>.2  意愿调查结果</w:t>
      </w:r>
      <w:bookmarkEnd w:id="377"/>
      <w:bookmarkEnd w:id="378"/>
      <w:bookmarkEnd w:id="379"/>
    </w:p>
    <w:p>
      <w:pPr>
        <w:pStyle w:val="584"/>
        <w:widowControl w:val="0"/>
        <w:adjustRightInd w:val="0"/>
        <w:snapToGrid w:val="0"/>
        <w:spacing w:line="480" w:lineRule="exact"/>
        <w:ind w:firstLine="480" w:firstLineChars="200"/>
        <w:jc w:val="both"/>
        <w:rPr>
          <w:szCs w:val="24"/>
        </w:rPr>
      </w:pPr>
      <w:bookmarkStart w:id="380" w:name="_Toc12467"/>
      <w:r>
        <w:rPr>
          <w:rFonts w:hint="eastAsia" w:hAnsi="宋体"/>
        </w:rPr>
        <w:t>陆河</w:t>
      </w:r>
      <w:r>
        <w:rPr>
          <w:rFonts w:hAnsi="宋体"/>
        </w:rPr>
        <w:t>抽水蓄能电站移民生产安置意愿调查采取召开座谈会和逐户发放调查表等形式进行。同时县、乡镇政府对各种安置方式和安置政策以召开村民座谈会的形式向移民进行了解释。2021年1</w:t>
      </w:r>
      <w:r>
        <w:rPr>
          <w:rFonts w:hint="eastAsia" w:hAnsi="宋体"/>
        </w:rPr>
        <w:t>2</w:t>
      </w:r>
      <w:r>
        <w:rPr>
          <w:rFonts w:hAnsi="宋体"/>
        </w:rPr>
        <w:t>月</w:t>
      </w:r>
      <w:r>
        <w:rPr>
          <w:rFonts w:hint="eastAsia" w:hAnsi="宋体"/>
        </w:rPr>
        <w:t>10</w:t>
      </w:r>
      <w:r>
        <w:rPr>
          <w:rFonts w:hAnsi="宋体"/>
        </w:rPr>
        <w:t>日县</w:t>
      </w:r>
      <w:r>
        <w:rPr>
          <w:rFonts w:hint="eastAsia" w:hAnsi="宋体"/>
        </w:rPr>
        <w:t>发改局</w:t>
      </w:r>
      <w:r>
        <w:rPr>
          <w:rFonts w:hAnsi="宋体"/>
        </w:rPr>
        <w:t>会同</w:t>
      </w:r>
      <w:r>
        <w:rPr>
          <w:rFonts w:hint="eastAsia" w:hAnsi="宋体"/>
        </w:rPr>
        <w:t>新田</w:t>
      </w:r>
      <w:r>
        <w:rPr>
          <w:rFonts w:hAnsi="宋体"/>
        </w:rPr>
        <w:t>镇、业主单位、设计院召开移民安置意愿调查工作</w:t>
      </w:r>
      <w:r>
        <w:rPr>
          <w:rFonts w:hint="eastAsia" w:hAnsi="宋体"/>
        </w:rPr>
        <w:t>讨论</w:t>
      </w:r>
      <w:r>
        <w:rPr>
          <w:rFonts w:hAnsi="宋体"/>
        </w:rPr>
        <w:t>会</w:t>
      </w:r>
      <w:r>
        <w:rPr>
          <w:rFonts w:hint="eastAsia" w:hAnsi="宋体"/>
        </w:rPr>
        <w:t>，就生产安置方式和意愿调查工作方式进行了广泛的讨论；</w:t>
      </w:r>
      <w:r>
        <w:rPr>
          <w:rFonts w:hAnsi="宋体"/>
        </w:rPr>
        <w:t>1</w:t>
      </w:r>
      <w:r>
        <w:rPr>
          <w:rFonts w:hint="eastAsia" w:hAnsi="宋体"/>
        </w:rPr>
        <w:t>2</w:t>
      </w:r>
      <w:r>
        <w:rPr>
          <w:rFonts w:hAnsi="宋体"/>
        </w:rPr>
        <w:t>月</w:t>
      </w:r>
      <w:r>
        <w:rPr>
          <w:rFonts w:hint="eastAsia" w:hAnsi="宋体"/>
        </w:rPr>
        <w:t>16</w:t>
      </w:r>
      <w:r>
        <w:rPr>
          <w:rFonts w:hAnsi="宋体"/>
        </w:rPr>
        <w:t>日到</w:t>
      </w:r>
      <w:r>
        <w:rPr>
          <w:rFonts w:hint="eastAsia" w:hAnsi="宋体"/>
        </w:rPr>
        <w:t>激石溪村</w:t>
      </w:r>
      <w:r>
        <w:rPr>
          <w:rFonts w:hAnsi="宋体"/>
        </w:rPr>
        <w:t>组织移民代表开始安置意愿调查，在生产安置意愿调查过程中移民就</w:t>
      </w:r>
      <w:r>
        <w:rPr>
          <w:rFonts w:hint="eastAsia" w:hAnsi="宋体"/>
        </w:rPr>
        <w:t>安置方式、</w:t>
      </w:r>
      <w:r>
        <w:rPr>
          <w:rFonts w:hAnsi="宋体"/>
        </w:rPr>
        <w:t>安置标准等提出相关意见和要求，工作组进行了多次解释工作</w:t>
      </w:r>
      <w:r>
        <w:rPr>
          <w:rFonts w:hint="eastAsia" w:hAnsi="宋体"/>
        </w:rPr>
        <w:t>。</w:t>
      </w:r>
      <w:r>
        <w:rPr>
          <w:rFonts w:hint="eastAsia" w:hAnsi="宋体"/>
          <w:szCs w:val="24"/>
        </w:rPr>
        <w:t>工作组</w:t>
      </w:r>
      <w:r>
        <w:rPr>
          <w:rFonts w:hAnsi="宋体"/>
          <w:szCs w:val="24"/>
        </w:rPr>
        <w:t>向全部生产安置涉及村民小组发放了到组生产安置意愿统计表，由组长到户调查后汇总至组，共发放统计表</w:t>
      </w:r>
      <w:r>
        <w:rPr>
          <w:rFonts w:hint="eastAsia"/>
          <w:szCs w:val="24"/>
        </w:rPr>
        <w:t>80</w:t>
      </w:r>
      <w:r>
        <w:rPr>
          <w:rFonts w:hAnsi="宋体"/>
          <w:szCs w:val="24"/>
        </w:rPr>
        <w:t>份，覆盖率</w:t>
      </w:r>
      <w:r>
        <w:rPr>
          <w:szCs w:val="24"/>
        </w:rPr>
        <w:t>100%</w:t>
      </w:r>
      <w:r>
        <w:rPr>
          <w:rFonts w:hAnsi="宋体"/>
          <w:szCs w:val="24"/>
        </w:rPr>
        <w:t>，收回</w:t>
      </w:r>
      <w:r>
        <w:rPr>
          <w:rFonts w:hint="eastAsia"/>
          <w:szCs w:val="24"/>
        </w:rPr>
        <w:t>80</w:t>
      </w:r>
      <w:r>
        <w:rPr>
          <w:rFonts w:hAnsi="宋体"/>
          <w:szCs w:val="24"/>
        </w:rPr>
        <w:t>份，回收率</w:t>
      </w:r>
      <w:r>
        <w:rPr>
          <w:szCs w:val="24"/>
        </w:rPr>
        <w:t>100%</w:t>
      </w:r>
      <w:r>
        <w:rPr>
          <w:rFonts w:hint="eastAsia"/>
          <w:szCs w:val="24"/>
        </w:rPr>
        <w:t>；有效问卷70份，占87.5%</w:t>
      </w:r>
      <w:r>
        <w:rPr>
          <w:rFonts w:hAnsi="宋体"/>
          <w:szCs w:val="24"/>
        </w:rPr>
        <w:t>。</w:t>
      </w:r>
    </w:p>
    <w:p>
      <w:pPr>
        <w:pStyle w:val="584"/>
        <w:widowControl w:val="0"/>
        <w:adjustRightInd w:val="0"/>
        <w:snapToGrid w:val="0"/>
        <w:spacing w:line="480" w:lineRule="exact"/>
        <w:ind w:firstLine="480" w:firstLineChars="200"/>
        <w:jc w:val="both"/>
        <w:rPr>
          <w:rFonts w:hAnsi="宋体"/>
        </w:rPr>
      </w:pPr>
      <w:r>
        <w:rPr>
          <w:rFonts w:hAnsi="宋体"/>
          <w:szCs w:val="24"/>
        </w:rPr>
        <w:t>根据调查成果分析，</w:t>
      </w:r>
      <w:bookmarkStart w:id="381" w:name="OLE_LINK117"/>
      <w:bookmarkStart w:id="382" w:name="OLE_LINK116"/>
      <w:r>
        <w:rPr>
          <w:rFonts w:hint="eastAsia" w:hAnsi="宋体"/>
          <w:szCs w:val="24"/>
        </w:rPr>
        <w:t>有效问卷中</w:t>
      </w:r>
      <w:bookmarkEnd w:id="381"/>
      <w:bookmarkEnd w:id="382"/>
      <w:r>
        <w:rPr>
          <w:szCs w:val="24"/>
        </w:rPr>
        <w:t>100%</w:t>
      </w:r>
      <w:r>
        <w:rPr>
          <w:rFonts w:hAnsi="宋体"/>
          <w:szCs w:val="24"/>
        </w:rPr>
        <w:t>的移民选择一次性货币补偿安置</w:t>
      </w:r>
      <w:r>
        <w:rPr>
          <w:rFonts w:hint="eastAsia" w:hAnsi="宋体"/>
          <w:szCs w:val="24"/>
        </w:rPr>
        <w:t>。</w:t>
      </w:r>
      <w:bookmarkEnd w:id="380"/>
    </w:p>
    <w:p>
      <w:pPr>
        <w:pStyle w:val="4"/>
      </w:pPr>
      <w:bookmarkStart w:id="383" w:name="_Toc85632544"/>
      <w:bookmarkStart w:id="384" w:name="_Toc85660312"/>
      <w:bookmarkStart w:id="385" w:name="_Toc85487775"/>
      <w:r>
        <w:rPr>
          <w:spacing w:val="4"/>
        </w:rPr>
        <w:t>10</w:t>
      </w:r>
      <w:r>
        <w:t>.</w:t>
      </w:r>
      <w:r>
        <w:rPr>
          <w:rFonts w:hint="eastAsia"/>
        </w:rPr>
        <w:t>1</w:t>
      </w:r>
      <w:r>
        <w:t>.3  效果</w:t>
      </w:r>
      <w:bookmarkEnd w:id="383"/>
      <w:bookmarkEnd w:id="384"/>
      <w:bookmarkEnd w:id="385"/>
    </w:p>
    <w:p>
      <w:pPr>
        <w:overflowPunct w:val="0"/>
        <w:autoSpaceDE w:val="0"/>
        <w:autoSpaceDN w:val="0"/>
        <w:adjustRightInd w:val="0"/>
        <w:snapToGrid w:val="0"/>
        <w:spacing w:line="480" w:lineRule="exact"/>
        <w:ind w:firstLine="480" w:firstLineChars="200"/>
        <w:rPr>
          <w:sz w:val="24"/>
        </w:rPr>
      </w:pPr>
      <w:r>
        <w:rPr>
          <w:rFonts w:hAnsi="宋体"/>
          <w:sz w:val="24"/>
        </w:rPr>
        <w:t>通过征求移民意见，使规划成果更切合实际，具有更强的可操作性，移民和移民安置区居民对国家相关政策法规有了进一步了解，并能对安置方案充分发表自己的意见，为下阶段移民安置实施工作的顺利进行打下坚实的基础，对维护电站建设征地区和安置区的社会稳定将起到积极的推动作用。</w:t>
      </w:r>
    </w:p>
    <w:p>
      <w:pPr>
        <w:pStyle w:val="3"/>
      </w:pPr>
      <w:bookmarkStart w:id="386" w:name="_Toc90934897"/>
      <w:bookmarkStart w:id="387" w:name="_Toc8207"/>
      <w:bookmarkStart w:id="388" w:name="_Toc10844"/>
      <w:r>
        <w:t>10.</w:t>
      </w:r>
      <w:r>
        <w:rPr>
          <w:rFonts w:hint="eastAsia"/>
        </w:rPr>
        <w:t>2</w:t>
      </w:r>
      <w:r>
        <w:t xml:space="preserve">  征求地方政府意见</w:t>
      </w:r>
      <w:bookmarkEnd w:id="386"/>
      <w:bookmarkEnd w:id="387"/>
      <w:bookmarkEnd w:id="388"/>
    </w:p>
    <w:p>
      <w:pPr>
        <w:overflowPunct w:val="0"/>
        <w:autoSpaceDE w:val="0"/>
        <w:autoSpaceDN w:val="0"/>
        <w:adjustRightInd w:val="0"/>
        <w:snapToGrid w:val="0"/>
        <w:spacing w:line="480" w:lineRule="exact"/>
        <w:ind w:firstLine="480" w:firstLineChars="200"/>
      </w:pPr>
      <w:r>
        <w:rPr>
          <w:rFonts w:hAnsi="宋体"/>
          <w:sz w:val="24"/>
        </w:rPr>
        <w:t>在前期实物指标调查及规划大纲编制过程中，中南院向陆河县人民政府、新田镇人民政府、陆蓄公司等单位就大纲中相关内容进行了多次汇报和交换意见。</w:t>
      </w:r>
      <w:r>
        <w:rPr>
          <w:rFonts w:hint="eastAsia" w:hAnsi="宋体"/>
          <w:sz w:val="24"/>
        </w:rPr>
        <w:t>陆河县人民政府于2022年XX年XX月XX日，以《陆河县人民政府关于陆河抽水蓄能电站建设征地实物指标调查成果的确认函》(XXX号)对实物指标调查成果进行了确认，并于XX年XX月XX日，陆河县人民政府以《XXX的确认函》对移民安置意愿调查成果和移民生产安置方案进行了确认。</w:t>
      </w:r>
    </w:p>
    <w:p>
      <w:pPr>
        <w:pStyle w:val="2"/>
      </w:pPr>
      <w:r>
        <w:br w:type="page"/>
      </w:r>
      <w:bookmarkStart w:id="389" w:name="_Toc90934898"/>
      <w:r>
        <w:rPr>
          <w:rFonts w:hint="eastAsia"/>
        </w:rPr>
        <w:t>11  后期扶持措施</w:t>
      </w:r>
      <w:bookmarkEnd w:id="372"/>
      <w:bookmarkEnd w:id="373"/>
      <w:bookmarkEnd w:id="374"/>
      <w:bookmarkEnd w:id="375"/>
      <w:bookmarkEnd w:id="376"/>
      <w:bookmarkEnd w:id="389"/>
    </w:p>
    <w:p>
      <w:pPr>
        <w:pStyle w:val="3"/>
      </w:pPr>
      <w:bookmarkStart w:id="390" w:name="_Toc90934899"/>
      <w:bookmarkStart w:id="391" w:name="_Toc20170"/>
      <w:bookmarkStart w:id="392" w:name="_Toc26524"/>
      <w:bookmarkStart w:id="393" w:name="_Toc86265108"/>
      <w:bookmarkStart w:id="394" w:name="_Toc85487778"/>
      <w:bookmarkStart w:id="395" w:name="_Toc85660315"/>
      <w:r>
        <w:t>11.1  政策依据</w:t>
      </w:r>
      <w:bookmarkEnd w:id="390"/>
      <w:bookmarkEnd w:id="391"/>
      <w:bookmarkEnd w:id="392"/>
      <w:bookmarkEnd w:id="393"/>
      <w:bookmarkEnd w:id="394"/>
      <w:bookmarkEnd w:id="395"/>
    </w:p>
    <w:p>
      <w:pPr>
        <w:overflowPunct w:val="0"/>
        <w:autoSpaceDE w:val="0"/>
        <w:autoSpaceDN w:val="0"/>
        <w:adjustRightInd w:val="0"/>
        <w:snapToGrid w:val="0"/>
        <w:spacing w:line="480" w:lineRule="exact"/>
        <w:ind w:firstLine="496" w:firstLineChars="200"/>
        <w:rPr>
          <w:spacing w:val="4"/>
          <w:sz w:val="24"/>
          <w:szCs w:val="24"/>
        </w:rPr>
      </w:pPr>
      <w:r>
        <w:rPr>
          <w:rFonts w:hAnsi="宋体"/>
          <w:spacing w:val="4"/>
          <w:sz w:val="24"/>
          <w:szCs w:val="24"/>
        </w:rPr>
        <w:t>根据《移民条例》总则中第三条</w:t>
      </w:r>
      <w:r>
        <w:rPr>
          <w:rFonts w:hint="eastAsia"/>
          <w:spacing w:val="4"/>
          <w:sz w:val="24"/>
          <w:szCs w:val="24"/>
        </w:rPr>
        <w:t>“</w:t>
      </w:r>
      <w:r>
        <w:rPr>
          <w:rFonts w:hAnsi="宋体"/>
          <w:spacing w:val="4"/>
          <w:sz w:val="24"/>
          <w:szCs w:val="24"/>
        </w:rPr>
        <w:t>国家实行开发性移民方针，采取前期补偿、补助与后期扶持相结合的办法，使移民生活达到或者超过原有水平</w:t>
      </w:r>
      <w:r>
        <w:rPr>
          <w:rFonts w:hint="eastAsia"/>
          <w:spacing w:val="4"/>
          <w:sz w:val="24"/>
          <w:szCs w:val="24"/>
        </w:rPr>
        <w:t>”</w:t>
      </w:r>
      <w:r>
        <w:rPr>
          <w:rFonts w:hAnsi="宋体"/>
          <w:spacing w:val="4"/>
          <w:sz w:val="24"/>
          <w:szCs w:val="24"/>
        </w:rPr>
        <w:t>和《国务院关于完善大中型水库移民后期扶持政策的意见》</w:t>
      </w:r>
      <w:r>
        <w:rPr>
          <w:spacing w:val="4"/>
          <w:sz w:val="24"/>
          <w:szCs w:val="24"/>
        </w:rPr>
        <w:t>(</w:t>
      </w:r>
      <w:r>
        <w:rPr>
          <w:rFonts w:hAnsi="宋体"/>
          <w:spacing w:val="4"/>
          <w:sz w:val="24"/>
          <w:szCs w:val="24"/>
        </w:rPr>
        <w:t>国发〔</w:t>
      </w:r>
      <w:r>
        <w:rPr>
          <w:spacing w:val="4"/>
          <w:sz w:val="24"/>
          <w:szCs w:val="24"/>
        </w:rPr>
        <w:t>2006</w:t>
      </w:r>
      <w:r>
        <w:rPr>
          <w:rFonts w:hAnsi="宋体"/>
          <w:spacing w:val="4"/>
          <w:sz w:val="24"/>
          <w:szCs w:val="24"/>
        </w:rPr>
        <w:t>〕</w:t>
      </w:r>
      <w:r>
        <w:rPr>
          <w:spacing w:val="4"/>
          <w:sz w:val="24"/>
          <w:szCs w:val="24"/>
        </w:rPr>
        <w:t>17</w:t>
      </w:r>
      <w:r>
        <w:rPr>
          <w:rFonts w:hAnsi="宋体"/>
          <w:spacing w:val="4"/>
          <w:sz w:val="24"/>
          <w:szCs w:val="24"/>
        </w:rPr>
        <w:t>号</w:t>
      </w:r>
      <w:r>
        <w:rPr>
          <w:spacing w:val="4"/>
          <w:sz w:val="24"/>
          <w:szCs w:val="24"/>
        </w:rPr>
        <w:t>)</w:t>
      </w:r>
      <w:r>
        <w:rPr>
          <w:rFonts w:hAnsi="宋体"/>
          <w:spacing w:val="4"/>
          <w:sz w:val="24"/>
          <w:szCs w:val="24"/>
        </w:rPr>
        <w:t>，为实现移民</w:t>
      </w:r>
      <w:r>
        <w:rPr>
          <w:rFonts w:hint="eastAsia"/>
          <w:spacing w:val="4"/>
          <w:sz w:val="24"/>
          <w:szCs w:val="24"/>
        </w:rPr>
        <w:t>“</w:t>
      </w:r>
      <w:r>
        <w:rPr>
          <w:rFonts w:hAnsi="宋体"/>
          <w:spacing w:val="4"/>
          <w:sz w:val="24"/>
          <w:szCs w:val="24"/>
        </w:rPr>
        <w:t>搬得出、稳得住、能致富、环境得到保护</w:t>
      </w:r>
      <w:r>
        <w:rPr>
          <w:rFonts w:hint="eastAsia"/>
          <w:spacing w:val="4"/>
          <w:sz w:val="24"/>
          <w:szCs w:val="24"/>
        </w:rPr>
        <w:t>”</w:t>
      </w:r>
      <w:r>
        <w:rPr>
          <w:rFonts w:hAnsi="宋体"/>
          <w:spacing w:val="4"/>
          <w:sz w:val="24"/>
          <w:szCs w:val="24"/>
        </w:rPr>
        <w:t>的目标，需开展</w:t>
      </w:r>
      <w:r>
        <w:rPr>
          <w:rFonts w:hint="eastAsia" w:hAnsi="宋体"/>
          <w:spacing w:val="4"/>
          <w:sz w:val="24"/>
          <w:szCs w:val="24"/>
        </w:rPr>
        <w:t>广东陆河</w:t>
      </w:r>
      <w:r>
        <w:rPr>
          <w:rFonts w:hAnsi="宋体"/>
          <w:spacing w:val="4"/>
          <w:sz w:val="24"/>
          <w:szCs w:val="24"/>
        </w:rPr>
        <w:t>抽水蓄能电站移民后期扶持。</w:t>
      </w:r>
    </w:p>
    <w:p>
      <w:pPr>
        <w:overflowPunct w:val="0"/>
        <w:autoSpaceDE w:val="0"/>
        <w:autoSpaceDN w:val="0"/>
        <w:adjustRightInd w:val="0"/>
        <w:snapToGrid w:val="0"/>
        <w:spacing w:line="480" w:lineRule="exact"/>
        <w:ind w:firstLine="480" w:firstLineChars="200"/>
        <w:rPr>
          <w:sz w:val="24"/>
        </w:rPr>
      </w:pPr>
      <w:r>
        <w:rPr>
          <w:rFonts w:hAnsi="宋体"/>
          <w:sz w:val="24"/>
        </w:rPr>
        <w:t>后期扶持相关费用由国家统一筹措，不列入工程投资概算，因此，应按国家和</w:t>
      </w:r>
      <w:r>
        <w:rPr>
          <w:rFonts w:hint="eastAsia" w:hAnsi="宋体"/>
          <w:sz w:val="24"/>
        </w:rPr>
        <w:t>广东省</w:t>
      </w:r>
      <w:r>
        <w:rPr>
          <w:rFonts w:hAnsi="宋体"/>
          <w:sz w:val="24"/>
        </w:rPr>
        <w:t>有关规定，纳入</w:t>
      </w:r>
      <w:r>
        <w:rPr>
          <w:rFonts w:hint="eastAsia" w:hAnsi="宋体"/>
          <w:sz w:val="24"/>
        </w:rPr>
        <w:t>广东</w:t>
      </w:r>
      <w:r>
        <w:rPr>
          <w:rFonts w:hAnsi="宋体"/>
          <w:sz w:val="24"/>
        </w:rPr>
        <w:t>省大中型水库移民后期扶持，统一规划、统一实施。</w:t>
      </w:r>
    </w:p>
    <w:p>
      <w:pPr>
        <w:pStyle w:val="3"/>
      </w:pPr>
      <w:bookmarkStart w:id="396" w:name="_Toc14865"/>
      <w:bookmarkStart w:id="397" w:name="_Toc85660316"/>
      <w:bookmarkStart w:id="398" w:name="_Toc86265109"/>
      <w:bookmarkStart w:id="399" w:name="_Toc85487779"/>
      <w:bookmarkStart w:id="400" w:name="_Toc29141"/>
      <w:bookmarkStart w:id="401" w:name="_Toc90934900"/>
      <w:r>
        <w:t>11.2  扶持范围</w:t>
      </w:r>
      <w:bookmarkEnd w:id="396"/>
      <w:bookmarkEnd w:id="397"/>
      <w:bookmarkEnd w:id="398"/>
      <w:bookmarkEnd w:id="399"/>
      <w:bookmarkEnd w:id="400"/>
      <w:bookmarkEnd w:id="401"/>
    </w:p>
    <w:p>
      <w:pPr>
        <w:overflowPunct w:val="0"/>
        <w:autoSpaceDE w:val="0"/>
        <w:autoSpaceDN w:val="0"/>
        <w:adjustRightInd w:val="0"/>
        <w:snapToGrid w:val="0"/>
        <w:spacing w:line="480" w:lineRule="exact"/>
        <w:ind w:firstLine="480" w:firstLineChars="200"/>
        <w:rPr>
          <w:rFonts w:hAnsi="宋体"/>
          <w:sz w:val="24"/>
        </w:rPr>
      </w:pPr>
      <w:r>
        <w:rPr>
          <w:rFonts w:hAnsi="宋体"/>
          <w:sz w:val="24"/>
        </w:rPr>
        <w:t>按照《国务院关于完善大中型水库移民后期扶持政策的意见》</w:t>
      </w:r>
      <w:r>
        <w:rPr>
          <w:sz w:val="24"/>
        </w:rPr>
        <w:t>(</w:t>
      </w:r>
      <w:r>
        <w:rPr>
          <w:rFonts w:hAnsi="宋体"/>
          <w:sz w:val="24"/>
        </w:rPr>
        <w:t>国发〔</w:t>
      </w:r>
      <w:r>
        <w:rPr>
          <w:sz w:val="24"/>
        </w:rPr>
        <w:t>2006</w:t>
      </w:r>
      <w:r>
        <w:rPr>
          <w:rFonts w:hAnsi="宋体"/>
          <w:sz w:val="24"/>
        </w:rPr>
        <w:t>〕</w:t>
      </w:r>
      <w:r>
        <w:rPr>
          <w:sz w:val="24"/>
        </w:rPr>
        <w:t>17</w:t>
      </w:r>
      <w:r>
        <w:rPr>
          <w:rFonts w:hAnsi="宋体"/>
          <w:sz w:val="24"/>
        </w:rPr>
        <w:t>号</w:t>
      </w:r>
      <w:r>
        <w:rPr>
          <w:sz w:val="24"/>
        </w:rPr>
        <w:t>)</w:t>
      </w:r>
      <w:r>
        <w:rPr>
          <w:rFonts w:hAnsi="宋体"/>
          <w:sz w:val="24"/>
        </w:rPr>
        <w:t>的有关规定，后期扶持范围包括因电站开发建设征地产生的农业搬迁人口和生产安置人口</w:t>
      </w:r>
      <w:r>
        <w:rPr>
          <w:rFonts w:hint="eastAsia" w:hAnsi="宋体"/>
          <w:sz w:val="24"/>
        </w:rPr>
        <w:t>。</w:t>
      </w:r>
    </w:p>
    <w:p>
      <w:pPr>
        <w:overflowPunct w:val="0"/>
        <w:autoSpaceDE w:val="0"/>
        <w:autoSpaceDN w:val="0"/>
        <w:adjustRightInd w:val="0"/>
        <w:snapToGrid w:val="0"/>
        <w:spacing w:line="480" w:lineRule="exact"/>
        <w:ind w:firstLine="480" w:firstLineChars="200"/>
        <w:rPr>
          <w:sz w:val="24"/>
        </w:rPr>
      </w:pPr>
      <w:r>
        <w:rPr>
          <w:rFonts w:hint="eastAsia" w:hAnsi="宋体"/>
          <w:sz w:val="24"/>
        </w:rPr>
        <w:t>本工程不涉及农业搬迁人口。</w:t>
      </w:r>
    </w:p>
    <w:p>
      <w:pPr>
        <w:pStyle w:val="3"/>
      </w:pPr>
      <w:bookmarkStart w:id="402" w:name="_Toc85660317"/>
      <w:bookmarkStart w:id="403" w:name="_Toc86265110"/>
      <w:bookmarkStart w:id="404" w:name="_Toc5730"/>
      <w:bookmarkStart w:id="405" w:name="_Toc21007"/>
      <w:bookmarkStart w:id="406" w:name="_Toc85487780"/>
      <w:bookmarkStart w:id="407" w:name="_Toc90934901"/>
      <w:r>
        <w:t>11.3  扶持方式</w:t>
      </w:r>
      <w:bookmarkEnd w:id="402"/>
      <w:bookmarkEnd w:id="403"/>
      <w:bookmarkEnd w:id="404"/>
      <w:bookmarkEnd w:id="405"/>
      <w:bookmarkEnd w:id="406"/>
      <w:bookmarkEnd w:id="407"/>
    </w:p>
    <w:p>
      <w:pPr>
        <w:overflowPunct w:val="0"/>
        <w:autoSpaceDE w:val="0"/>
        <w:autoSpaceDN w:val="0"/>
        <w:adjustRightInd w:val="0"/>
        <w:snapToGrid w:val="0"/>
        <w:spacing w:line="480" w:lineRule="exact"/>
        <w:ind w:firstLine="480" w:firstLineChars="200"/>
        <w:rPr>
          <w:sz w:val="24"/>
        </w:rPr>
      </w:pPr>
      <w:r>
        <w:rPr>
          <w:rFonts w:hint="eastAsia" w:hAnsi="宋体"/>
          <w:sz w:val="24"/>
        </w:rPr>
        <w:t>后期扶持资金直接发放给移民个人或采取生产安置项目扶持方式补助到集体</w:t>
      </w:r>
      <w:r>
        <w:rPr>
          <w:rFonts w:hAnsi="宋体"/>
          <w:sz w:val="24"/>
        </w:rPr>
        <w:t>。</w:t>
      </w:r>
    </w:p>
    <w:p>
      <w:pPr>
        <w:pStyle w:val="3"/>
      </w:pPr>
      <w:bookmarkStart w:id="408" w:name="_Toc90934902"/>
      <w:bookmarkStart w:id="409" w:name="_Toc85487781"/>
      <w:bookmarkStart w:id="410" w:name="_Toc85660318"/>
      <w:bookmarkStart w:id="411" w:name="_Toc86265111"/>
      <w:bookmarkStart w:id="412" w:name="_Toc3982"/>
      <w:bookmarkStart w:id="413" w:name="_Toc13055"/>
      <w:r>
        <w:t>11.4  扶持标准</w:t>
      </w:r>
      <w:bookmarkEnd w:id="408"/>
      <w:bookmarkEnd w:id="409"/>
      <w:bookmarkEnd w:id="410"/>
      <w:bookmarkEnd w:id="411"/>
      <w:bookmarkEnd w:id="412"/>
      <w:bookmarkEnd w:id="413"/>
    </w:p>
    <w:p>
      <w:pPr>
        <w:overflowPunct w:val="0"/>
        <w:autoSpaceDE w:val="0"/>
        <w:autoSpaceDN w:val="0"/>
        <w:adjustRightInd w:val="0"/>
        <w:snapToGrid w:val="0"/>
        <w:spacing w:line="480" w:lineRule="exact"/>
        <w:ind w:firstLine="480" w:firstLineChars="200"/>
        <w:rPr>
          <w:sz w:val="24"/>
        </w:rPr>
      </w:pPr>
      <w:r>
        <w:rPr>
          <w:rFonts w:hAnsi="宋体"/>
          <w:sz w:val="24"/>
        </w:rPr>
        <w:t>扶持标准：对纳入扶持范围的移民每人每年补助</w:t>
      </w:r>
      <w:r>
        <w:rPr>
          <w:sz w:val="24"/>
        </w:rPr>
        <w:t>600</w:t>
      </w:r>
      <w:r>
        <w:rPr>
          <w:rFonts w:hAnsi="宋体"/>
          <w:sz w:val="24"/>
        </w:rPr>
        <w:t>元。</w:t>
      </w:r>
    </w:p>
    <w:p>
      <w:pPr>
        <w:pStyle w:val="3"/>
      </w:pPr>
      <w:bookmarkStart w:id="414" w:name="_Toc85487782"/>
      <w:bookmarkStart w:id="415" w:name="_Toc85660319"/>
      <w:bookmarkStart w:id="416" w:name="_Toc86265112"/>
      <w:bookmarkStart w:id="417" w:name="_Toc7712"/>
      <w:bookmarkStart w:id="418" w:name="_Toc90934903"/>
      <w:bookmarkStart w:id="419" w:name="_Toc12870"/>
      <w:r>
        <w:t>11.5  扶持期限</w:t>
      </w:r>
      <w:bookmarkEnd w:id="414"/>
      <w:bookmarkEnd w:id="415"/>
      <w:bookmarkEnd w:id="416"/>
      <w:bookmarkEnd w:id="417"/>
      <w:bookmarkEnd w:id="418"/>
      <w:bookmarkEnd w:id="419"/>
    </w:p>
    <w:p>
      <w:pPr>
        <w:overflowPunct w:val="0"/>
        <w:autoSpaceDE w:val="0"/>
        <w:autoSpaceDN w:val="0"/>
        <w:spacing w:line="480" w:lineRule="exact"/>
        <w:ind w:firstLine="480" w:firstLineChars="200"/>
        <w:rPr>
          <w:rFonts w:hAnsi="宋体"/>
          <w:sz w:val="24"/>
        </w:rPr>
      </w:pPr>
      <w:bookmarkStart w:id="420" w:name="_Toc6487"/>
      <w:bookmarkStart w:id="421" w:name="_Toc22236"/>
      <w:r>
        <w:rPr>
          <w:rFonts w:hAnsi="宋体"/>
          <w:sz w:val="24"/>
        </w:rPr>
        <w:t>扶持期限：从其完成搬迁之日起扶持20年。</w:t>
      </w:r>
      <w:bookmarkEnd w:id="420"/>
      <w:bookmarkEnd w:id="421"/>
      <w:bookmarkStart w:id="422" w:name="_Toc85660320"/>
      <w:bookmarkStart w:id="423" w:name="_Toc86265113"/>
      <w:bookmarkStart w:id="424" w:name="_Toc85487783"/>
    </w:p>
    <w:p>
      <w:pPr>
        <w:pStyle w:val="2"/>
        <w:rPr>
          <w:kern w:val="44"/>
        </w:rPr>
      </w:pPr>
      <w:bookmarkStart w:id="425" w:name="_Toc5095"/>
      <w:bookmarkStart w:id="426" w:name="_Toc3690"/>
      <w:r>
        <w:br w:type="page"/>
      </w:r>
      <w:bookmarkStart w:id="427" w:name="_Toc90934904"/>
      <w:r>
        <w:t>12  建设征地移民安置规划报告编制工作要求</w:t>
      </w:r>
      <w:bookmarkEnd w:id="422"/>
      <w:bookmarkEnd w:id="423"/>
      <w:bookmarkEnd w:id="424"/>
      <w:bookmarkEnd w:id="427"/>
      <w:r>
        <w:t xml:space="preserve"> </w:t>
      </w:r>
      <w:bookmarkEnd w:id="425"/>
      <w:bookmarkEnd w:id="426"/>
    </w:p>
    <w:p>
      <w:pPr>
        <w:pStyle w:val="3"/>
      </w:pPr>
      <w:bookmarkStart w:id="428" w:name="_Toc30388"/>
      <w:bookmarkStart w:id="429" w:name="_Toc29591"/>
      <w:bookmarkStart w:id="430" w:name="_Toc90934905"/>
      <w:bookmarkStart w:id="431" w:name="_Toc85487784"/>
      <w:bookmarkStart w:id="432" w:name="_Toc85660321"/>
      <w:bookmarkStart w:id="433" w:name="_Toc86265114"/>
      <w:r>
        <w:t>12.1  方法、程序</w:t>
      </w:r>
      <w:bookmarkEnd w:id="428"/>
      <w:bookmarkEnd w:id="429"/>
      <w:bookmarkEnd w:id="430"/>
      <w:bookmarkEnd w:id="431"/>
      <w:bookmarkEnd w:id="432"/>
      <w:bookmarkEnd w:id="433"/>
    </w:p>
    <w:p>
      <w:pPr>
        <w:overflowPunct w:val="0"/>
        <w:autoSpaceDE w:val="0"/>
        <w:autoSpaceDN w:val="0"/>
        <w:adjustRightInd w:val="0"/>
        <w:snapToGrid w:val="0"/>
        <w:spacing w:line="480" w:lineRule="exact"/>
        <w:ind w:firstLine="480" w:firstLineChars="200"/>
        <w:rPr>
          <w:sz w:val="24"/>
        </w:rPr>
      </w:pPr>
      <w:bookmarkStart w:id="434" w:name="_Toc85487785"/>
      <w:r>
        <w:rPr>
          <w:rFonts w:hAnsi="宋体"/>
          <w:sz w:val="24"/>
        </w:rPr>
        <w:t>在审批的移民安置规划大纲基础上，</w:t>
      </w:r>
      <w:r>
        <w:rPr>
          <w:rFonts w:hint="eastAsia" w:hAnsi="宋体"/>
          <w:sz w:val="24"/>
        </w:rPr>
        <w:t>中南院</w:t>
      </w:r>
      <w:r>
        <w:rPr>
          <w:rFonts w:hAnsi="宋体"/>
          <w:sz w:val="24"/>
        </w:rPr>
        <w:t>负责移民安置规划中的具体设计工作，根据国家和地方相关法规政策，编制符合地方实际、经济合理、切实可行的移民安置规划，参与移民安置规划报告的审查；在规划设计中地方人民政府负责提供正式的、合法、有效、合理的基础资料，结合地方实际，提出意见供设计参考；</w:t>
      </w:r>
      <w:r>
        <w:rPr>
          <w:rFonts w:hint="eastAsia" w:hAnsi="宋体"/>
          <w:sz w:val="24"/>
        </w:rPr>
        <w:t>县征地移民专班</w:t>
      </w:r>
      <w:r>
        <w:rPr>
          <w:rFonts w:hAnsi="宋体"/>
          <w:sz w:val="24"/>
        </w:rPr>
        <w:t>负责协调参与设计各方关系，确保相关设计资料的按时提供，负责移民安置规划报告的报审。根据</w:t>
      </w:r>
      <w:r>
        <w:rPr>
          <w:rFonts w:hint="eastAsia" w:hAnsi="宋体"/>
          <w:sz w:val="24"/>
        </w:rPr>
        <w:t>陆河</w:t>
      </w:r>
      <w:r>
        <w:rPr>
          <w:rFonts w:hAnsi="宋体"/>
          <w:sz w:val="24"/>
        </w:rPr>
        <w:t>抽水蓄能电站建设征地移民安置规划设计工作内容，按照《移民条例》的相关规定，为了顺利开展电站建设征地移民安置规划设计工作，拟定参与各方的具体职责及分工。</w:t>
      </w:r>
    </w:p>
    <w:p>
      <w:pPr>
        <w:numPr>
          <w:ilvl w:val="0"/>
          <w:numId w:val="18"/>
        </w:numPr>
        <w:overflowPunct w:val="0"/>
        <w:autoSpaceDE w:val="0"/>
        <w:autoSpaceDN w:val="0"/>
        <w:adjustRightInd w:val="0"/>
        <w:snapToGrid w:val="0"/>
        <w:spacing w:line="480" w:lineRule="exact"/>
        <w:ind w:left="0" w:firstLine="480" w:firstLineChars="200"/>
        <w:rPr>
          <w:rFonts w:hAnsi="宋体"/>
          <w:sz w:val="24"/>
        </w:rPr>
      </w:pPr>
      <w:r>
        <w:rPr>
          <w:rFonts w:hint="eastAsia" w:hAnsi="宋体"/>
          <w:sz w:val="24"/>
        </w:rPr>
        <w:t xml:space="preserve"> 广东</w:t>
      </w:r>
      <w:r>
        <w:rPr>
          <w:rFonts w:hAnsi="宋体"/>
          <w:sz w:val="24"/>
        </w:rPr>
        <w:t>省水利厅</w:t>
      </w:r>
    </w:p>
    <w:p>
      <w:pPr>
        <w:overflowPunct w:val="0"/>
        <w:autoSpaceDE w:val="0"/>
        <w:autoSpaceDN w:val="0"/>
        <w:adjustRightInd w:val="0"/>
        <w:snapToGrid w:val="0"/>
        <w:spacing w:line="480" w:lineRule="exact"/>
        <w:ind w:firstLine="480" w:firstLineChars="200"/>
        <w:rPr>
          <w:sz w:val="24"/>
        </w:rPr>
      </w:pPr>
      <w:r>
        <w:rPr>
          <w:rFonts w:hAnsi="宋体"/>
          <w:sz w:val="24"/>
        </w:rPr>
        <w:t>负责指导、监督移民安置规划设计工作；负责对移民安置规划报告的审核。</w:t>
      </w:r>
    </w:p>
    <w:p>
      <w:pPr>
        <w:numPr>
          <w:ilvl w:val="0"/>
          <w:numId w:val="18"/>
        </w:numPr>
        <w:overflowPunct w:val="0"/>
        <w:autoSpaceDE w:val="0"/>
        <w:autoSpaceDN w:val="0"/>
        <w:adjustRightInd w:val="0"/>
        <w:snapToGrid w:val="0"/>
        <w:spacing w:line="480" w:lineRule="exact"/>
        <w:ind w:left="0" w:firstLine="480" w:firstLineChars="200"/>
        <w:rPr>
          <w:sz w:val="24"/>
        </w:rPr>
      </w:pPr>
      <w:r>
        <w:rPr>
          <w:rFonts w:hint="eastAsia" w:hAnsi="宋体"/>
          <w:sz w:val="24"/>
        </w:rPr>
        <w:t xml:space="preserve"> 陆河</w:t>
      </w:r>
      <w:r>
        <w:rPr>
          <w:rFonts w:hAnsi="宋体"/>
          <w:sz w:val="24"/>
        </w:rPr>
        <w:t>县人民政府</w:t>
      </w:r>
    </w:p>
    <w:p>
      <w:pPr>
        <w:overflowPunct w:val="0"/>
        <w:autoSpaceDE w:val="0"/>
        <w:autoSpaceDN w:val="0"/>
        <w:adjustRightInd w:val="0"/>
        <w:snapToGrid w:val="0"/>
        <w:spacing w:line="480" w:lineRule="exact"/>
        <w:ind w:firstLine="480" w:firstLineChars="200"/>
        <w:rPr>
          <w:sz w:val="24"/>
        </w:rPr>
      </w:pPr>
      <w:r>
        <w:rPr>
          <w:rFonts w:hAnsi="宋体"/>
          <w:sz w:val="24"/>
        </w:rPr>
        <w:t>负责向设计单位提供正式的、合法、有效、合理的基础资料；负责规划设计中的具体工作和协调工作，保障设计工作的顺利开展；负责协调、检查、监督移民安置规划工作；参与规划设计中重大问题的研究；参与移民安置规划报告的审核。</w:t>
      </w:r>
    </w:p>
    <w:p>
      <w:pPr>
        <w:numPr>
          <w:ilvl w:val="0"/>
          <w:numId w:val="18"/>
        </w:numPr>
        <w:overflowPunct w:val="0"/>
        <w:autoSpaceDE w:val="0"/>
        <w:autoSpaceDN w:val="0"/>
        <w:adjustRightInd w:val="0"/>
        <w:snapToGrid w:val="0"/>
        <w:spacing w:line="480" w:lineRule="exact"/>
        <w:ind w:left="0" w:firstLine="480" w:firstLineChars="200"/>
        <w:rPr>
          <w:sz w:val="24"/>
        </w:rPr>
      </w:pPr>
      <w:r>
        <w:rPr>
          <w:rFonts w:hint="eastAsia" w:hAnsi="宋体"/>
          <w:sz w:val="24"/>
        </w:rPr>
        <w:t xml:space="preserve"> 新田</w:t>
      </w:r>
      <w:r>
        <w:rPr>
          <w:rFonts w:hAnsi="宋体"/>
          <w:sz w:val="24"/>
        </w:rPr>
        <w:t>镇人民政府、相关村组</w:t>
      </w:r>
    </w:p>
    <w:p>
      <w:pPr>
        <w:overflowPunct w:val="0"/>
        <w:autoSpaceDE w:val="0"/>
        <w:autoSpaceDN w:val="0"/>
        <w:adjustRightInd w:val="0"/>
        <w:snapToGrid w:val="0"/>
        <w:spacing w:line="480" w:lineRule="exact"/>
        <w:ind w:firstLine="480" w:firstLineChars="200"/>
        <w:rPr>
          <w:sz w:val="24"/>
        </w:rPr>
      </w:pPr>
      <w:r>
        <w:rPr>
          <w:rFonts w:hAnsi="宋体"/>
          <w:sz w:val="24"/>
        </w:rPr>
        <w:t>负责移民安置规划报告中移民和安置区居民听取意见工作；对移民安置规划报告签署意见；参与移民安置规划报告的审核。</w:t>
      </w:r>
    </w:p>
    <w:p>
      <w:pPr>
        <w:numPr>
          <w:ilvl w:val="0"/>
          <w:numId w:val="18"/>
        </w:numPr>
        <w:overflowPunct w:val="0"/>
        <w:autoSpaceDE w:val="0"/>
        <w:autoSpaceDN w:val="0"/>
        <w:adjustRightInd w:val="0"/>
        <w:snapToGrid w:val="0"/>
        <w:spacing w:line="480" w:lineRule="exact"/>
        <w:ind w:left="0" w:firstLine="480" w:firstLineChars="200"/>
        <w:rPr>
          <w:sz w:val="24"/>
        </w:rPr>
      </w:pPr>
      <w:r>
        <w:rPr>
          <w:rFonts w:hint="eastAsia" w:hAnsi="宋体"/>
          <w:sz w:val="24"/>
        </w:rPr>
        <w:t xml:space="preserve"> 广东能源陆河蓄能发电有限公司</w:t>
      </w:r>
    </w:p>
    <w:p>
      <w:pPr>
        <w:overflowPunct w:val="0"/>
        <w:autoSpaceDE w:val="0"/>
        <w:autoSpaceDN w:val="0"/>
        <w:adjustRightInd w:val="0"/>
        <w:snapToGrid w:val="0"/>
        <w:spacing w:line="480" w:lineRule="exact"/>
        <w:ind w:firstLine="480" w:firstLineChars="200"/>
        <w:rPr>
          <w:sz w:val="24"/>
        </w:rPr>
      </w:pPr>
      <w:r>
        <w:rPr>
          <w:rFonts w:hAnsi="宋体"/>
          <w:sz w:val="24"/>
        </w:rPr>
        <w:t>负责会同有关方面研究规划设计中的重大问题；协调专业设计单位、主体设计单位以及地方政府相关各方的关系；参与实物指标分解及移民安置规划报告中移民和安置区居民听取意见工作；参与移民安置规划报告的审核；负责移民安置规划报告报审和报批。</w:t>
      </w:r>
    </w:p>
    <w:p>
      <w:pPr>
        <w:numPr>
          <w:ilvl w:val="0"/>
          <w:numId w:val="18"/>
        </w:numPr>
        <w:overflowPunct w:val="0"/>
        <w:autoSpaceDE w:val="0"/>
        <w:autoSpaceDN w:val="0"/>
        <w:adjustRightInd w:val="0"/>
        <w:snapToGrid w:val="0"/>
        <w:spacing w:line="480" w:lineRule="exact"/>
        <w:ind w:left="0" w:firstLine="480" w:firstLineChars="200"/>
        <w:rPr>
          <w:sz w:val="24"/>
        </w:rPr>
      </w:pPr>
      <w:r>
        <w:rPr>
          <w:rFonts w:hint="eastAsia" w:hAnsi="宋体"/>
          <w:sz w:val="24"/>
        </w:rPr>
        <w:t xml:space="preserve"> </w:t>
      </w:r>
      <w:r>
        <w:rPr>
          <w:rFonts w:hAnsi="宋体"/>
          <w:sz w:val="24"/>
        </w:rPr>
        <w:t>中国电建集团中南勘测设计研究院有限公司</w:t>
      </w:r>
    </w:p>
    <w:p>
      <w:pPr>
        <w:overflowPunct w:val="0"/>
        <w:autoSpaceDE w:val="0"/>
        <w:autoSpaceDN w:val="0"/>
        <w:adjustRightInd w:val="0"/>
        <w:snapToGrid w:val="0"/>
        <w:spacing w:line="480" w:lineRule="exact"/>
        <w:ind w:firstLine="480" w:firstLineChars="200"/>
        <w:rPr>
          <w:sz w:val="24"/>
        </w:rPr>
      </w:pPr>
      <w:r>
        <w:rPr>
          <w:rFonts w:hint="eastAsia" w:hAnsi="宋体"/>
          <w:sz w:val="24"/>
        </w:rPr>
        <w:t>中南院</w:t>
      </w:r>
      <w:r>
        <w:rPr>
          <w:rFonts w:hAnsi="宋体"/>
          <w:sz w:val="24"/>
        </w:rPr>
        <w:t>负责参与移民安置规划设计中重大问题的研究；负责移民安置规划设计的技术归口工作；编制移民安置规划报告；参与移民安置规划报告的审查工作。</w:t>
      </w:r>
    </w:p>
    <w:p>
      <w:pPr>
        <w:numPr>
          <w:ilvl w:val="0"/>
          <w:numId w:val="18"/>
        </w:numPr>
        <w:overflowPunct w:val="0"/>
        <w:autoSpaceDE w:val="0"/>
        <w:autoSpaceDN w:val="0"/>
        <w:adjustRightInd w:val="0"/>
        <w:snapToGrid w:val="0"/>
        <w:spacing w:line="480" w:lineRule="exact"/>
        <w:ind w:left="0" w:firstLine="480" w:firstLineChars="200"/>
        <w:rPr>
          <w:sz w:val="24"/>
        </w:rPr>
      </w:pPr>
      <w:r>
        <w:rPr>
          <w:rFonts w:hint="eastAsia" w:hAnsi="宋体"/>
          <w:sz w:val="24"/>
        </w:rPr>
        <w:t xml:space="preserve"> </w:t>
      </w:r>
      <w:r>
        <w:rPr>
          <w:rFonts w:hAnsi="宋体"/>
          <w:sz w:val="24"/>
        </w:rPr>
        <w:t>行业主管部门</w:t>
      </w:r>
    </w:p>
    <w:p>
      <w:pPr>
        <w:overflowPunct w:val="0"/>
        <w:autoSpaceDE w:val="0"/>
        <w:autoSpaceDN w:val="0"/>
        <w:adjustRightInd w:val="0"/>
        <w:snapToGrid w:val="0"/>
        <w:spacing w:line="480" w:lineRule="exact"/>
        <w:ind w:firstLine="480" w:firstLineChars="200"/>
        <w:rPr>
          <w:sz w:val="24"/>
        </w:rPr>
      </w:pPr>
      <w:r>
        <w:rPr>
          <w:rFonts w:hAnsi="宋体"/>
          <w:sz w:val="24"/>
        </w:rPr>
        <w:t>参与移民安置规划设计中重大问题的研究；对移民安置规划中相应专业项目复</w:t>
      </w:r>
      <w:r>
        <w:rPr>
          <w:sz w:val="24"/>
        </w:rPr>
        <w:t>(</w:t>
      </w:r>
      <w:r>
        <w:rPr>
          <w:rFonts w:hAnsi="宋体"/>
          <w:sz w:val="24"/>
        </w:rPr>
        <w:t>改</w:t>
      </w:r>
      <w:r>
        <w:rPr>
          <w:sz w:val="24"/>
        </w:rPr>
        <w:t>)</w:t>
      </w:r>
      <w:r>
        <w:rPr>
          <w:rFonts w:hAnsi="宋体"/>
          <w:sz w:val="24"/>
        </w:rPr>
        <w:t>建规划设计方案提出建议并签署意见；参与移民安置规划报告的审查工作。</w:t>
      </w:r>
    </w:p>
    <w:p>
      <w:pPr>
        <w:pStyle w:val="4"/>
        <w:rPr>
          <w:kern w:val="2"/>
        </w:rPr>
      </w:pPr>
      <w:r>
        <w:rPr>
          <w:kern w:val="2"/>
        </w:rPr>
        <w:t>12.1.1  工作程序</w:t>
      </w:r>
    </w:p>
    <w:p>
      <w:pPr>
        <w:overflowPunct w:val="0"/>
        <w:autoSpaceDE w:val="0"/>
        <w:autoSpaceDN w:val="0"/>
        <w:adjustRightInd w:val="0"/>
        <w:snapToGrid w:val="0"/>
        <w:spacing w:line="480" w:lineRule="exact"/>
        <w:ind w:firstLine="480" w:firstLineChars="200"/>
        <w:rPr>
          <w:sz w:val="24"/>
        </w:rPr>
      </w:pPr>
      <w:r>
        <w:rPr>
          <w:rFonts w:hAnsi="宋体"/>
          <w:sz w:val="24"/>
        </w:rPr>
        <w:t>由</w:t>
      </w:r>
      <w:r>
        <w:rPr>
          <w:rFonts w:hint="eastAsia" w:hAnsi="宋体"/>
          <w:sz w:val="24"/>
        </w:rPr>
        <w:t>广东能源陆河蓄能发电有限公司</w:t>
      </w:r>
      <w:r>
        <w:rPr>
          <w:rFonts w:hAnsi="宋体"/>
          <w:sz w:val="24"/>
        </w:rPr>
        <w:t>组织</w:t>
      </w:r>
      <w:r>
        <w:rPr>
          <w:rFonts w:hint="eastAsia" w:hAnsi="宋体"/>
          <w:sz w:val="24"/>
        </w:rPr>
        <w:t>陆河</w:t>
      </w:r>
      <w:r>
        <w:rPr>
          <w:rFonts w:hAnsi="宋体"/>
          <w:sz w:val="24"/>
        </w:rPr>
        <w:t>县人民政府和</w:t>
      </w:r>
      <w:r>
        <w:rPr>
          <w:rFonts w:hint="eastAsia" w:hAnsi="宋体"/>
          <w:sz w:val="24"/>
        </w:rPr>
        <w:t>中南院</w:t>
      </w:r>
      <w:r>
        <w:rPr>
          <w:rFonts w:hAnsi="宋体"/>
          <w:sz w:val="24"/>
        </w:rPr>
        <w:t>共同编制移民安置规划。</w:t>
      </w:r>
    </w:p>
    <w:p>
      <w:pPr>
        <w:overflowPunct w:val="0"/>
        <w:autoSpaceDE w:val="0"/>
        <w:autoSpaceDN w:val="0"/>
        <w:adjustRightInd w:val="0"/>
        <w:snapToGrid w:val="0"/>
        <w:spacing w:line="480" w:lineRule="exact"/>
        <w:ind w:firstLine="480" w:firstLineChars="200"/>
        <w:rPr>
          <w:sz w:val="24"/>
        </w:rPr>
      </w:pPr>
      <w:r>
        <w:rPr>
          <w:rFonts w:hAnsi="宋体"/>
          <w:sz w:val="24"/>
        </w:rPr>
        <w:t>《移民安置规划大纲》经批准后，在编制《</w:t>
      </w:r>
      <w:r>
        <w:rPr>
          <w:rFonts w:hint="eastAsia" w:hAnsi="宋体"/>
          <w:sz w:val="24"/>
        </w:rPr>
        <w:t>广东陆河</w:t>
      </w:r>
      <w:r>
        <w:rPr>
          <w:rFonts w:hAnsi="宋体"/>
          <w:sz w:val="24"/>
        </w:rPr>
        <w:t>抽水蓄能电站建设征地移民安置规划报告》</w:t>
      </w:r>
      <w:r>
        <w:rPr>
          <w:sz w:val="24"/>
        </w:rPr>
        <w:t>(</w:t>
      </w:r>
      <w:r>
        <w:rPr>
          <w:rFonts w:hAnsi="宋体"/>
          <w:sz w:val="24"/>
        </w:rPr>
        <w:t>以下简称</w:t>
      </w:r>
      <w:r>
        <w:rPr>
          <w:rFonts w:hint="eastAsia"/>
          <w:sz w:val="24"/>
        </w:rPr>
        <w:t>“</w:t>
      </w:r>
      <w:r>
        <w:rPr>
          <w:rFonts w:hAnsi="宋体"/>
          <w:sz w:val="24"/>
        </w:rPr>
        <w:t>规划报告</w:t>
      </w:r>
      <w:r>
        <w:rPr>
          <w:rFonts w:hint="eastAsia" w:hAnsi="宋体"/>
          <w:sz w:val="24"/>
        </w:rPr>
        <w:t>”</w:t>
      </w:r>
      <w:r>
        <w:rPr>
          <w:sz w:val="24"/>
        </w:rPr>
        <w:t>)</w:t>
      </w:r>
      <w:r>
        <w:rPr>
          <w:rFonts w:hAnsi="宋体"/>
          <w:sz w:val="24"/>
        </w:rPr>
        <w:t>前期过程中，要严格执行国务院令第</w:t>
      </w:r>
      <w:r>
        <w:rPr>
          <w:sz w:val="24"/>
        </w:rPr>
        <w:t>679</w:t>
      </w:r>
      <w:r>
        <w:rPr>
          <w:rFonts w:hAnsi="宋体"/>
          <w:sz w:val="24"/>
        </w:rPr>
        <w:t>号第十五条</w:t>
      </w:r>
      <w:r>
        <w:rPr>
          <w:sz w:val="24"/>
        </w:rPr>
        <w:t>“</w:t>
      </w:r>
      <w:r>
        <w:rPr>
          <w:rFonts w:hAnsi="宋体"/>
          <w:sz w:val="24"/>
        </w:rPr>
        <w:t>编制移民安置规划应当广泛听取移民和移民安置区居民的意见；必要时，应当采取听证的方式</w:t>
      </w:r>
      <w:r>
        <w:rPr>
          <w:sz w:val="24"/>
        </w:rPr>
        <w:t>”</w:t>
      </w:r>
      <w:r>
        <w:rPr>
          <w:rFonts w:hAnsi="宋体"/>
          <w:sz w:val="24"/>
        </w:rPr>
        <w:t>的规定。</w:t>
      </w:r>
    </w:p>
    <w:p>
      <w:pPr>
        <w:overflowPunct w:val="0"/>
        <w:autoSpaceDE w:val="0"/>
        <w:autoSpaceDN w:val="0"/>
        <w:adjustRightInd w:val="0"/>
        <w:snapToGrid w:val="0"/>
        <w:spacing w:line="480" w:lineRule="exact"/>
        <w:ind w:firstLine="480" w:firstLineChars="200"/>
        <w:rPr>
          <w:sz w:val="24"/>
        </w:rPr>
      </w:pPr>
      <w:r>
        <w:rPr>
          <w:rFonts w:hAnsi="宋体"/>
          <w:sz w:val="24"/>
        </w:rPr>
        <w:t>建设征地范围内形成的移民安置规划总体成果、汇总成果，按国务院令第</w:t>
      </w:r>
      <w:r>
        <w:rPr>
          <w:sz w:val="24"/>
        </w:rPr>
        <w:t>679</w:t>
      </w:r>
      <w:r>
        <w:rPr>
          <w:rFonts w:hAnsi="宋体"/>
          <w:sz w:val="24"/>
        </w:rPr>
        <w:t>号第十条第三款的规定，在广泛听取移民意见的情况下，由县、市人民政府逐级审核、签署意见。</w:t>
      </w:r>
    </w:p>
    <w:p>
      <w:pPr>
        <w:overflowPunct w:val="0"/>
        <w:autoSpaceDE w:val="0"/>
        <w:autoSpaceDN w:val="0"/>
        <w:adjustRightInd w:val="0"/>
        <w:snapToGrid w:val="0"/>
        <w:spacing w:line="480" w:lineRule="exact"/>
        <w:ind w:firstLine="480" w:firstLineChars="200"/>
        <w:rPr>
          <w:sz w:val="24"/>
        </w:rPr>
      </w:pPr>
      <w:r>
        <w:rPr>
          <w:rFonts w:hAnsi="宋体"/>
          <w:sz w:val="24"/>
        </w:rPr>
        <w:t>移民安置规划成果，由</w:t>
      </w:r>
      <w:r>
        <w:rPr>
          <w:rFonts w:hint="eastAsia" w:hAnsi="宋体"/>
          <w:sz w:val="24"/>
        </w:rPr>
        <w:t>陆蓄公司</w:t>
      </w:r>
      <w:r>
        <w:rPr>
          <w:rFonts w:hAnsi="宋体"/>
          <w:sz w:val="24"/>
        </w:rPr>
        <w:t>组织分项、分类、总体成果、汇总成果技术审查后，根据国务院令第</w:t>
      </w:r>
      <w:r>
        <w:rPr>
          <w:sz w:val="24"/>
        </w:rPr>
        <w:t>679</w:t>
      </w:r>
      <w:r>
        <w:rPr>
          <w:rFonts w:hAnsi="宋体"/>
          <w:sz w:val="24"/>
        </w:rPr>
        <w:t>号第十条第二款的规定，按审批权限进行审核。审核完成后，</w:t>
      </w:r>
      <w:r>
        <w:rPr>
          <w:rFonts w:hint="eastAsia" w:hAnsi="宋体"/>
          <w:sz w:val="24"/>
        </w:rPr>
        <w:t>陆蓄公司</w:t>
      </w:r>
      <w:r>
        <w:rPr>
          <w:rFonts w:hAnsi="宋体"/>
          <w:sz w:val="24"/>
        </w:rPr>
        <w:t>负责将该规划成果与项目申请报告报项目核准部门一并核准。</w:t>
      </w:r>
    </w:p>
    <w:p>
      <w:pPr>
        <w:pStyle w:val="4"/>
        <w:rPr>
          <w:kern w:val="2"/>
        </w:rPr>
      </w:pPr>
      <w:bookmarkStart w:id="435" w:name="_Toc85660322"/>
      <w:bookmarkStart w:id="436" w:name="_Toc85632554"/>
      <w:r>
        <w:rPr>
          <w:kern w:val="2"/>
        </w:rPr>
        <w:t>12.1.2  移民安置规划意见听取</w:t>
      </w:r>
      <w:bookmarkEnd w:id="435"/>
      <w:bookmarkEnd w:id="436"/>
    </w:p>
    <w:p>
      <w:pPr>
        <w:pStyle w:val="5"/>
      </w:pPr>
      <w:r>
        <w:t>12.1.2.1  准备工作</w:t>
      </w:r>
    </w:p>
    <w:p>
      <w:pPr>
        <w:overflowPunct w:val="0"/>
        <w:autoSpaceDE w:val="0"/>
        <w:autoSpaceDN w:val="0"/>
        <w:adjustRightInd w:val="0"/>
        <w:snapToGrid w:val="0"/>
        <w:spacing w:line="480" w:lineRule="exact"/>
        <w:ind w:firstLine="480" w:firstLineChars="200"/>
        <w:rPr>
          <w:sz w:val="24"/>
        </w:rPr>
      </w:pPr>
      <w:r>
        <w:rPr>
          <w:rFonts w:hAnsi="宋体"/>
          <w:sz w:val="24"/>
        </w:rPr>
        <w:t>由</w:t>
      </w:r>
      <w:r>
        <w:rPr>
          <w:rFonts w:hint="eastAsia" w:hAnsi="宋体"/>
          <w:sz w:val="24"/>
        </w:rPr>
        <w:t>陆河</w:t>
      </w:r>
      <w:r>
        <w:rPr>
          <w:rFonts w:hAnsi="宋体"/>
          <w:sz w:val="24"/>
        </w:rPr>
        <w:t>县人民政府和</w:t>
      </w:r>
      <w:r>
        <w:rPr>
          <w:rFonts w:hint="eastAsia" w:hAnsi="宋体"/>
          <w:sz w:val="24"/>
        </w:rPr>
        <w:t>中南院</w:t>
      </w:r>
      <w:r>
        <w:rPr>
          <w:rFonts w:hAnsi="宋体"/>
          <w:sz w:val="24"/>
        </w:rPr>
        <w:t>准备有关听取移民意见的材料，包括相关政策宣传、生产安置规划方案、搬迁安置规划方案、安置标准及补偿标准等内容。广泛进行宣传动员，调动广大移民群众参与意愿调查的积极性。</w:t>
      </w:r>
    </w:p>
    <w:p>
      <w:pPr>
        <w:pStyle w:val="5"/>
      </w:pPr>
      <w:r>
        <w:t>12.1.2.2  听取意见程序</w:t>
      </w:r>
    </w:p>
    <w:p>
      <w:pPr>
        <w:overflowPunct w:val="0"/>
        <w:autoSpaceDE w:val="0"/>
        <w:autoSpaceDN w:val="0"/>
        <w:adjustRightInd w:val="0"/>
        <w:snapToGrid w:val="0"/>
        <w:spacing w:line="480" w:lineRule="exact"/>
        <w:ind w:firstLine="480" w:firstLineChars="200"/>
        <w:rPr>
          <w:sz w:val="24"/>
        </w:rPr>
      </w:pPr>
      <w:r>
        <w:rPr>
          <w:rFonts w:hAnsi="宋体"/>
          <w:sz w:val="24"/>
        </w:rPr>
        <w:t>首先，将征求意见的材料下发到移民所在地的乡和村。</w:t>
      </w:r>
    </w:p>
    <w:p>
      <w:pPr>
        <w:overflowPunct w:val="0"/>
        <w:autoSpaceDE w:val="0"/>
        <w:autoSpaceDN w:val="0"/>
        <w:adjustRightInd w:val="0"/>
        <w:snapToGrid w:val="0"/>
        <w:spacing w:line="480" w:lineRule="exact"/>
        <w:ind w:firstLine="480" w:firstLineChars="200"/>
        <w:rPr>
          <w:sz w:val="24"/>
        </w:rPr>
      </w:pPr>
      <w:r>
        <w:rPr>
          <w:rFonts w:hAnsi="宋体"/>
          <w:sz w:val="24"/>
        </w:rPr>
        <w:t>然后，由各村将资料下发到移民手中，并召开村民大会讨论移民安置规划报告内容，收集提出的意见，并将意见反馈到</w:t>
      </w:r>
      <w:r>
        <w:rPr>
          <w:rFonts w:hint="eastAsia" w:hAnsi="宋体"/>
          <w:sz w:val="24"/>
        </w:rPr>
        <w:t>镇</w:t>
      </w:r>
      <w:r>
        <w:rPr>
          <w:rFonts w:hAnsi="宋体"/>
          <w:sz w:val="24"/>
        </w:rPr>
        <w:t>政府，由</w:t>
      </w:r>
      <w:r>
        <w:rPr>
          <w:rFonts w:hint="eastAsia" w:hAnsi="宋体"/>
          <w:sz w:val="24"/>
        </w:rPr>
        <w:t>镇</w:t>
      </w:r>
      <w:r>
        <w:rPr>
          <w:rFonts w:hAnsi="宋体"/>
          <w:sz w:val="24"/>
        </w:rPr>
        <w:t>政府工作人员整理汇总后再反馈到县政府。</w:t>
      </w:r>
    </w:p>
    <w:p>
      <w:pPr>
        <w:overflowPunct w:val="0"/>
        <w:autoSpaceDE w:val="0"/>
        <w:autoSpaceDN w:val="0"/>
        <w:adjustRightInd w:val="0"/>
        <w:snapToGrid w:val="0"/>
        <w:spacing w:line="480" w:lineRule="exact"/>
        <w:ind w:firstLine="480" w:firstLineChars="200"/>
        <w:rPr>
          <w:sz w:val="24"/>
        </w:rPr>
      </w:pPr>
      <w:r>
        <w:rPr>
          <w:rFonts w:hAnsi="宋体"/>
          <w:sz w:val="24"/>
        </w:rPr>
        <w:t>最后，由</w:t>
      </w:r>
      <w:r>
        <w:rPr>
          <w:rFonts w:hint="eastAsia" w:hAnsi="宋体"/>
          <w:sz w:val="24"/>
        </w:rPr>
        <w:t>陆河</w:t>
      </w:r>
      <w:r>
        <w:rPr>
          <w:rFonts w:hAnsi="宋体"/>
          <w:sz w:val="24"/>
        </w:rPr>
        <w:t>县人民政府、</w:t>
      </w:r>
      <w:r>
        <w:rPr>
          <w:rFonts w:hint="eastAsia" w:hAnsi="宋体"/>
          <w:sz w:val="24"/>
        </w:rPr>
        <w:t>陆蓄公司</w:t>
      </w:r>
      <w:r>
        <w:rPr>
          <w:rFonts w:hAnsi="宋体"/>
          <w:sz w:val="24"/>
        </w:rPr>
        <w:t>和</w:t>
      </w:r>
      <w:r>
        <w:rPr>
          <w:rFonts w:hint="eastAsia" w:hAnsi="宋体"/>
          <w:sz w:val="24"/>
        </w:rPr>
        <w:t>中南院</w:t>
      </w:r>
      <w:r>
        <w:rPr>
          <w:rFonts w:hAnsi="宋体"/>
          <w:sz w:val="24"/>
        </w:rPr>
        <w:t>组织有关移民代表参加听取意见会，听取移民意见。</w:t>
      </w:r>
    </w:p>
    <w:p>
      <w:pPr>
        <w:pStyle w:val="5"/>
      </w:pPr>
      <w:r>
        <w:t>12.1.2.3  规划报告征求意见听取</w:t>
      </w:r>
    </w:p>
    <w:p>
      <w:pPr>
        <w:overflowPunct w:val="0"/>
        <w:autoSpaceDE w:val="0"/>
        <w:autoSpaceDN w:val="0"/>
        <w:adjustRightInd w:val="0"/>
        <w:snapToGrid w:val="0"/>
        <w:spacing w:line="480" w:lineRule="exact"/>
        <w:ind w:firstLine="480" w:firstLineChars="200"/>
        <w:rPr>
          <w:sz w:val="24"/>
        </w:rPr>
      </w:pPr>
      <w:r>
        <w:rPr>
          <w:rFonts w:hAnsi="宋体"/>
          <w:sz w:val="24"/>
        </w:rPr>
        <w:t>《规划报告》编制完成后，由</w:t>
      </w:r>
      <w:r>
        <w:rPr>
          <w:rFonts w:hint="eastAsia" w:hAnsi="宋体"/>
          <w:sz w:val="24"/>
        </w:rPr>
        <w:t>陆蓄公司</w:t>
      </w:r>
      <w:r>
        <w:rPr>
          <w:rFonts w:hAnsi="宋体"/>
          <w:sz w:val="24"/>
        </w:rPr>
        <w:t>牵头，</w:t>
      </w:r>
      <w:r>
        <w:rPr>
          <w:rFonts w:hint="eastAsia" w:hAnsi="宋体"/>
          <w:sz w:val="24"/>
        </w:rPr>
        <w:t>陆河</w:t>
      </w:r>
      <w:r>
        <w:rPr>
          <w:rFonts w:hAnsi="宋体"/>
          <w:sz w:val="24"/>
        </w:rPr>
        <w:t>县人民政府组织，</w:t>
      </w:r>
      <w:r>
        <w:rPr>
          <w:rFonts w:hint="eastAsia" w:hAnsi="宋体"/>
          <w:sz w:val="24"/>
        </w:rPr>
        <w:t>中南院</w:t>
      </w:r>
      <w:r>
        <w:rPr>
          <w:rFonts w:hAnsi="宋体"/>
          <w:sz w:val="24"/>
        </w:rPr>
        <w:t>工作人员参与，深入移民和移民安置区，召集各村移民共同讨论规划报告的主要内容，征求移民和安置地居民意见，对于提出的补偿标准、移民后期扶持期限和标准等问题，地方政府和</w:t>
      </w:r>
      <w:r>
        <w:rPr>
          <w:rFonts w:hint="eastAsia" w:hAnsi="宋体"/>
          <w:sz w:val="24"/>
        </w:rPr>
        <w:t>中南院</w:t>
      </w:r>
      <w:r>
        <w:rPr>
          <w:rFonts w:hAnsi="宋体"/>
          <w:sz w:val="24"/>
        </w:rPr>
        <w:t>负责解释。</w:t>
      </w:r>
    </w:p>
    <w:p>
      <w:pPr>
        <w:overflowPunct w:val="0"/>
        <w:autoSpaceDE w:val="0"/>
        <w:autoSpaceDN w:val="0"/>
        <w:adjustRightInd w:val="0"/>
        <w:snapToGrid w:val="0"/>
        <w:spacing w:line="480" w:lineRule="exact"/>
        <w:ind w:firstLine="480" w:firstLineChars="200"/>
        <w:rPr>
          <w:sz w:val="24"/>
        </w:rPr>
      </w:pPr>
      <w:r>
        <w:rPr>
          <w:rFonts w:hAnsi="宋体"/>
          <w:sz w:val="24"/>
        </w:rPr>
        <w:t>通过对《规划报告》征求移民意见，使规划成果更切合实际，具有更强的可操作性，移民和移民安置区居民对国家相关政策法规有了进一步了解，并能对自己的安置方案充分发表自己的意见，为下阶段移民安置实施工作的顺利进行打下坚实的基础，对维护电站建设征地区和安置区的社会稳定将起到积极的推动作用。</w:t>
      </w:r>
    </w:p>
    <w:p>
      <w:pPr>
        <w:pStyle w:val="3"/>
      </w:pPr>
      <w:bookmarkStart w:id="437" w:name="_Toc30446"/>
      <w:bookmarkStart w:id="438" w:name="_Toc85660323"/>
      <w:bookmarkStart w:id="439" w:name="_Toc90934906"/>
      <w:bookmarkStart w:id="440" w:name="_Toc86265115"/>
      <w:bookmarkStart w:id="441" w:name="_Toc8867"/>
      <w:r>
        <w:t>12.2  编制内容</w:t>
      </w:r>
      <w:bookmarkEnd w:id="437"/>
      <w:bookmarkEnd w:id="438"/>
      <w:bookmarkEnd w:id="439"/>
      <w:bookmarkEnd w:id="440"/>
      <w:bookmarkEnd w:id="441"/>
    </w:p>
    <w:p>
      <w:pPr>
        <w:overflowPunct w:val="0"/>
        <w:autoSpaceDE w:val="0"/>
        <w:autoSpaceDN w:val="0"/>
        <w:adjustRightInd w:val="0"/>
        <w:snapToGrid w:val="0"/>
        <w:spacing w:line="480" w:lineRule="exact"/>
        <w:ind w:firstLine="480" w:firstLineChars="200"/>
        <w:rPr>
          <w:sz w:val="24"/>
        </w:rPr>
      </w:pPr>
      <w:r>
        <w:rPr>
          <w:rFonts w:hAnsi="宋体"/>
          <w:sz w:val="24"/>
        </w:rPr>
        <w:t>根据规程规范和编制指南，建设征地移民安置规划设计报告编制主要包括农村移民安置规划设计、专业项目规划设计、临时用地恢复规划设计、库底清理、环境保护和水土保持规划设计以及补偿投资概算等方面。</w:t>
      </w:r>
    </w:p>
    <w:bookmarkEnd w:id="434"/>
    <w:p>
      <w:pPr>
        <w:pStyle w:val="3"/>
      </w:pPr>
      <w:bookmarkStart w:id="442" w:name="_Toc8612"/>
      <w:bookmarkStart w:id="443" w:name="_Toc86265116"/>
      <w:bookmarkStart w:id="444" w:name="_Toc85660324"/>
      <w:bookmarkStart w:id="445" w:name="_Toc90934907"/>
      <w:bookmarkStart w:id="446" w:name="_Toc806"/>
      <w:bookmarkStart w:id="447" w:name="_Toc85487788"/>
      <w:r>
        <w:t>12.3  编制依据</w:t>
      </w:r>
      <w:bookmarkEnd w:id="442"/>
      <w:bookmarkEnd w:id="443"/>
      <w:bookmarkEnd w:id="444"/>
      <w:bookmarkEnd w:id="445"/>
      <w:bookmarkEnd w:id="446"/>
      <w:bookmarkEnd w:id="447"/>
    </w:p>
    <w:p>
      <w:pPr>
        <w:overflowPunct w:val="0"/>
        <w:autoSpaceDE w:val="0"/>
        <w:autoSpaceDN w:val="0"/>
        <w:adjustRightInd w:val="0"/>
        <w:snapToGrid w:val="0"/>
        <w:spacing w:line="480" w:lineRule="exact"/>
        <w:ind w:firstLine="480" w:firstLineChars="200"/>
        <w:rPr>
          <w:sz w:val="24"/>
        </w:rPr>
      </w:pPr>
      <w:r>
        <w:rPr>
          <w:rFonts w:hAnsi="宋体"/>
          <w:sz w:val="24"/>
        </w:rPr>
        <w:t>《</w:t>
      </w:r>
      <w:r>
        <w:rPr>
          <w:rFonts w:hint="eastAsia" w:hAnsi="宋体"/>
          <w:sz w:val="24"/>
        </w:rPr>
        <w:t>广东陆河</w:t>
      </w:r>
      <w:r>
        <w:rPr>
          <w:rFonts w:hAnsi="宋体"/>
          <w:sz w:val="24"/>
        </w:rPr>
        <w:t>抽水蓄能电站建设征地移民安置规划报告》的编制应在审定的《</w:t>
      </w:r>
      <w:r>
        <w:rPr>
          <w:rFonts w:hint="eastAsia" w:hAnsi="宋体"/>
          <w:sz w:val="24"/>
        </w:rPr>
        <w:t>广东陆河</w:t>
      </w:r>
      <w:r>
        <w:rPr>
          <w:rFonts w:hAnsi="宋体"/>
          <w:sz w:val="24"/>
        </w:rPr>
        <w:t>抽水蓄能电站建设征地移民安置规划大纲》的基础上，根据确定的安置任务、安置标准及规划方案，遵循确定的规划原则和规划依据，严格按相关法律法规、规程规范和行业标准，进行移民安置规划设计。</w:t>
      </w:r>
    </w:p>
    <w:p>
      <w:pPr>
        <w:pStyle w:val="4"/>
      </w:pPr>
      <w:bookmarkStart w:id="448" w:name="_Toc85632557"/>
      <w:bookmarkStart w:id="449" w:name="_Toc85487789"/>
      <w:bookmarkStart w:id="450" w:name="_Toc85660325"/>
      <w:r>
        <w:t>12.3.1  法律、法规及条例</w:t>
      </w:r>
      <w:bookmarkEnd w:id="448"/>
      <w:bookmarkEnd w:id="449"/>
      <w:bookmarkEnd w:id="450"/>
    </w:p>
    <w:p>
      <w:pPr>
        <w:overflowPunct w:val="0"/>
        <w:autoSpaceDE w:val="0"/>
        <w:autoSpaceDN w:val="0"/>
        <w:adjustRightInd w:val="0"/>
        <w:snapToGrid w:val="0"/>
        <w:spacing w:line="480" w:lineRule="exact"/>
        <w:ind w:firstLine="480" w:firstLineChars="200"/>
        <w:rPr>
          <w:sz w:val="24"/>
        </w:rPr>
      </w:pPr>
      <w:r>
        <w:rPr>
          <w:sz w:val="24"/>
        </w:rPr>
        <w:t>1)</w:t>
      </w:r>
      <w:r>
        <w:rPr>
          <w:rFonts w:hint="eastAsia"/>
          <w:sz w:val="24"/>
        </w:rPr>
        <w:t xml:space="preserve"> </w:t>
      </w:r>
      <w:r>
        <w:rPr>
          <w:rFonts w:hAnsi="宋体"/>
          <w:sz w:val="24"/>
        </w:rPr>
        <w:t>《中华人民共和国水法》</w:t>
      </w:r>
      <w:r>
        <w:rPr>
          <w:sz w:val="24"/>
        </w:rPr>
        <w:t>(2016</w:t>
      </w:r>
      <w:r>
        <w:rPr>
          <w:rFonts w:hAnsi="宋体"/>
          <w:sz w:val="24"/>
        </w:rPr>
        <w:t>年</w:t>
      </w:r>
      <w:r>
        <w:rPr>
          <w:sz w:val="24"/>
        </w:rPr>
        <w:t>7</w:t>
      </w:r>
      <w:r>
        <w:rPr>
          <w:rFonts w:hAnsi="宋体"/>
          <w:sz w:val="24"/>
        </w:rPr>
        <w:t>月</w:t>
      </w:r>
      <w:r>
        <w:rPr>
          <w:sz w:val="24"/>
        </w:rPr>
        <w:t>2</w:t>
      </w:r>
      <w:r>
        <w:rPr>
          <w:rFonts w:hAnsi="宋体"/>
          <w:sz w:val="24"/>
        </w:rPr>
        <w:t>日修正</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2)</w:t>
      </w:r>
      <w:r>
        <w:rPr>
          <w:rFonts w:hint="eastAsia"/>
          <w:sz w:val="24"/>
        </w:rPr>
        <w:t xml:space="preserve"> </w:t>
      </w:r>
      <w:r>
        <w:rPr>
          <w:rFonts w:hAnsi="宋体"/>
          <w:sz w:val="24"/>
        </w:rPr>
        <w:t>《中华人民共和国土地管理法》</w:t>
      </w:r>
      <w:r>
        <w:rPr>
          <w:sz w:val="24"/>
        </w:rPr>
        <w:t>(2019</w:t>
      </w:r>
      <w:r>
        <w:rPr>
          <w:rFonts w:hAnsi="宋体"/>
          <w:sz w:val="24"/>
        </w:rPr>
        <w:t>年</w:t>
      </w:r>
      <w:r>
        <w:rPr>
          <w:sz w:val="24"/>
        </w:rPr>
        <w:t>8</w:t>
      </w:r>
      <w:r>
        <w:rPr>
          <w:rFonts w:hAnsi="宋体"/>
          <w:sz w:val="24"/>
        </w:rPr>
        <w:t>月</w:t>
      </w:r>
      <w:r>
        <w:rPr>
          <w:sz w:val="24"/>
        </w:rPr>
        <w:t>26</w:t>
      </w:r>
      <w:r>
        <w:rPr>
          <w:rFonts w:hAnsi="宋体"/>
          <w:sz w:val="24"/>
        </w:rPr>
        <w:t>日修正</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3)</w:t>
      </w:r>
      <w:r>
        <w:rPr>
          <w:rFonts w:hint="eastAsia"/>
          <w:sz w:val="24"/>
        </w:rPr>
        <w:t xml:space="preserve"> </w:t>
      </w:r>
      <w:r>
        <w:rPr>
          <w:rFonts w:hAnsi="宋体"/>
          <w:sz w:val="24"/>
        </w:rPr>
        <w:t>《中华人民共和国农村土地承包法》</w:t>
      </w:r>
      <w:r>
        <w:rPr>
          <w:sz w:val="24"/>
        </w:rPr>
        <w:t>(2018</w:t>
      </w:r>
      <w:r>
        <w:rPr>
          <w:rFonts w:hAnsi="宋体"/>
          <w:sz w:val="24"/>
        </w:rPr>
        <w:t>年</w:t>
      </w:r>
      <w:r>
        <w:rPr>
          <w:sz w:val="24"/>
        </w:rPr>
        <w:t>12</w:t>
      </w:r>
      <w:r>
        <w:rPr>
          <w:rFonts w:hAnsi="宋体"/>
          <w:sz w:val="24"/>
        </w:rPr>
        <w:t>月</w:t>
      </w:r>
      <w:r>
        <w:rPr>
          <w:sz w:val="24"/>
        </w:rPr>
        <w:t>29</w:t>
      </w:r>
      <w:r>
        <w:rPr>
          <w:rFonts w:hAnsi="宋体"/>
          <w:sz w:val="24"/>
        </w:rPr>
        <w:t>日修正</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4)</w:t>
      </w:r>
      <w:r>
        <w:rPr>
          <w:rFonts w:hint="eastAsia"/>
          <w:sz w:val="24"/>
        </w:rPr>
        <w:t xml:space="preserve"> </w:t>
      </w:r>
      <w:r>
        <w:rPr>
          <w:rFonts w:hAnsi="宋体"/>
          <w:sz w:val="24"/>
        </w:rPr>
        <w:t>《中华人民共和国城乡规划法》</w:t>
      </w:r>
      <w:r>
        <w:rPr>
          <w:sz w:val="24"/>
        </w:rPr>
        <w:t>(2019</w:t>
      </w:r>
      <w:r>
        <w:rPr>
          <w:rFonts w:hAnsi="宋体"/>
          <w:sz w:val="24"/>
        </w:rPr>
        <w:t>年</w:t>
      </w:r>
      <w:r>
        <w:rPr>
          <w:sz w:val="24"/>
        </w:rPr>
        <w:t>4</w:t>
      </w:r>
      <w:r>
        <w:rPr>
          <w:rFonts w:hAnsi="宋体"/>
          <w:sz w:val="24"/>
        </w:rPr>
        <w:t>月</w:t>
      </w:r>
      <w:r>
        <w:rPr>
          <w:sz w:val="24"/>
        </w:rPr>
        <w:t>23</w:t>
      </w:r>
      <w:r>
        <w:rPr>
          <w:rFonts w:hAnsi="宋体"/>
          <w:sz w:val="24"/>
        </w:rPr>
        <w:t>日修正</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5)</w:t>
      </w:r>
      <w:r>
        <w:rPr>
          <w:rFonts w:hint="eastAsia"/>
          <w:sz w:val="24"/>
        </w:rPr>
        <w:t xml:space="preserve"> </w:t>
      </w:r>
      <w:r>
        <w:rPr>
          <w:rFonts w:hAnsi="宋体"/>
          <w:sz w:val="24"/>
        </w:rPr>
        <w:t>《中华人民共和国水土保持法》</w:t>
      </w:r>
      <w:r>
        <w:rPr>
          <w:sz w:val="24"/>
        </w:rPr>
        <w:t>(2011</w:t>
      </w:r>
      <w:r>
        <w:rPr>
          <w:rFonts w:hAnsi="宋体"/>
          <w:sz w:val="24"/>
        </w:rPr>
        <w:t>年</w:t>
      </w:r>
      <w:r>
        <w:rPr>
          <w:sz w:val="24"/>
        </w:rPr>
        <w:t>3</w:t>
      </w:r>
      <w:r>
        <w:rPr>
          <w:rFonts w:hAnsi="宋体"/>
          <w:sz w:val="24"/>
        </w:rPr>
        <w:t>月</w:t>
      </w:r>
      <w:r>
        <w:rPr>
          <w:sz w:val="24"/>
        </w:rPr>
        <w:t>1</w:t>
      </w:r>
      <w:r>
        <w:rPr>
          <w:rFonts w:hAnsi="宋体"/>
          <w:sz w:val="24"/>
        </w:rPr>
        <w:t>日施行</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6)</w:t>
      </w:r>
      <w:r>
        <w:rPr>
          <w:rFonts w:hint="eastAsia"/>
          <w:sz w:val="24"/>
        </w:rPr>
        <w:t xml:space="preserve"> </w:t>
      </w:r>
      <w:r>
        <w:rPr>
          <w:rFonts w:hAnsi="宋体"/>
          <w:sz w:val="24"/>
        </w:rPr>
        <w:t>《中华人民共和国环境保护法》</w:t>
      </w:r>
      <w:r>
        <w:rPr>
          <w:sz w:val="24"/>
        </w:rPr>
        <w:t>(2015</w:t>
      </w:r>
      <w:r>
        <w:rPr>
          <w:rFonts w:hAnsi="宋体"/>
          <w:sz w:val="24"/>
        </w:rPr>
        <w:t>年</w:t>
      </w:r>
      <w:r>
        <w:rPr>
          <w:sz w:val="24"/>
        </w:rPr>
        <w:t>1</w:t>
      </w:r>
      <w:r>
        <w:rPr>
          <w:rFonts w:hAnsi="宋体"/>
          <w:sz w:val="24"/>
        </w:rPr>
        <w:t>月</w:t>
      </w:r>
      <w:r>
        <w:rPr>
          <w:sz w:val="24"/>
        </w:rPr>
        <w:t>1</w:t>
      </w:r>
      <w:r>
        <w:rPr>
          <w:rFonts w:hAnsi="宋体"/>
          <w:sz w:val="24"/>
        </w:rPr>
        <w:t>日施行</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7)</w:t>
      </w:r>
      <w:r>
        <w:rPr>
          <w:rFonts w:hint="eastAsia"/>
          <w:sz w:val="24"/>
        </w:rPr>
        <w:t xml:space="preserve"> </w:t>
      </w:r>
      <w:r>
        <w:rPr>
          <w:rFonts w:hAnsi="宋体"/>
          <w:sz w:val="24"/>
        </w:rPr>
        <w:t>《中华人民共和国矿产资源法》</w:t>
      </w:r>
      <w:r>
        <w:rPr>
          <w:sz w:val="24"/>
        </w:rPr>
        <w:t>(2009</w:t>
      </w:r>
      <w:r>
        <w:rPr>
          <w:rFonts w:hAnsi="宋体"/>
          <w:sz w:val="24"/>
        </w:rPr>
        <w:t>年</w:t>
      </w:r>
      <w:r>
        <w:rPr>
          <w:sz w:val="24"/>
        </w:rPr>
        <w:t>8</w:t>
      </w:r>
      <w:r>
        <w:rPr>
          <w:rFonts w:hAnsi="宋体"/>
          <w:sz w:val="24"/>
        </w:rPr>
        <w:t>月</w:t>
      </w:r>
      <w:r>
        <w:rPr>
          <w:sz w:val="24"/>
        </w:rPr>
        <w:t>27</w:t>
      </w:r>
      <w:r>
        <w:rPr>
          <w:rFonts w:hAnsi="宋体"/>
          <w:sz w:val="24"/>
        </w:rPr>
        <w:t>日修正</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8)</w:t>
      </w:r>
      <w:r>
        <w:rPr>
          <w:rFonts w:hint="eastAsia"/>
          <w:sz w:val="24"/>
        </w:rPr>
        <w:t xml:space="preserve"> </w:t>
      </w:r>
      <w:r>
        <w:rPr>
          <w:rFonts w:hAnsi="宋体"/>
          <w:sz w:val="24"/>
        </w:rPr>
        <w:t>《中华人民共和国文物保护法》</w:t>
      </w:r>
      <w:r>
        <w:rPr>
          <w:sz w:val="24"/>
        </w:rPr>
        <w:t>(2017</w:t>
      </w:r>
      <w:r>
        <w:rPr>
          <w:rFonts w:hAnsi="宋体"/>
          <w:sz w:val="24"/>
        </w:rPr>
        <w:t>年</w:t>
      </w:r>
      <w:r>
        <w:rPr>
          <w:sz w:val="24"/>
        </w:rPr>
        <w:t>11</w:t>
      </w:r>
      <w:r>
        <w:rPr>
          <w:rFonts w:hAnsi="宋体"/>
          <w:sz w:val="24"/>
        </w:rPr>
        <w:t>月</w:t>
      </w:r>
      <w:r>
        <w:rPr>
          <w:sz w:val="24"/>
        </w:rPr>
        <w:t>4</w:t>
      </w:r>
      <w:r>
        <w:rPr>
          <w:rFonts w:hAnsi="宋体"/>
          <w:sz w:val="24"/>
        </w:rPr>
        <w:t>日修正</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9)</w:t>
      </w:r>
      <w:r>
        <w:rPr>
          <w:rFonts w:hint="eastAsia"/>
          <w:sz w:val="24"/>
        </w:rPr>
        <w:t xml:space="preserve"> </w:t>
      </w:r>
      <w:r>
        <w:rPr>
          <w:rFonts w:hAnsi="宋体"/>
          <w:sz w:val="24"/>
        </w:rPr>
        <w:t>《中华人民共和国森林法》</w:t>
      </w:r>
      <w:r>
        <w:rPr>
          <w:sz w:val="24"/>
        </w:rPr>
        <w:t>(2019</w:t>
      </w:r>
      <w:r>
        <w:rPr>
          <w:rFonts w:hAnsi="宋体"/>
          <w:sz w:val="24"/>
        </w:rPr>
        <w:t>年</w:t>
      </w:r>
      <w:r>
        <w:rPr>
          <w:sz w:val="24"/>
        </w:rPr>
        <w:t>10</w:t>
      </w:r>
      <w:r>
        <w:rPr>
          <w:rFonts w:hAnsi="宋体"/>
          <w:sz w:val="24"/>
        </w:rPr>
        <w:t>月</w:t>
      </w:r>
      <w:r>
        <w:rPr>
          <w:sz w:val="24"/>
        </w:rPr>
        <w:t>29</w:t>
      </w:r>
      <w:r>
        <w:rPr>
          <w:rFonts w:hAnsi="宋体"/>
          <w:sz w:val="24"/>
        </w:rPr>
        <w:t>日修订</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10)</w:t>
      </w:r>
      <w:r>
        <w:rPr>
          <w:rFonts w:hint="eastAsia"/>
          <w:sz w:val="24"/>
        </w:rPr>
        <w:t xml:space="preserve"> </w:t>
      </w:r>
      <w:r>
        <w:rPr>
          <w:rFonts w:hAnsi="宋体"/>
          <w:sz w:val="24"/>
        </w:rPr>
        <w:t>《基本农田保护条例》</w:t>
      </w:r>
      <w:r>
        <w:rPr>
          <w:sz w:val="24"/>
        </w:rPr>
        <w:t>(</w:t>
      </w:r>
      <w:r>
        <w:rPr>
          <w:rFonts w:hAnsi="宋体"/>
          <w:sz w:val="24"/>
        </w:rPr>
        <w:t>国务院令第</w:t>
      </w:r>
      <w:r>
        <w:rPr>
          <w:sz w:val="24"/>
        </w:rPr>
        <w:t>257</w:t>
      </w:r>
      <w:r>
        <w:rPr>
          <w:rFonts w:hAnsi="宋体"/>
          <w:sz w:val="24"/>
        </w:rPr>
        <w:t>号</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11)</w:t>
      </w:r>
      <w:r>
        <w:rPr>
          <w:rFonts w:hint="eastAsia"/>
          <w:sz w:val="24"/>
        </w:rPr>
        <w:t xml:space="preserve"> </w:t>
      </w:r>
      <w:r>
        <w:rPr>
          <w:rFonts w:hAnsi="宋体"/>
          <w:sz w:val="24"/>
        </w:rPr>
        <w:t>《关于全面实行永久基本农田特殊保护的通知》</w:t>
      </w:r>
      <w:r>
        <w:rPr>
          <w:sz w:val="24"/>
        </w:rPr>
        <w:t>(</w:t>
      </w:r>
      <w:r>
        <w:rPr>
          <w:rFonts w:hAnsi="宋体"/>
          <w:sz w:val="24"/>
        </w:rPr>
        <w:t>国土资规〔</w:t>
      </w:r>
      <w:r>
        <w:rPr>
          <w:sz w:val="24"/>
        </w:rPr>
        <w:t>2018</w:t>
      </w:r>
      <w:r>
        <w:rPr>
          <w:rFonts w:hAnsi="宋体"/>
          <w:sz w:val="24"/>
        </w:rPr>
        <w:t>〕</w:t>
      </w:r>
      <w:r>
        <w:rPr>
          <w:sz w:val="24"/>
        </w:rPr>
        <w:t>1</w:t>
      </w:r>
      <w:r>
        <w:rPr>
          <w:rFonts w:hAnsi="宋体"/>
          <w:sz w:val="24"/>
        </w:rPr>
        <w:t>号</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sz w:val="24"/>
        </w:rPr>
        <w:t>12)</w:t>
      </w:r>
      <w:r>
        <w:rPr>
          <w:rFonts w:hint="eastAsia"/>
          <w:sz w:val="24"/>
        </w:rPr>
        <w:t xml:space="preserve"> </w:t>
      </w:r>
      <w:r>
        <w:rPr>
          <w:rFonts w:hAnsi="宋体"/>
          <w:sz w:val="24"/>
        </w:rPr>
        <w:t>《土地复垦条例》</w:t>
      </w:r>
      <w:r>
        <w:rPr>
          <w:sz w:val="24"/>
        </w:rPr>
        <w:t>(</w:t>
      </w:r>
      <w:r>
        <w:rPr>
          <w:rFonts w:hAnsi="宋体"/>
          <w:sz w:val="24"/>
        </w:rPr>
        <w:t>国务院令第</w:t>
      </w:r>
      <w:r>
        <w:rPr>
          <w:sz w:val="24"/>
        </w:rPr>
        <w:t>592</w:t>
      </w:r>
      <w:r>
        <w:rPr>
          <w:rFonts w:hAnsi="宋体"/>
          <w:sz w:val="24"/>
        </w:rPr>
        <w:t>号</w:t>
      </w:r>
      <w:r>
        <w:rPr>
          <w:sz w:val="24"/>
        </w:rPr>
        <w:t>)</w:t>
      </w:r>
      <w:r>
        <w:rPr>
          <w:rFonts w:hAnsi="宋体"/>
          <w:sz w:val="24"/>
        </w:rPr>
        <w:t>；</w:t>
      </w:r>
    </w:p>
    <w:p>
      <w:pPr>
        <w:overflowPunct w:val="0"/>
        <w:autoSpaceDE w:val="0"/>
        <w:autoSpaceDN w:val="0"/>
        <w:adjustRightInd w:val="0"/>
        <w:snapToGrid w:val="0"/>
        <w:spacing w:line="480" w:lineRule="exact"/>
        <w:ind w:firstLine="480" w:firstLineChars="200"/>
        <w:rPr>
          <w:sz w:val="24"/>
        </w:rPr>
      </w:pPr>
      <w:r>
        <w:rPr>
          <w:rFonts w:hint="eastAsia"/>
          <w:sz w:val="24"/>
        </w:rPr>
        <w:t>13) 《广东省实施〈中华人民共和国土地管理法〉办法》(2009年1月1日施行)；</w:t>
      </w:r>
    </w:p>
    <w:p>
      <w:pPr>
        <w:overflowPunct w:val="0"/>
        <w:autoSpaceDE w:val="0"/>
        <w:autoSpaceDN w:val="0"/>
        <w:adjustRightInd w:val="0"/>
        <w:snapToGrid w:val="0"/>
        <w:spacing w:line="480" w:lineRule="exact"/>
        <w:ind w:firstLine="480" w:firstLineChars="200"/>
        <w:rPr>
          <w:sz w:val="24"/>
        </w:rPr>
      </w:pPr>
      <w:r>
        <w:rPr>
          <w:rFonts w:hint="eastAsia"/>
          <w:sz w:val="24"/>
        </w:rPr>
        <w:t>14) 《广东省林地保护管理条例》(2020年9月29日修正)；</w:t>
      </w:r>
    </w:p>
    <w:p>
      <w:pPr>
        <w:overflowPunct w:val="0"/>
        <w:autoSpaceDE w:val="0"/>
        <w:autoSpaceDN w:val="0"/>
        <w:adjustRightInd w:val="0"/>
        <w:snapToGrid w:val="0"/>
        <w:spacing w:line="480" w:lineRule="exact"/>
        <w:ind w:firstLine="480" w:firstLineChars="200"/>
        <w:rPr>
          <w:sz w:val="24"/>
        </w:rPr>
      </w:pPr>
      <w:r>
        <w:rPr>
          <w:rFonts w:hint="eastAsia"/>
          <w:sz w:val="24"/>
        </w:rPr>
        <w:t>15) 《中共广东省为广东省人民政府关于加强耕地保护和改进占补平衡的实施意见》(粤发〔2017〕21号)；</w:t>
      </w:r>
    </w:p>
    <w:p>
      <w:pPr>
        <w:overflowPunct w:val="0"/>
        <w:autoSpaceDE w:val="0"/>
        <w:autoSpaceDN w:val="0"/>
        <w:adjustRightInd w:val="0"/>
        <w:snapToGrid w:val="0"/>
        <w:spacing w:line="480" w:lineRule="exact"/>
        <w:ind w:firstLine="480" w:firstLineChars="200"/>
        <w:rPr>
          <w:sz w:val="24"/>
        </w:rPr>
      </w:pPr>
      <w:r>
        <w:rPr>
          <w:rFonts w:hint="eastAsia"/>
          <w:sz w:val="24"/>
        </w:rPr>
        <w:t>16) 《广东省国土资源厅关于印发〈广东省跨地级以上市耕地储备指标网上公开竞价交易规则〉的通知》(粤国土资耕保发〔2013〕20号)；</w:t>
      </w:r>
    </w:p>
    <w:p>
      <w:pPr>
        <w:overflowPunct w:val="0"/>
        <w:autoSpaceDE w:val="0"/>
        <w:autoSpaceDN w:val="0"/>
        <w:adjustRightInd w:val="0"/>
        <w:snapToGrid w:val="0"/>
        <w:spacing w:line="480" w:lineRule="exact"/>
        <w:ind w:firstLine="480" w:firstLineChars="200"/>
        <w:rPr>
          <w:sz w:val="24"/>
        </w:rPr>
      </w:pPr>
      <w:r>
        <w:rPr>
          <w:rFonts w:hint="eastAsia"/>
          <w:sz w:val="24"/>
        </w:rPr>
        <w:t>17) 《广东省国土资源厅关于建立水田指标预购制度的通知》(粤国土资耕保发〔2017〕196号)；</w:t>
      </w:r>
    </w:p>
    <w:p>
      <w:pPr>
        <w:overflowPunct w:val="0"/>
        <w:autoSpaceDE w:val="0"/>
        <w:autoSpaceDN w:val="0"/>
        <w:adjustRightInd w:val="0"/>
        <w:snapToGrid w:val="0"/>
        <w:spacing w:line="480" w:lineRule="exact"/>
        <w:ind w:firstLine="480" w:firstLineChars="200"/>
        <w:rPr>
          <w:sz w:val="24"/>
        </w:rPr>
      </w:pPr>
      <w:r>
        <w:rPr>
          <w:rFonts w:hint="eastAsia"/>
          <w:sz w:val="24"/>
        </w:rPr>
        <w:t>18) 《广东省人民代表大会常务委员会关于广东省耕地占用税适用税额的决定》(2019年9月1日施行)；</w:t>
      </w:r>
    </w:p>
    <w:p>
      <w:pPr>
        <w:overflowPunct w:val="0"/>
        <w:autoSpaceDE w:val="0"/>
        <w:autoSpaceDN w:val="0"/>
        <w:adjustRightInd w:val="0"/>
        <w:snapToGrid w:val="0"/>
        <w:spacing w:line="480" w:lineRule="exact"/>
        <w:ind w:firstLine="480" w:firstLineChars="200"/>
        <w:rPr>
          <w:sz w:val="24"/>
        </w:rPr>
      </w:pPr>
      <w:r>
        <w:rPr>
          <w:rFonts w:hint="eastAsia"/>
          <w:sz w:val="24"/>
        </w:rPr>
        <w:t>19) 《广东省关于加强征收农村集体土地留用地安置管理工作的意见》(粤府办〔2016〕30号)；</w:t>
      </w:r>
    </w:p>
    <w:p>
      <w:pPr>
        <w:overflowPunct w:val="0"/>
        <w:autoSpaceDE w:val="0"/>
        <w:autoSpaceDN w:val="0"/>
        <w:adjustRightInd w:val="0"/>
        <w:snapToGrid w:val="0"/>
        <w:spacing w:line="480" w:lineRule="exact"/>
        <w:ind w:firstLine="480" w:firstLineChars="200"/>
        <w:rPr>
          <w:sz w:val="24"/>
        </w:rPr>
      </w:pPr>
      <w:r>
        <w:rPr>
          <w:rFonts w:hint="eastAsia"/>
          <w:sz w:val="24"/>
        </w:rPr>
        <w:t>20) 《广东省人民政府办公厅转发省人力资源社会保障厅关于进一步完善我省被征地农民养老保障政策意见的通知》(粤府办〔2021〕22号)；</w:t>
      </w:r>
    </w:p>
    <w:p>
      <w:pPr>
        <w:overflowPunct w:val="0"/>
        <w:autoSpaceDE w:val="0"/>
        <w:autoSpaceDN w:val="0"/>
        <w:adjustRightInd w:val="0"/>
        <w:snapToGrid w:val="0"/>
        <w:spacing w:line="480" w:lineRule="exact"/>
        <w:ind w:firstLine="480" w:firstLineChars="200"/>
        <w:rPr>
          <w:sz w:val="24"/>
        </w:rPr>
      </w:pPr>
      <w:r>
        <w:rPr>
          <w:rFonts w:hint="eastAsia"/>
          <w:sz w:val="24"/>
        </w:rPr>
        <w:t>21) 《广东省非农业建设补充耕地管理办法》(广东省人民政府令第146号)；</w:t>
      </w:r>
    </w:p>
    <w:p>
      <w:pPr>
        <w:overflowPunct w:val="0"/>
        <w:autoSpaceDE w:val="0"/>
        <w:autoSpaceDN w:val="0"/>
        <w:adjustRightInd w:val="0"/>
        <w:snapToGrid w:val="0"/>
        <w:spacing w:line="480" w:lineRule="exact"/>
        <w:ind w:firstLine="480" w:firstLineChars="200"/>
        <w:rPr>
          <w:sz w:val="24"/>
        </w:rPr>
      </w:pPr>
      <w:r>
        <w:rPr>
          <w:rFonts w:hint="eastAsia"/>
          <w:sz w:val="24"/>
        </w:rPr>
        <w:t>22) 《广东省国土资源厅关于印发广东省征地补偿保护标准(2016年修订调整)的通知》(粤国土资规〔2016〕1号)；</w:t>
      </w:r>
    </w:p>
    <w:p>
      <w:pPr>
        <w:overflowPunct w:val="0"/>
        <w:autoSpaceDE w:val="0"/>
        <w:autoSpaceDN w:val="0"/>
        <w:spacing w:line="480" w:lineRule="exact"/>
        <w:ind w:firstLine="480" w:firstLineChars="200"/>
        <w:rPr>
          <w:sz w:val="24"/>
        </w:rPr>
      </w:pPr>
      <w:r>
        <w:rPr>
          <w:rFonts w:hint="eastAsia"/>
          <w:sz w:val="24"/>
        </w:rPr>
        <w:t>23) 汕尾市人民政府关于公布实施征收农用地区片综合地价的公告(2021年2月10日)；</w:t>
      </w:r>
    </w:p>
    <w:p>
      <w:pPr>
        <w:overflowPunct w:val="0"/>
        <w:autoSpaceDE w:val="0"/>
        <w:autoSpaceDN w:val="0"/>
        <w:adjustRightInd w:val="0"/>
        <w:snapToGrid w:val="0"/>
        <w:spacing w:line="480" w:lineRule="exact"/>
        <w:ind w:firstLine="480" w:firstLineChars="200"/>
        <w:rPr>
          <w:sz w:val="24"/>
        </w:rPr>
      </w:pPr>
      <w:r>
        <w:rPr>
          <w:rFonts w:hint="eastAsia"/>
          <w:sz w:val="24"/>
        </w:rPr>
        <w:t>24) 《陆河县人民政府办公室关于印发陆河县征收土地补偿实施办法(2017年修订调整)的通知》(陆河府办〔2017〕36号)；</w:t>
      </w:r>
    </w:p>
    <w:p>
      <w:pPr>
        <w:overflowPunct w:val="0"/>
        <w:autoSpaceDE w:val="0"/>
        <w:autoSpaceDN w:val="0"/>
        <w:adjustRightInd w:val="0"/>
        <w:snapToGrid w:val="0"/>
        <w:spacing w:line="480" w:lineRule="exact"/>
        <w:ind w:firstLine="480" w:firstLineChars="200"/>
        <w:rPr>
          <w:sz w:val="24"/>
        </w:rPr>
      </w:pPr>
      <w:r>
        <w:rPr>
          <w:rFonts w:hint="eastAsia"/>
          <w:sz w:val="24"/>
        </w:rPr>
        <w:t>25</w:t>
      </w:r>
      <w:r>
        <w:rPr>
          <w:sz w:val="24"/>
        </w:rPr>
        <w:t xml:space="preserve">) </w:t>
      </w:r>
      <w:r>
        <w:rPr>
          <w:rFonts w:hAnsi="宋体"/>
          <w:sz w:val="24"/>
        </w:rPr>
        <w:t>其他相关法律法规。</w:t>
      </w:r>
    </w:p>
    <w:p>
      <w:pPr>
        <w:pStyle w:val="4"/>
      </w:pPr>
      <w:bookmarkStart w:id="451" w:name="_Toc85487790"/>
      <w:bookmarkStart w:id="452" w:name="_Toc85660326"/>
      <w:bookmarkStart w:id="453" w:name="_Toc85632558"/>
      <w:r>
        <w:t>12.3.2  行业规范和技术标准</w:t>
      </w:r>
      <w:bookmarkEnd w:id="451"/>
      <w:bookmarkEnd w:id="452"/>
      <w:bookmarkEnd w:id="453"/>
    </w:p>
    <w:p>
      <w:pPr>
        <w:overflowPunct w:val="0"/>
        <w:autoSpaceDE w:val="0"/>
        <w:autoSpaceDN w:val="0"/>
        <w:adjustRightInd w:val="0"/>
        <w:snapToGrid w:val="0"/>
        <w:spacing w:line="480" w:lineRule="exact"/>
        <w:ind w:firstLine="480" w:firstLineChars="200"/>
        <w:rPr>
          <w:kern w:val="0"/>
          <w:sz w:val="24"/>
        </w:rPr>
      </w:pPr>
      <w:r>
        <w:rPr>
          <w:kern w:val="0"/>
          <w:sz w:val="24"/>
        </w:rPr>
        <w:t>1)</w:t>
      </w:r>
      <w:r>
        <w:rPr>
          <w:rFonts w:hint="eastAsia"/>
          <w:kern w:val="0"/>
          <w:sz w:val="24"/>
        </w:rPr>
        <w:t xml:space="preserve"> </w:t>
      </w:r>
      <w:r>
        <w:rPr>
          <w:rFonts w:hAnsi="宋体"/>
          <w:kern w:val="0"/>
          <w:sz w:val="24"/>
        </w:rPr>
        <w:t>《水电工程建设征地移民安置规划设计规范》</w:t>
      </w:r>
      <w:r>
        <w:rPr>
          <w:kern w:val="0"/>
          <w:sz w:val="24"/>
        </w:rPr>
        <w:t>(DL/T 5064-2007)</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2)</w:t>
      </w:r>
      <w:r>
        <w:rPr>
          <w:rFonts w:hint="eastAsia"/>
          <w:kern w:val="0"/>
          <w:sz w:val="24"/>
        </w:rPr>
        <w:t xml:space="preserve"> </w:t>
      </w:r>
      <w:r>
        <w:rPr>
          <w:rFonts w:hAnsi="宋体"/>
          <w:kern w:val="0"/>
          <w:sz w:val="24"/>
        </w:rPr>
        <w:t>《水电工程建设征地实物指标调查规范》</w:t>
      </w:r>
      <w:r>
        <w:rPr>
          <w:kern w:val="0"/>
          <w:sz w:val="24"/>
        </w:rPr>
        <w:t>(NB/T 10102-2018)</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3)</w:t>
      </w:r>
      <w:r>
        <w:rPr>
          <w:rFonts w:hint="eastAsia"/>
          <w:kern w:val="0"/>
          <w:sz w:val="24"/>
        </w:rPr>
        <w:t xml:space="preserve"> </w:t>
      </w:r>
      <w:r>
        <w:rPr>
          <w:rFonts w:hAnsi="宋体"/>
          <w:kern w:val="0"/>
          <w:sz w:val="24"/>
        </w:rPr>
        <w:t>《水电工程建设征地处理范围界定规范》</w:t>
      </w:r>
      <w:r>
        <w:rPr>
          <w:kern w:val="0"/>
          <w:sz w:val="24"/>
        </w:rPr>
        <w:t>(NB/T 10338-2019)</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4)</w:t>
      </w:r>
      <w:r>
        <w:rPr>
          <w:rFonts w:hint="eastAsia"/>
          <w:kern w:val="0"/>
          <w:sz w:val="24"/>
        </w:rPr>
        <w:t xml:space="preserve"> </w:t>
      </w:r>
      <w:r>
        <w:rPr>
          <w:rFonts w:hAnsi="宋体"/>
          <w:kern w:val="0"/>
          <w:sz w:val="24"/>
        </w:rPr>
        <w:t>《水电工程农村移民安置规划设计规范》</w:t>
      </w:r>
      <w:r>
        <w:rPr>
          <w:kern w:val="0"/>
          <w:sz w:val="24"/>
        </w:rPr>
        <w:t>(DL/T 5378-2007)</w:t>
      </w:r>
      <w:r>
        <w:rPr>
          <w:rFonts w:hAnsi="宋体"/>
          <w:kern w:val="0"/>
          <w:sz w:val="24"/>
        </w:rPr>
        <w:t>；</w:t>
      </w:r>
    </w:p>
    <w:p>
      <w:pPr>
        <w:overflowPunct w:val="0"/>
        <w:autoSpaceDE w:val="0"/>
        <w:autoSpaceDN w:val="0"/>
        <w:adjustRightInd w:val="0"/>
        <w:snapToGrid w:val="0"/>
        <w:spacing w:line="480" w:lineRule="exact"/>
        <w:ind w:firstLine="464" w:firstLineChars="200"/>
        <w:rPr>
          <w:spacing w:val="-4"/>
          <w:kern w:val="0"/>
          <w:sz w:val="24"/>
          <w:szCs w:val="24"/>
        </w:rPr>
      </w:pPr>
      <w:r>
        <w:rPr>
          <w:spacing w:val="-4"/>
          <w:kern w:val="0"/>
          <w:sz w:val="24"/>
          <w:szCs w:val="24"/>
        </w:rPr>
        <w:t>5)</w:t>
      </w:r>
      <w:r>
        <w:rPr>
          <w:rFonts w:hint="eastAsia"/>
          <w:spacing w:val="-4"/>
          <w:kern w:val="0"/>
          <w:sz w:val="24"/>
          <w:szCs w:val="24"/>
        </w:rPr>
        <w:t xml:space="preserve"> </w:t>
      </w:r>
      <w:r>
        <w:rPr>
          <w:spacing w:val="-4"/>
          <w:sz w:val="24"/>
          <w:szCs w:val="24"/>
        </w:rPr>
        <w:t>《水电工程建设征地移民安置专业项目规划设计规范》(NB/T 10801-2021)；</w:t>
      </w:r>
    </w:p>
    <w:p>
      <w:pPr>
        <w:overflowPunct w:val="0"/>
        <w:autoSpaceDE w:val="0"/>
        <w:autoSpaceDN w:val="0"/>
        <w:adjustRightInd w:val="0"/>
        <w:snapToGrid w:val="0"/>
        <w:spacing w:line="480" w:lineRule="exact"/>
        <w:ind w:firstLine="480" w:firstLineChars="200"/>
        <w:rPr>
          <w:kern w:val="0"/>
          <w:sz w:val="24"/>
          <w:szCs w:val="24"/>
        </w:rPr>
      </w:pPr>
      <w:r>
        <w:rPr>
          <w:kern w:val="0"/>
          <w:sz w:val="24"/>
          <w:szCs w:val="24"/>
        </w:rPr>
        <w:t>6)</w:t>
      </w:r>
      <w:r>
        <w:rPr>
          <w:rFonts w:hint="eastAsia"/>
          <w:kern w:val="0"/>
          <w:sz w:val="24"/>
          <w:szCs w:val="24"/>
        </w:rPr>
        <w:t xml:space="preserve"> </w:t>
      </w:r>
      <w:r>
        <w:rPr>
          <w:sz w:val="24"/>
          <w:szCs w:val="24"/>
        </w:rPr>
        <w:t>《水电工程水库库底清理设计规范》(NB/T 10803-2021)；</w:t>
      </w:r>
    </w:p>
    <w:p>
      <w:pPr>
        <w:overflowPunct w:val="0"/>
        <w:autoSpaceDE w:val="0"/>
        <w:autoSpaceDN w:val="0"/>
        <w:adjustRightInd w:val="0"/>
        <w:snapToGrid w:val="0"/>
        <w:spacing w:line="480" w:lineRule="exact"/>
        <w:ind w:firstLine="480" w:firstLineChars="200"/>
        <w:rPr>
          <w:kern w:val="0"/>
          <w:sz w:val="24"/>
        </w:rPr>
      </w:pPr>
      <w:r>
        <w:rPr>
          <w:kern w:val="0"/>
          <w:sz w:val="24"/>
        </w:rPr>
        <w:t>7)</w:t>
      </w:r>
      <w:r>
        <w:rPr>
          <w:rFonts w:hint="eastAsia"/>
          <w:kern w:val="0"/>
          <w:sz w:val="24"/>
        </w:rPr>
        <w:t xml:space="preserve"> </w:t>
      </w:r>
      <w:r>
        <w:rPr>
          <w:rFonts w:hAnsi="宋体"/>
          <w:kern w:val="0"/>
          <w:sz w:val="24"/>
        </w:rPr>
        <w:t>《水电工程建设征地移民安置补偿费用概</w:t>
      </w:r>
      <w:r>
        <w:rPr>
          <w:kern w:val="0"/>
          <w:sz w:val="24"/>
        </w:rPr>
        <w:t>(</w:t>
      </w:r>
      <w:r>
        <w:rPr>
          <w:rFonts w:hAnsi="宋体"/>
          <w:kern w:val="0"/>
          <w:sz w:val="24"/>
        </w:rPr>
        <w:t>估</w:t>
      </w:r>
      <w:r>
        <w:rPr>
          <w:kern w:val="0"/>
          <w:sz w:val="24"/>
        </w:rPr>
        <w:t>)</w:t>
      </w:r>
      <w:r>
        <w:rPr>
          <w:rFonts w:hAnsi="宋体"/>
          <w:kern w:val="0"/>
          <w:sz w:val="24"/>
        </w:rPr>
        <w:t>算编制规范》</w:t>
      </w:r>
      <w:r>
        <w:rPr>
          <w:kern w:val="0"/>
          <w:sz w:val="24"/>
        </w:rPr>
        <w:t>(DL/T 5382-2007)</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8)</w:t>
      </w:r>
      <w:r>
        <w:rPr>
          <w:rFonts w:hint="eastAsia"/>
          <w:kern w:val="0"/>
          <w:sz w:val="24"/>
        </w:rPr>
        <w:t xml:space="preserve"> </w:t>
      </w:r>
      <w:r>
        <w:rPr>
          <w:rFonts w:hAnsi="宋体"/>
          <w:kern w:val="0"/>
          <w:sz w:val="24"/>
        </w:rPr>
        <w:t>《水电工程设计概算编制规定》</w:t>
      </w:r>
      <w:r>
        <w:rPr>
          <w:kern w:val="0"/>
          <w:sz w:val="24"/>
        </w:rPr>
        <w:t>(2013</w:t>
      </w:r>
      <w:r>
        <w:rPr>
          <w:rFonts w:hAnsi="宋体"/>
          <w:kern w:val="0"/>
          <w:sz w:val="24"/>
        </w:rPr>
        <w:t>年版</w:t>
      </w:r>
      <w:r>
        <w:rPr>
          <w:kern w:val="0"/>
          <w:sz w:val="24"/>
        </w:rPr>
        <w:t>)</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9)</w:t>
      </w:r>
      <w:r>
        <w:rPr>
          <w:rFonts w:hint="eastAsia"/>
          <w:kern w:val="0"/>
          <w:sz w:val="24"/>
        </w:rPr>
        <w:t xml:space="preserve"> </w:t>
      </w:r>
      <w:r>
        <w:rPr>
          <w:rFonts w:hAnsi="宋体"/>
          <w:kern w:val="0"/>
          <w:sz w:val="24"/>
        </w:rPr>
        <w:t>《水电工程建设征地移民安置规划报告编制规程》</w:t>
      </w:r>
      <w:r>
        <w:rPr>
          <w:kern w:val="0"/>
          <w:sz w:val="24"/>
        </w:rPr>
        <w:t>(NB/T 35070-2015)</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10)</w:t>
      </w:r>
      <w:r>
        <w:rPr>
          <w:rFonts w:hint="eastAsia"/>
          <w:kern w:val="0"/>
          <w:sz w:val="24"/>
        </w:rPr>
        <w:t xml:space="preserve"> </w:t>
      </w:r>
      <w:r>
        <w:rPr>
          <w:rFonts w:hAnsi="宋体"/>
          <w:kern w:val="0"/>
          <w:sz w:val="24"/>
        </w:rPr>
        <w:t>《水电工程测量规范》</w:t>
      </w:r>
      <w:r>
        <w:rPr>
          <w:kern w:val="0"/>
          <w:sz w:val="24"/>
        </w:rPr>
        <w:t>(NB/T 35029-2014)</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11)</w:t>
      </w:r>
      <w:r>
        <w:rPr>
          <w:rFonts w:hint="eastAsia"/>
          <w:kern w:val="0"/>
          <w:sz w:val="24"/>
        </w:rPr>
        <w:t xml:space="preserve"> </w:t>
      </w:r>
      <w:r>
        <w:rPr>
          <w:rFonts w:hAnsi="宋体"/>
          <w:kern w:val="0"/>
          <w:sz w:val="24"/>
        </w:rPr>
        <w:t>《土地利用现状分类》</w:t>
      </w:r>
      <w:r>
        <w:rPr>
          <w:kern w:val="0"/>
          <w:sz w:val="24"/>
        </w:rPr>
        <w:t>(GB/T 21010-2017)</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12)</w:t>
      </w:r>
      <w:r>
        <w:rPr>
          <w:rFonts w:hint="eastAsia"/>
          <w:kern w:val="0"/>
          <w:sz w:val="24"/>
        </w:rPr>
        <w:t xml:space="preserve"> </w:t>
      </w:r>
      <w:r>
        <w:rPr>
          <w:rFonts w:hAnsi="宋体"/>
          <w:kern w:val="0"/>
          <w:sz w:val="24"/>
        </w:rPr>
        <w:t>《房产测量规范》</w:t>
      </w:r>
      <w:r>
        <w:rPr>
          <w:kern w:val="0"/>
          <w:sz w:val="24"/>
        </w:rPr>
        <w:t>(GB/T 17986.1-2000)</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13)</w:t>
      </w:r>
      <w:r>
        <w:rPr>
          <w:rFonts w:hint="eastAsia"/>
          <w:kern w:val="0"/>
          <w:sz w:val="24"/>
        </w:rPr>
        <w:t xml:space="preserve"> </w:t>
      </w:r>
      <w:r>
        <w:rPr>
          <w:rFonts w:hAnsi="宋体"/>
          <w:kern w:val="0"/>
          <w:sz w:val="24"/>
        </w:rPr>
        <w:t>《防洪标准》</w:t>
      </w:r>
      <w:r>
        <w:rPr>
          <w:kern w:val="0"/>
          <w:sz w:val="24"/>
        </w:rPr>
        <w:t>(GB 50201-2014)</w:t>
      </w:r>
      <w:r>
        <w:rPr>
          <w:rFonts w:hAnsi="宋体"/>
          <w:kern w:val="0"/>
          <w:sz w:val="24"/>
        </w:rPr>
        <w:t>；</w:t>
      </w:r>
    </w:p>
    <w:p>
      <w:pPr>
        <w:overflowPunct w:val="0"/>
        <w:autoSpaceDE w:val="0"/>
        <w:autoSpaceDN w:val="0"/>
        <w:adjustRightInd w:val="0"/>
        <w:snapToGrid w:val="0"/>
        <w:spacing w:line="480" w:lineRule="exact"/>
        <w:ind w:firstLine="480" w:firstLineChars="200"/>
        <w:rPr>
          <w:kern w:val="0"/>
          <w:sz w:val="24"/>
        </w:rPr>
      </w:pPr>
      <w:r>
        <w:rPr>
          <w:kern w:val="0"/>
          <w:sz w:val="24"/>
        </w:rPr>
        <w:t xml:space="preserve">14) </w:t>
      </w:r>
      <w:r>
        <w:rPr>
          <w:rFonts w:hAnsi="宋体"/>
          <w:kern w:val="0"/>
          <w:sz w:val="24"/>
        </w:rPr>
        <w:t>其他相关的规程、规范。</w:t>
      </w:r>
    </w:p>
    <w:p>
      <w:pPr>
        <w:pStyle w:val="4"/>
      </w:pPr>
      <w:bookmarkStart w:id="454" w:name="_Toc85632559"/>
      <w:bookmarkStart w:id="455" w:name="_Toc85660327"/>
      <w:bookmarkStart w:id="456" w:name="_Toc85487791"/>
      <w:r>
        <w:t>12.3.3  相关资料文件</w:t>
      </w:r>
      <w:bookmarkEnd w:id="454"/>
      <w:bookmarkEnd w:id="455"/>
      <w:bookmarkEnd w:id="456"/>
    </w:p>
    <w:p>
      <w:pPr>
        <w:numPr>
          <w:ilvl w:val="0"/>
          <w:numId w:val="19"/>
        </w:numPr>
        <w:overflowPunct w:val="0"/>
        <w:autoSpaceDE w:val="0"/>
        <w:autoSpaceDN w:val="0"/>
        <w:adjustRightInd w:val="0"/>
        <w:snapToGrid w:val="0"/>
        <w:spacing w:line="480" w:lineRule="exact"/>
        <w:ind w:left="0" w:firstLine="482"/>
        <w:rPr>
          <w:kern w:val="0"/>
          <w:sz w:val="24"/>
        </w:rPr>
      </w:pPr>
      <w:r>
        <w:rPr>
          <w:rFonts w:hAnsi="宋体"/>
          <w:kern w:val="0"/>
          <w:sz w:val="24"/>
        </w:rPr>
        <w:t>工程建设征地区</w:t>
      </w:r>
      <w:r>
        <w:rPr>
          <w:kern w:val="0"/>
          <w:sz w:val="24"/>
        </w:rPr>
        <w:t>1:</w:t>
      </w:r>
      <w:r>
        <w:rPr>
          <w:rFonts w:hint="eastAsia"/>
          <w:kern w:val="0"/>
          <w:sz w:val="24"/>
        </w:rPr>
        <w:t>1</w:t>
      </w:r>
      <w:r>
        <w:rPr>
          <w:kern w:val="0"/>
          <w:sz w:val="24"/>
        </w:rPr>
        <w:t>000</w:t>
      </w:r>
      <w:r>
        <w:rPr>
          <w:rFonts w:hAnsi="宋体"/>
          <w:kern w:val="0"/>
          <w:sz w:val="24"/>
        </w:rPr>
        <w:t>地类地形图；</w:t>
      </w:r>
    </w:p>
    <w:p>
      <w:pPr>
        <w:numPr>
          <w:ilvl w:val="0"/>
          <w:numId w:val="19"/>
        </w:numPr>
        <w:overflowPunct w:val="0"/>
        <w:autoSpaceDE w:val="0"/>
        <w:autoSpaceDN w:val="0"/>
        <w:adjustRightInd w:val="0"/>
        <w:snapToGrid w:val="0"/>
        <w:spacing w:line="480" w:lineRule="exact"/>
        <w:ind w:left="0" w:firstLine="480" w:firstLineChars="200"/>
        <w:rPr>
          <w:kern w:val="0"/>
          <w:sz w:val="24"/>
        </w:rPr>
      </w:pPr>
      <w:r>
        <w:rPr>
          <w:rFonts w:hint="eastAsia" w:hAnsi="宋体"/>
          <w:kern w:val="0"/>
          <w:sz w:val="24"/>
        </w:rPr>
        <w:t>《广东省人民政府关于禁止在广东陆河抽水蓄能电站项目工程占地及淹没区新增 建设项目和迁入人口的通告》(粤府函〔2021〕368号)</w:t>
      </w:r>
      <w:r>
        <w:rPr>
          <w:rFonts w:hAnsi="宋体"/>
          <w:kern w:val="0"/>
          <w:sz w:val="24"/>
        </w:rPr>
        <w:t>；</w:t>
      </w:r>
    </w:p>
    <w:p>
      <w:pPr>
        <w:numPr>
          <w:ilvl w:val="0"/>
          <w:numId w:val="19"/>
        </w:numPr>
        <w:overflowPunct w:val="0"/>
        <w:autoSpaceDE w:val="0"/>
        <w:autoSpaceDN w:val="0"/>
        <w:adjustRightInd w:val="0"/>
        <w:snapToGrid w:val="0"/>
        <w:spacing w:line="480" w:lineRule="exact"/>
        <w:ind w:left="0" w:firstLine="496" w:firstLineChars="200"/>
        <w:rPr>
          <w:spacing w:val="4"/>
          <w:kern w:val="0"/>
          <w:sz w:val="24"/>
          <w:szCs w:val="24"/>
        </w:rPr>
      </w:pPr>
      <w:r>
        <w:rPr>
          <w:rFonts w:hAnsi="宋体"/>
          <w:spacing w:val="4"/>
          <w:kern w:val="0"/>
          <w:sz w:val="24"/>
          <w:szCs w:val="24"/>
        </w:rPr>
        <w:t>《</w:t>
      </w:r>
      <w:r>
        <w:rPr>
          <w:rFonts w:hint="eastAsia" w:hAnsi="宋体"/>
          <w:spacing w:val="4"/>
          <w:kern w:val="0"/>
          <w:sz w:val="24"/>
          <w:szCs w:val="24"/>
        </w:rPr>
        <w:t>广东陆河</w:t>
      </w:r>
      <w:r>
        <w:rPr>
          <w:rFonts w:hAnsi="宋体"/>
          <w:spacing w:val="4"/>
          <w:kern w:val="0"/>
          <w:sz w:val="24"/>
          <w:szCs w:val="24"/>
        </w:rPr>
        <w:t>抽水蓄能电站可行性研究阶段正常蓄水位选择专题报告》及审查意见；</w:t>
      </w:r>
    </w:p>
    <w:p>
      <w:pPr>
        <w:numPr>
          <w:ilvl w:val="0"/>
          <w:numId w:val="19"/>
        </w:numPr>
        <w:overflowPunct w:val="0"/>
        <w:autoSpaceDE w:val="0"/>
        <w:autoSpaceDN w:val="0"/>
        <w:adjustRightInd w:val="0"/>
        <w:snapToGrid w:val="0"/>
        <w:spacing w:line="480" w:lineRule="exact"/>
        <w:ind w:left="0" w:firstLine="464" w:firstLineChars="200"/>
        <w:rPr>
          <w:spacing w:val="-4"/>
          <w:kern w:val="0"/>
          <w:sz w:val="24"/>
        </w:rPr>
      </w:pPr>
      <w:r>
        <w:rPr>
          <w:rFonts w:hAnsi="宋体"/>
          <w:spacing w:val="-4"/>
          <w:kern w:val="0"/>
          <w:sz w:val="24"/>
        </w:rPr>
        <w:t>《</w:t>
      </w:r>
      <w:r>
        <w:rPr>
          <w:rFonts w:hint="eastAsia" w:hAnsi="宋体"/>
          <w:spacing w:val="-4"/>
          <w:kern w:val="0"/>
          <w:sz w:val="24"/>
        </w:rPr>
        <w:t>广东陆河(汕尾三江口)</w:t>
      </w:r>
      <w:r>
        <w:rPr>
          <w:rFonts w:hAnsi="宋体"/>
          <w:spacing w:val="-4"/>
          <w:kern w:val="0"/>
          <w:sz w:val="24"/>
        </w:rPr>
        <w:t>抽水蓄能电站可行性研究阶段施工总布置专题研究报告》及审查意见；</w:t>
      </w:r>
    </w:p>
    <w:p>
      <w:pPr>
        <w:numPr>
          <w:ilvl w:val="0"/>
          <w:numId w:val="19"/>
        </w:numPr>
        <w:overflowPunct w:val="0"/>
        <w:autoSpaceDE w:val="0"/>
        <w:autoSpaceDN w:val="0"/>
        <w:adjustRightInd w:val="0"/>
        <w:snapToGrid w:val="0"/>
        <w:spacing w:line="480" w:lineRule="exact"/>
        <w:ind w:left="0" w:firstLine="480" w:firstLineChars="200"/>
        <w:rPr>
          <w:kern w:val="0"/>
          <w:sz w:val="24"/>
        </w:rPr>
      </w:pPr>
      <w:r>
        <w:rPr>
          <w:rFonts w:hAnsi="宋体"/>
          <w:kern w:val="0"/>
          <w:sz w:val="24"/>
        </w:rPr>
        <w:t>工程建设征</w:t>
      </w:r>
      <w:r>
        <w:rPr>
          <w:kern w:val="0"/>
          <w:sz w:val="24"/>
        </w:rPr>
        <w:t>(</w:t>
      </w:r>
      <w:r>
        <w:rPr>
          <w:rFonts w:hAnsi="宋体"/>
          <w:kern w:val="0"/>
          <w:sz w:val="24"/>
        </w:rPr>
        <w:t>占</w:t>
      </w:r>
      <w:r>
        <w:rPr>
          <w:kern w:val="0"/>
          <w:sz w:val="24"/>
        </w:rPr>
        <w:t>)</w:t>
      </w:r>
      <w:r>
        <w:rPr>
          <w:rFonts w:hAnsi="宋体"/>
          <w:kern w:val="0"/>
          <w:sz w:val="24"/>
        </w:rPr>
        <w:t>地区的自然、经济社会资料及土地利用现状调查资料；</w:t>
      </w:r>
    </w:p>
    <w:p>
      <w:pPr>
        <w:numPr>
          <w:ilvl w:val="0"/>
          <w:numId w:val="19"/>
        </w:numPr>
        <w:overflowPunct w:val="0"/>
        <w:autoSpaceDE w:val="0"/>
        <w:autoSpaceDN w:val="0"/>
        <w:adjustRightInd w:val="0"/>
        <w:snapToGrid w:val="0"/>
        <w:spacing w:line="480" w:lineRule="exact"/>
        <w:ind w:left="0" w:firstLine="480" w:firstLineChars="200"/>
        <w:rPr>
          <w:kern w:val="0"/>
          <w:sz w:val="24"/>
        </w:rPr>
      </w:pPr>
      <w:r>
        <w:rPr>
          <w:rFonts w:hAnsi="宋体"/>
          <w:kern w:val="0"/>
          <w:sz w:val="24"/>
        </w:rPr>
        <w:t>其他有关资料。</w:t>
      </w:r>
    </w:p>
    <w:p>
      <w:pPr>
        <w:pStyle w:val="3"/>
      </w:pPr>
      <w:bookmarkStart w:id="457" w:name="_Toc85660328"/>
      <w:bookmarkStart w:id="458" w:name="_Toc29151"/>
      <w:bookmarkStart w:id="459" w:name="_Toc90934908"/>
      <w:bookmarkStart w:id="460" w:name="_Toc86265117"/>
      <w:bookmarkStart w:id="461" w:name="_Toc10117"/>
      <w:bookmarkStart w:id="462" w:name="_Toc85487792"/>
      <w:r>
        <w:t>12.4  农村移民安置规划设计</w:t>
      </w:r>
      <w:bookmarkEnd w:id="457"/>
      <w:bookmarkEnd w:id="458"/>
      <w:bookmarkEnd w:id="459"/>
      <w:bookmarkEnd w:id="460"/>
      <w:bookmarkEnd w:id="461"/>
      <w:bookmarkEnd w:id="462"/>
    </w:p>
    <w:p>
      <w:pPr>
        <w:overflowPunct w:val="0"/>
        <w:autoSpaceDE w:val="0"/>
        <w:autoSpaceDN w:val="0"/>
        <w:adjustRightInd w:val="0"/>
        <w:snapToGrid w:val="0"/>
        <w:spacing w:line="480" w:lineRule="exact"/>
        <w:ind w:firstLine="480" w:firstLineChars="200"/>
        <w:rPr>
          <w:kern w:val="0"/>
          <w:sz w:val="24"/>
        </w:rPr>
      </w:pPr>
      <w:r>
        <w:rPr>
          <w:rFonts w:hAnsi="宋体"/>
          <w:kern w:val="0"/>
          <w:sz w:val="24"/>
        </w:rPr>
        <w:t>根据确定的农村移民安置任务和规划方案，按照规划设计依据和原则，在确定的生产安置和搬迁安置标准的基础上，编制农村移民安置规划。</w:t>
      </w:r>
    </w:p>
    <w:p>
      <w:pPr>
        <w:pStyle w:val="4"/>
      </w:pPr>
      <w:bookmarkStart w:id="463" w:name="_Toc85660329"/>
      <w:bookmarkStart w:id="464" w:name="_Toc85487793"/>
      <w:bookmarkStart w:id="465" w:name="_Toc85632561"/>
      <w:r>
        <w:t>12.4.1  生产安置规划</w:t>
      </w:r>
      <w:bookmarkEnd w:id="463"/>
      <w:bookmarkEnd w:id="464"/>
      <w:bookmarkEnd w:id="465"/>
    </w:p>
    <w:p>
      <w:pPr>
        <w:overflowPunct w:val="0"/>
        <w:autoSpaceDE w:val="0"/>
        <w:autoSpaceDN w:val="0"/>
        <w:adjustRightInd w:val="0"/>
        <w:snapToGrid w:val="0"/>
        <w:spacing w:line="480" w:lineRule="exact"/>
        <w:ind w:firstLine="480" w:firstLineChars="200"/>
        <w:rPr>
          <w:sz w:val="24"/>
        </w:rPr>
      </w:pPr>
      <w:r>
        <w:rPr>
          <w:rFonts w:hAnsi="宋体"/>
          <w:sz w:val="24"/>
        </w:rPr>
        <w:t>通过对建设征地区经济社会资料、土地详查资料、配套基础设施等控制性条件进行综合分析，参与各方对具备条件的安置范围进行了现场查勘、仔细研究，反复论证，同时充分征求移民和移民安置区居民意愿，落实了移民安置去向，最终确定采用一次性货币补偿安置的生产安置方案。</w:t>
      </w:r>
    </w:p>
    <w:p>
      <w:pPr>
        <w:overflowPunct w:val="0"/>
        <w:autoSpaceDE w:val="0"/>
        <w:autoSpaceDN w:val="0"/>
        <w:adjustRightInd w:val="0"/>
        <w:snapToGrid w:val="0"/>
        <w:spacing w:line="480" w:lineRule="exact"/>
        <w:ind w:firstLine="480" w:firstLineChars="200"/>
        <w:rPr>
          <w:sz w:val="24"/>
        </w:rPr>
      </w:pPr>
      <w:r>
        <w:rPr>
          <w:rFonts w:hAnsi="宋体"/>
          <w:sz w:val="24"/>
        </w:rPr>
        <w:t>经分析，</w:t>
      </w:r>
      <w:r>
        <w:rPr>
          <w:rFonts w:hint="eastAsia" w:hAnsi="宋体"/>
          <w:sz w:val="24"/>
        </w:rPr>
        <w:t>广东陆河</w:t>
      </w:r>
      <w:r>
        <w:rPr>
          <w:rFonts w:hAnsi="宋体"/>
          <w:sz w:val="24"/>
        </w:rPr>
        <w:t>抽水蓄能电站</w:t>
      </w:r>
      <w:r>
        <w:rPr>
          <w:rFonts w:hint="eastAsia" w:hAnsi="宋体"/>
          <w:sz w:val="24"/>
        </w:rPr>
        <w:t>至规划设计水平年</w:t>
      </w:r>
      <w:r>
        <w:rPr>
          <w:rFonts w:hAnsi="宋体"/>
          <w:sz w:val="24"/>
        </w:rPr>
        <w:t>建设征地涉及生产安置人口</w:t>
      </w:r>
      <w:r>
        <w:rPr>
          <w:sz w:val="24"/>
        </w:rPr>
        <w:t>160</w:t>
      </w:r>
      <w:r>
        <w:rPr>
          <w:rFonts w:hAnsi="宋体"/>
          <w:sz w:val="24"/>
        </w:rPr>
        <w:t>人，</w:t>
      </w:r>
      <w:r>
        <w:rPr>
          <w:rFonts w:hint="eastAsia" w:hAnsi="宋体"/>
          <w:sz w:val="24"/>
        </w:rPr>
        <w:t>全部为</w:t>
      </w:r>
      <w:r>
        <w:rPr>
          <w:rFonts w:hAnsi="宋体"/>
          <w:sz w:val="24"/>
        </w:rPr>
        <w:t>一次性货币补偿安置。</w:t>
      </w:r>
    </w:p>
    <w:p>
      <w:pPr>
        <w:pStyle w:val="4"/>
      </w:pPr>
      <w:bookmarkStart w:id="466" w:name="_Toc85487795"/>
      <w:bookmarkStart w:id="467" w:name="_Toc85632563"/>
      <w:bookmarkStart w:id="468" w:name="_Toc85660331"/>
      <w:r>
        <w:t>12.4.</w:t>
      </w:r>
      <w:r>
        <w:rPr>
          <w:rFonts w:hint="eastAsia"/>
        </w:rPr>
        <w:t>2</w:t>
      </w:r>
      <w:r>
        <w:t xml:space="preserve">  生产安置规划费用平衡分析</w:t>
      </w:r>
      <w:bookmarkEnd w:id="466"/>
      <w:bookmarkEnd w:id="467"/>
      <w:bookmarkEnd w:id="468"/>
    </w:p>
    <w:p>
      <w:pPr>
        <w:overflowPunct w:val="0"/>
        <w:autoSpaceDE w:val="0"/>
        <w:autoSpaceDN w:val="0"/>
        <w:adjustRightInd w:val="0"/>
        <w:snapToGrid w:val="0"/>
        <w:spacing w:line="480" w:lineRule="exact"/>
        <w:ind w:firstLine="480" w:firstLineChars="200"/>
        <w:rPr>
          <w:sz w:val="24"/>
        </w:rPr>
      </w:pPr>
      <w:r>
        <w:rPr>
          <w:rFonts w:hAnsi="宋体"/>
          <w:sz w:val="24"/>
        </w:rPr>
        <w:t>生产安置规划费用主要包括</w:t>
      </w:r>
      <w:r>
        <w:rPr>
          <w:rFonts w:hint="eastAsia" w:hAnsi="宋体"/>
          <w:sz w:val="24"/>
        </w:rPr>
        <w:t>一次性货币补偿安置费用</w:t>
      </w:r>
      <w:r>
        <w:rPr>
          <w:rFonts w:hAnsi="宋体"/>
          <w:sz w:val="24"/>
        </w:rPr>
        <w:t>、生产措施费等。</w:t>
      </w:r>
    </w:p>
    <w:p>
      <w:pPr>
        <w:overflowPunct w:val="0"/>
        <w:autoSpaceDE w:val="0"/>
        <w:autoSpaceDN w:val="0"/>
        <w:adjustRightInd w:val="0"/>
        <w:snapToGrid w:val="0"/>
        <w:spacing w:line="480" w:lineRule="exact"/>
        <w:ind w:firstLine="480" w:firstLineChars="200"/>
        <w:rPr>
          <w:sz w:val="24"/>
        </w:rPr>
      </w:pPr>
      <w:r>
        <w:rPr>
          <w:rFonts w:hAnsi="宋体"/>
          <w:sz w:val="24"/>
        </w:rPr>
        <w:t>土地</w:t>
      </w:r>
      <w:r>
        <w:rPr>
          <w:rFonts w:hint="eastAsia" w:hAnsi="宋体"/>
          <w:sz w:val="24"/>
        </w:rPr>
        <w:t>补偿费和安置补助费</w:t>
      </w:r>
      <w:r>
        <w:rPr>
          <w:rFonts w:hAnsi="宋体"/>
          <w:sz w:val="24"/>
        </w:rPr>
        <w:t>中用于移民生产安置的费用，包括集体所有的耕地</w:t>
      </w:r>
      <w:r>
        <w:rPr>
          <w:rFonts w:hint="eastAsia" w:hAnsi="宋体"/>
          <w:sz w:val="24"/>
        </w:rPr>
        <w:t>的土地补偿费和安置补助费</w:t>
      </w:r>
      <w:r>
        <w:rPr>
          <w:rFonts w:hAnsi="宋体"/>
          <w:sz w:val="24"/>
        </w:rPr>
        <w:t>。</w:t>
      </w:r>
    </w:p>
    <w:p>
      <w:pPr>
        <w:overflowPunct w:val="0"/>
        <w:autoSpaceDE w:val="0"/>
        <w:autoSpaceDN w:val="0"/>
        <w:adjustRightInd w:val="0"/>
        <w:snapToGrid w:val="0"/>
        <w:spacing w:line="480" w:lineRule="exact"/>
        <w:ind w:firstLine="480" w:firstLineChars="200"/>
        <w:rPr>
          <w:sz w:val="24"/>
        </w:rPr>
      </w:pPr>
      <w:r>
        <w:rPr>
          <w:rFonts w:hAnsi="宋体"/>
          <w:sz w:val="24"/>
        </w:rPr>
        <w:t>根据生产安置规划费用和可用于移民生产安置的土地征收费分组进行平衡分析，当土地征收费小于生产安置规划费用时，增列农村移民生产安置补助费；大于生产安置规划费用时，应说明富余资金的使用去向。</w:t>
      </w:r>
    </w:p>
    <w:p>
      <w:pPr>
        <w:pStyle w:val="3"/>
        <w:rPr>
          <w:rFonts w:eastAsia="宋体"/>
          <w:bCs/>
          <w:sz w:val="24"/>
        </w:rPr>
      </w:pPr>
      <w:bookmarkStart w:id="469" w:name="_Toc11081"/>
      <w:bookmarkStart w:id="470" w:name="_Toc90934909"/>
      <w:bookmarkStart w:id="471" w:name="_Toc86265118"/>
      <w:bookmarkStart w:id="472" w:name="_Toc10588"/>
      <w:bookmarkStart w:id="473" w:name="_Toc85660333"/>
      <w:bookmarkStart w:id="474" w:name="_Toc85487797"/>
      <w:r>
        <w:t>12.5  专业项目规划设计</w:t>
      </w:r>
      <w:bookmarkEnd w:id="469"/>
      <w:bookmarkEnd w:id="470"/>
      <w:bookmarkEnd w:id="471"/>
      <w:bookmarkEnd w:id="472"/>
      <w:bookmarkEnd w:id="473"/>
      <w:bookmarkEnd w:id="474"/>
    </w:p>
    <w:p>
      <w:pPr>
        <w:overflowPunct w:val="0"/>
        <w:autoSpaceDE w:val="0"/>
        <w:autoSpaceDN w:val="0"/>
        <w:adjustRightInd w:val="0"/>
        <w:snapToGrid w:val="0"/>
        <w:spacing w:line="480" w:lineRule="exact"/>
        <w:ind w:firstLine="480" w:firstLineChars="200"/>
        <w:rPr>
          <w:sz w:val="24"/>
        </w:rPr>
      </w:pPr>
      <w:r>
        <w:rPr>
          <w:rFonts w:hAnsi="宋体"/>
          <w:sz w:val="24"/>
        </w:rPr>
        <w:t>专</w:t>
      </w:r>
      <w:r>
        <w:rPr>
          <w:rFonts w:hAnsi="宋体"/>
          <w:spacing w:val="2"/>
          <w:sz w:val="24"/>
        </w:rPr>
        <w:t>业项目复</w:t>
      </w:r>
      <w:r>
        <w:rPr>
          <w:spacing w:val="2"/>
          <w:sz w:val="24"/>
        </w:rPr>
        <w:t>(</w:t>
      </w:r>
      <w:r>
        <w:rPr>
          <w:rFonts w:hAnsi="宋体"/>
          <w:spacing w:val="2"/>
          <w:sz w:val="24"/>
        </w:rPr>
        <w:t>改</w:t>
      </w:r>
      <w:r>
        <w:rPr>
          <w:spacing w:val="2"/>
          <w:sz w:val="24"/>
        </w:rPr>
        <w:t>)</w:t>
      </w:r>
      <w:r>
        <w:rPr>
          <w:rFonts w:hAnsi="宋体"/>
          <w:spacing w:val="2"/>
          <w:sz w:val="24"/>
        </w:rPr>
        <w:t>建规划遵循其原规模、原标准或者恢复原功能的原则，按照行业规范进行复</w:t>
      </w:r>
      <w:r>
        <w:rPr>
          <w:spacing w:val="2"/>
          <w:sz w:val="24"/>
        </w:rPr>
        <w:t>(</w:t>
      </w:r>
      <w:r>
        <w:rPr>
          <w:rFonts w:hAnsi="宋体"/>
          <w:spacing w:val="2"/>
          <w:sz w:val="24"/>
        </w:rPr>
        <w:t>改</w:t>
      </w:r>
      <w:r>
        <w:rPr>
          <w:spacing w:val="2"/>
          <w:sz w:val="24"/>
        </w:rPr>
        <w:t>)</w:t>
      </w:r>
      <w:r>
        <w:rPr>
          <w:rFonts w:hAnsi="宋体"/>
          <w:spacing w:val="2"/>
          <w:sz w:val="24"/>
        </w:rPr>
        <w:t>建规划设计。</w:t>
      </w:r>
      <w:r>
        <w:rPr>
          <w:rFonts w:hint="eastAsia" w:hAnsi="宋体"/>
          <w:spacing w:val="2"/>
          <w:sz w:val="24"/>
        </w:rPr>
        <w:t>陆河</w:t>
      </w:r>
      <w:r>
        <w:rPr>
          <w:rFonts w:hAnsi="宋体"/>
          <w:spacing w:val="2"/>
          <w:sz w:val="24"/>
        </w:rPr>
        <w:t>抽水蓄能电站专业项目复</w:t>
      </w:r>
      <w:r>
        <w:rPr>
          <w:spacing w:val="2"/>
          <w:sz w:val="24"/>
        </w:rPr>
        <w:t>(</w:t>
      </w:r>
      <w:r>
        <w:rPr>
          <w:rFonts w:hAnsi="宋体"/>
          <w:spacing w:val="2"/>
          <w:sz w:val="24"/>
        </w:rPr>
        <w:t>改</w:t>
      </w:r>
      <w:r>
        <w:rPr>
          <w:spacing w:val="2"/>
          <w:sz w:val="24"/>
        </w:rPr>
        <w:t>)</w:t>
      </w:r>
      <w:r>
        <w:rPr>
          <w:rFonts w:hAnsi="宋体"/>
          <w:spacing w:val="2"/>
          <w:sz w:val="24"/>
        </w:rPr>
        <w:t>建规划设计包括交通设施规划设计、电力设施规划设计、水利设施规划设计以及其他专业项目的规划设计。</w:t>
      </w:r>
    </w:p>
    <w:p>
      <w:pPr>
        <w:pStyle w:val="4"/>
      </w:pPr>
      <w:bookmarkStart w:id="475" w:name="_Toc85487799"/>
      <w:bookmarkStart w:id="476" w:name="_Toc85660335"/>
      <w:bookmarkStart w:id="477" w:name="_Toc85632567"/>
      <w:r>
        <w:t>12.5.</w:t>
      </w:r>
      <w:r>
        <w:rPr>
          <w:rFonts w:hint="eastAsia"/>
        </w:rPr>
        <w:t>1</w:t>
      </w:r>
      <w:r>
        <w:t xml:space="preserve">  交通设施规划设计</w:t>
      </w:r>
      <w:bookmarkEnd w:id="475"/>
      <w:bookmarkEnd w:id="476"/>
      <w:bookmarkEnd w:id="477"/>
      <w:r>
        <w:t xml:space="preserve"> </w:t>
      </w:r>
    </w:p>
    <w:p>
      <w:pPr>
        <w:adjustRightInd w:val="0"/>
        <w:snapToGrid w:val="0"/>
        <w:spacing w:line="480" w:lineRule="exact"/>
        <w:ind w:firstLine="480" w:firstLineChars="200"/>
        <w:rPr>
          <w:sz w:val="24"/>
        </w:rPr>
      </w:pPr>
      <w:r>
        <w:rPr>
          <w:rFonts w:hAnsi="宋体"/>
          <w:sz w:val="24"/>
        </w:rPr>
        <w:t>交通设施复建规划设计，参照交通行业初步设计阶段深度要求开展勘测设计工作，并可根据实际情况适当简化。根据地类地形图及移民安置规划确定平面布置及主要控制点，并计算工程量。交通设施根据工程量进行费用计算。</w:t>
      </w:r>
    </w:p>
    <w:p>
      <w:pPr>
        <w:pStyle w:val="4"/>
      </w:pPr>
      <w:bookmarkStart w:id="478" w:name="_Toc85660336"/>
      <w:bookmarkStart w:id="479" w:name="_Toc85487800"/>
      <w:bookmarkStart w:id="480" w:name="_Toc85632568"/>
      <w:r>
        <w:t>12.5.</w:t>
      </w:r>
      <w:r>
        <w:rPr>
          <w:rFonts w:hint="eastAsia"/>
        </w:rPr>
        <w:t>2</w:t>
      </w:r>
      <w:r>
        <w:t xml:space="preserve">  电力设施规划设计</w:t>
      </w:r>
      <w:bookmarkEnd w:id="478"/>
      <w:bookmarkEnd w:id="479"/>
      <w:bookmarkEnd w:id="480"/>
      <w:r>
        <w:t xml:space="preserve"> </w:t>
      </w:r>
    </w:p>
    <w:p>
      <w:pPr>
        <w:adjustRightInd w:val="0"/>
        <w:snapToGrid w:val="0"/>
        <w:spacing w:line="480" w:lineRule="exact"/>
        <w:ind w:firstLine="480" w:firstLineChars="200"/>
        <w:rPr>
          <w:rFonts w:hAnsi="宋体"/>
          <w:sz w:val="24"/>
        </w:rPr>
      </w:pPr>
      <w:r>
        <w:rPr>
          <w:rFonts w:hint="eastAsia" w:hAnsi="宋体"/>
          <w:sz w:val="24"/>
        </w:rPr>
        <w:t>根据电力设施线路目前使用情况，10kV线路及其变电设施规划设计按原标准进行复建。导线截面积的选取根据规范确定，规划的路径应标绘至勘测的地类地形图上，线路长度可在图上量算，并适当考虑地形增加系数。</w:t>
      </w:r>
    </w:p>
    <w:p>
      <w:pPr>
        <w:pStyle w:val="4"/>
      </w:pPr>
      <w:bookmarkStart w:id="481" w:name="_Toc85632569"/>
      <w:bookmarkStart w:id="482" w:name="_Toc85487801"/>
      <w:bookmarkStart w:id="483" w:name="_Toc85660337"/>
      <w:r>
        <w:t>12.5.</w:t>
      </w:r>
      <w:r>
        <w:rPr>
          <w:rFonts w:hint="eastAsia"/>
        </w:rPr>
        <w:t>3</w:t>
      </w:r>
      <w:r>
        <w:t xml:space="preserve">  电信设施规划设计</w:t>
      </w:r>
      <w:bookmarkEnd w:id="481"/>
      <w:bookmarkEnd w:id="482"/>
      <w:bookmarkEnd w:id="483"/>
    </w:p>
    <w:p>
      <w:pPr>
        <w:adjustRightInd w:val="0"/>
        <w:snapToGrid w:val="0"/>
        <w:spacing w:line="480" w:lineRule="exact"/>
        <w:ind w:firstLine="480" w:firstLineChars="200"/>
        <w:textAlignment w:val="baseline"/>
        <w:rPr>
          <w:sz w:val="24"/>
        </w:rPr>
      </w:pPr>
      <w:r>
        <w:rPr>
          <w:rFonts w:hAnsi="宋体"/>
          <w:sz w:val="24"/>
        </w:rPr>
        <w:t>根</w:t>
      </w:r>
      <w:r>
        <w:rPr>
          <w:rFonts w:hAnsi="宋体"/>
          <w:spacing w:val="-4"/>
          <w:sz w:val="24"/>
        </w:rPr>
        <w:t>据移动、</w:t>
      </w:r>
      <w:r>
        <w:rPr>
          <w:rFonts w:hint="eastAsia" w:hAnsi="宋体"/>
          <w:spacing w:val="-4"/>
          <w:sz w:val="24"/>
        </w:rPr>
        <w:t>电信、广播电视</w:t>
      </w:r>
      <w:r>
        <w:rPr>
          <w:rFonts w:hAnsi="宋体"/>
          <w:spacing w:val="-4"/>
          <w:sz w:val="24"/>
        </w:rPr>
        <w:t>等通信设施目前使用情况，通信设施规划设计按原标准进行复建。主要包括线材、设备及线路选择，规划的线材、设备按国家的有关标准确定，路径选择成果应绘制至勘测的地类地形图上，线路长度按图上量算，并适当考虑地形增加系数。</w:t>
      </w:r>
    </w:p>
    <w:p>
      <w:pPr>
        <w:pStyle w:val="4"/>
      </w:pPr>
      <w:bookmarkStart w:id="484" w:name="_Toc85632570"/>
      <w:bookmarkStart w:id="485" w:name="_Toc85487802"/>
      <w:bookmarkStart w:id="486" w:name="_Toc85660338"/>
      <w:r>
        <w:t>12.5.</w:t>
      </w:r>
      <w:r>
        <w:rPr>
          <w:rFonts w:hint="eastAsia"/>
        </w:rPr>
        <w:t>4</w:t>
      </w:r>
      <w:r>
        <w:t xml:space="preserve">  水利设施规划设计</w:t>
      </w:r>
      <w:bookmarkEnd w:id="484"/>
      <w:bookmarkEnd w:id="485"/>
      <w:bookmarkEnd w:id="486"/>
      <w:r>
        <w:t xml:space="preserve"> </w:t>
      </w:r>
    </w:p>
    <w:p>
      <w:pPr>
        <w:overflowPunct w:val="0"/>
        <w:autoSpaceDE w:val="0"/>
        <w:autoSpaceDN w:val="0"/>
        <w:adjustRightInd w:val="0"/>
        <w:snapToGrid w:val="0"/>
        <w:spacing w:line="480" w:lineRule="exact"/>
        <w:ind w:firstLine="480" w:firstLineChars="200"/>
        <w:rPr>
          <w:sz w:val="24"/>
        </w:rPr>
      </w:pPr>
      <w:r>
        <w:rPr>
          <w:rFonts w:hAnsi="宋体"/>
          <w:sz w:val="24"/>
        </w:rPr>
        <w:t>水利设施规划设计，参照水利行业初步设计阶段深度要求开展勘测设计工作，并可根据实际情况适当简化。</w:t>
      </w:r>
    </w:p>
    <w:p>
      <w:pPr>
        <w:pStyle w:val="4"/>
      </w:pPr>
      <w:bookmarkStart w:id="487" w:name="_Toc85660339"/>
      <w:bookmarkStart w:id="488" w:name="_Toc85632571"/>
      <w:bookmarkStart w:id="489" w:name="_Toc85487803"/>
      <w:r>
        <w:t>12.5.</w:t>
      </w:r>
      <w:r>
        <w:rPr>
          <w:rFonts w:hint="eastAsia"/>
        </w:rPr>
        <w:t>5</w:t>
      </w:r>
      <w:r>
        <w:t xml:space="preserve">  其他专业项目</w:t>
      </w:r>
      <w:bookmarkEnd w:id="487"/>
      <w:bookmarkEnd w:id="488"/>
      <w:bookmarkEnd w:id="489"/>
      <w:r>
        <w:t xml:space="preserve"> </w:t>
      </w:r>
    </w:p>
    <w:p>
      <w:pPr>
        <w:overflowPunct w:val="0"/>
        <w:autoSpaceDE w:val="0"/>
        <w:autoSpaceDN w:val="0"/>
        <w:adjustRightInd w:val="0"/>
        <w:snapToGrid w:val="0"/>
        <w:spacing w:line="480" w:lineRule="exact"/>
        <w:ind w:firstLine="480" w:firstLineChars="200"/>
        <w:rPr>
          <w:sz w:val="24"/>
        </w:rPr>
      </w:pPr>
      <w:r>
        <w:rPr>
          <w:rFonts w:hAnsi="宋体"/>
          <w:sz w:val="24"/>
        </w:rPr>
        <w:t>其他专业项目规划处理，按照相应行业技术规范和标准制定具体处理实施方案。</w:t>
      </w:r>
    </w:p>
    <w:p>
      <w:pPr>
        <w:pStyle w:val="3"/>
        <w:rPr>
          <w:rFonts w:eastAsia="宋体"/>
          <w:bCs/>
          <w:sz w:val="24"/>
        </w:rPr>
      </w:pPr>
      <w:bookmarkStart w:id="490" w:name="_Toc86265119"/>
      <w:bookmarkStart w:id="491" w:name="_Toc6809"/>
      <w:bookmarkStart w:id="492" w:name="_Toc85487804"/>
      <w:bookmarkStart w:id="493" w:name="_Toc85660340"/>
      <w:bookmarkStart w:id="494" w:name="_Toc90934910"/>
      <w:bookmarkStart w:id="495" w:name="_Toc10617"/>
      <w:r>
        <w:t>12.6  临时用地复垦设计</w:t>
      </w:r>
      <w:bookmarkEnd w:id="490"/>
      <w:bookmarkEnd w:id="491"/>
      <w:bookmarkEnd w:id="492"/>
      <w:bookmarkEnd w:id="493"/>
      <w:bookmarkEnd w:id="494"/>
      <w:bookmarkEnd w:id="495"/>
      <w:r>
        <w:t xml:space="preserve"> </w:t>
      </w:r>
    </w:p>
    <w:p>
      <w:pPr>
        <w:overflowPunct w:val="0"/>
        <w:autoSpaceDE w:val="0"/>
        <w:autoSpaceDN w:val="0"/>
        <w:adjustRightInd w:val="0"/>
        <w:snapToGrid w:val="0"/>
        <w:spacing w:line="480" w:lineRule="exact"/>
        <w:ind w:firstLine="480" w:firstLineChars="200"/>
        <w:rPr>
          <w:sz w:val="24"/>
        </w:rPr>
      </w:pPr>
      <w:r>
        <w:rPr>
          <w:rFonts w:hAnsi="宋体"/>
          <w:sz w:val="24"/>
        </w:rPr>
        <w:t>对临时用地的复垦，原则上按原用途进行恢复，参照土地开发与整理内容要求进行临时用地复垦具体规划设计。主要内容包括土地平整工程、田间道路工程等规划设计，按照规范标准进行细部规划典型设计，计算工程量及概算。</w:t>
      </w:r>
    </w:p>
    <w:p>
      <w:pPr>
        <w:pStyle w:val="3"/>
        <w:rPr>
          <w:rFonts w:eastAsia="宋体"/>
          <w:bCs/>
          <w:sz w:val="24"/>
        </w:rPr>
      </w:pPr>
      <w:bookmarkStart w:id="496" w:name="_Toc85487805"/>
      <w:bookmarkStart w:id="497" w:name="_Toc86265120"/>
      <w:bookmarkStart w:id="498" w:name="_Toc85660341"/>
      <w:bookmarkStart w:id="499" w:name="_Toc22452"/>
      <w:bookmarkStart w:id="500" w:name="_Toc30052"/>
      <w:bookmarkStart w:id="501" w:name="_Toc90934911"/>
      <w:r>
        <w:t>12.7  库底清理设计</w:t>
      </w:r>
      <w:bookmarkEnd w:id="496"/>
      <w:bookmarkEnd w:id="497"/>
      <w:bookmarkEnd w:id="498"/>
      <w:bookmarkEnd w:id="499"/>
      <w:bookmarkEnd w:id="500"/>
      <w:bookmarkEnd w:id="501"/>
      <w:r>
        <w:t xml:space="preserve"> </w:t>
      </w:r>
    </w:p>
    <w:p>
      <w:pPr>
        <w:overflowPunct w:val="0"/>
        <w:autoSpaceDE w:val="0"/>
        <w:autoSpaceDN w:val="0"/>
        <w:adjustRightInd w:val="0"/>
        <w:snapToGrid w:val="0"/>
        <w:spacing w:line="480" w:lineRule="exact"/>
        <w:ind w:firstLine="480" w:firstLineChars="200"/>
        <w:rPr>
          <w:sz w:val="24"/>
        </w:rPr>
      </w:pPr>
      <w:r>
        <w:rPr>
          <w:rFonts w:hAnsi="宋体"/>
          <w:sz w:val="24"/>
        </w:rPr>
        <w:t>根据《水电工程水库库底清理设计规范》</w:t>
      </w:r>
      <w:r>
        <w:rPr>
          <w:sz w:val="24"/>
        </w:rPr>
        <w:t>(DL/T5381-2007)</w:t>
      </w:r>
      <w:r>
        <w:rPr>
          <w:rFonts w:hAnsi="宋体"/>
          <w:sz w:val="24"/>
        </w:rPr>
        <w:t>，结合</w:t>
      </w:r>
      <w:r>
        <w:rPr>
          <w:rFonts w:hint="eastAsia" w:hAnsi="宋体"/>
          <w:sz w:val="24"/>
        </w:rPr>
        <w:t>陆河</w:t>
      </w:r>
      <w:r>
        <w:rPr>
          <w:rFonts w:hAnsi="宋体"/>
          <w:sz w:val="24"/>
        </w:rPr>
        <w:t>抽水蓄能电站淹没对象的特点及运行方式，明确库底清理范围。</w:t>
      </w:r>
    </w:p>
    <w:p>
      <w:pPr>
        <w:overflowPunct w:val="0"/>
        <w:autoSpaceDE w:val="0"/>
        <w:autoSpaceDN w:val="0"/>
        <w:adjustRightInd w:val="0"/>
        <w:snapToGrid w:val="0"/>
        <w:spacing w:line="480" w:lineRule="exact"/>
        <w:ind w:firstLine="480" w:firstLineChars="200"/>
        <w:rPr>
          <w:sz w:val="24"/>
        </w:rPr>
      </w:pPr>
      <w:r>
        <w:rPr>
          <w:rFonts w:hAnsi="宋体"/>
          <w:sz w:val="24"/>
        </w:rPr>
        <w:t>根据库底清理范围，确定卫生清理、建</w:t>
      </w:r>
      <w:r>
        <w:rPr>
          <w:sz w:val="24"/>
        </w:rPr>
        <w:t>(</w:t>
      </w:r>
      <w:r>
        <w:rPr>
          <w:rFonts w:hAnsi="宋体"/>
          <w:sz w:val="24"/>
        </w:rPr>
        <w:t>构</w:t>
      </w:r>
      <w:r>
        <w:rPr>
          <w:sz w:val="24"/>
        </w:rPr>
        <w:t>)</w:t>
      </w:r>
      <w:r>
        <w:rPr>
          <w:rFonts w:hAnsi="宋体"/>
          <w:sz w:val="24"/>
        </w:rPr>
        <w:t>筑物清理及林木清理的技术要求、方法及具体内容等。</w:t>
      </w:r>
    </w:p>
    <w:p>
      <w:pPr>
        <w:overflowPunct w:val="0"/>
        <w:autoSpaceDE w:val="0"/>
        <w:autoSpaceDN w:val="0"/>
        <w:adjustRightInd w:val="0"/>
        <w:snapToGrid w:val="0"/>
        <w:spacing w:line="480" w:lineRule="exact"/>
        <w:ind w:firstLine="480" w:firstLineChars="200"/>
        <w:rPr>
          <w:sz w:val="24"/>
        </w:rPr>
      </w:pPr>
      <w:r>
        <w:rPr>
          <w:rFonts w:hAnsi="宋体"/>
          <w:sz w:val="24"/>
        </w:rPr>
        <w:t>根据实物指标调查，本工程库底清理为一般清理，无特殊清理对象，清理对象主要包括：房屋及附属建筑物、林木、通信设施和电力设施等。</w:t>
      </w:r>
    </w:p>
    <w:p>
      <w:pPr>
        <w:overflowPunct w:val="0"/>
        <w:autoSpaceDE w:val="0"/>
        <w:autoSpaceDN w:val="0"/>
        <w:adjustRightInd w:val="0"/>
        <w:snapToGrid w:val="0"/>
        <w:spacing w:line="480" w:lineRule="exact"/>
        <w:ind w:firstLine="480" w:firstLineChars="200"/>
        <w:rPr>
          <w:sz w:val="24"/>
        </w:rPr>
      </w:pPr>
      <w:r>
        <w:rPr>
          <w:rFonts w:hAnsi="宋体"/>
          <w:sz w:val="24"/>
        </w:rPr>
        <w:t>提出具体库底清理工程量并进行费用计算。</w:t>
      </w:r>
    </w:p>
    <w:p>
      <w:pPr>
        <w:pStyle w:val="3"/>
      </w:pPr>
      <w:bookmarkStart w:id="502" w:name="_Toc9762"/>
      <w:bookmarkStart w:id="503" w:name="_Toc21856"/>
      <w:bookmarkStart w:id="504" w:name="_Toc90934912"/>
      <w:bookmarkStart w:id="505" w:name="_Toc85487807"/>
      <w:bookmarkStart w:id="506" w:name="_Toc85660343"/>
      <w:bookmarkStart w:id="507" w:name="_Toc86265122"/>
      <w:r>
        <w:t>12.8  补偿费用概算</w:t>
      </w:r>
      <w:bookmarkEnd w:id="502"/>
      <w:bookmarkEnd w:id="503"/>
      <w:bookmarkEnd w:id="504"/>
      <w:bookmarkEnd w:id="505"/>
      <w:bookmarkEnd w:id="506"/>
      <w:bookmarkEnd w:id="507"/>
      <w:r>
        <w:t xml:space="preserve"> </w:t>
      </w:r>
    </w:p>
    <w:p>
      <w:pPr>
        <w:pStyle w:val="4"/>
      </w:pPr>
      <w:bookmarkStart w:id="508" w:name="_Toc85660344"/>
      <w:bookmarkStart w:id="509" w:name="_Toc85632576"/>
      <w:bookmarkStart w:id="510" w:name="_Toc85487808"/>
      <w:r>
        <w:t xml:space="preserve">12.8.1  </w:t>
      </w:r>
      <w:r>
        <w:rPr>
          <w:rFonts w:hint="eastAsia"/>
        </w:rPr>
        <w:t>编制</w:t>
      </w:r>
      <w:r>
        <w:t>原则</w:t>
      </w:r>
      <w:bookmarkEnd w:id="508"/>
      <w:bookmarkEnd w:id="509"/>
      <w:bookmarkEnd w:id="510"/>
    </w:p>
    <w:p>
      <w:pPr>
        <w:pStyle w:val="183"/>
        <w:adjustRightInd w:val="0"/>
        <w:snapToGrid w:val="0"/>
        <w:spacing w:line="480" w:lineRule="exact"/>
        <w:ind w:firstLine="480" w:firstLineChars="200"/>
      </w:pPr>
      <w:r>
        <w:rPr>
          <w:rFonts w:hAnsi="宋体"/>
        </w:rPr>
        <w:t>补偿投资概算应以调查的实物为依据，按照国家的有关政策和规程规范，</w:t>
      </w:r>
      <w:r>
        <w:rPr>
          <w:rFonts w:hint="eastAsia" w:hAnsi="宋体"/>
        </w:rPr>
        <w:t>广东</w:t>
      </w:r>
      <w:r>
        <w:rPr>
          <w:rFonts w:hAnsi="宋体"/>
        </w:rPr>
        <w:t>省、</w:t>
      </w:r>
      <w:r>
        <w:rPr>
          <w:rFonts w:hint="eastAsia" w:hAnsi="宋体"/>
        </w:rPr>
        <w:t>汕尾</w:t>
      </w:r>
      <w:r>
        <w:rPr>
          <w:rFonts w:hAnsi="宋体"/>
        </w:rPr>
        <w:t>市、</w:t>
      </w:r>
      <w:r>
        <w:rPr>
          <w:rFonts w:hint="eastAsia" w:hAnsi="宋体"/>
        </w:rPr>
        <w:t>陆河</w:t>
      </w:r>
      <w:r>
        <w:rPr>
          <w:rFonts w:hAnsi="宋体"/>
        </w:rPr>
        <w:t>县人民政府颁布的有关法规，结合枢纽工程水库区和枢纽工程建设区的实际情况进行编制；</w:t>
      </w:r>
    </w:p>
    <w:p>
      <w:pPr>
        <w:pStyle w:val="183"/>
        <w:adjustRightInd w:val="0"/>
        <w:snapToGrid w:val="0"/>
        <w:spacing w:line="480" w:lineRule="exact"/>
        <w:ind w:firstLine="480" w:firstLineChars="200"/>
      </w:pPr>
      <w:r>
        <w:rPr>
          <w:rFonts w:hAnsi="宋体"/>
        </w:rPr>
        <w:t>专业项目复</w:t>
      </w:r>
      <w:r>
        <w:t>(</w:t>
      </w:r>
      <w:r>
        <w:rPr>
          <w:rFonts w:hAnsi="宋体"/>
        </w:rPr>
        <w:t>改</w:t>
      </w:r>
      <w:r>
        <w:t>)</w:t>
      </w:r>
      <w:r>
        <w:rPr>
          <w:rFonts w:hAnsi="宋体"/>
        </w:rPr>
        <w:t>建，按照其原规模、原标准或者恢复原功能的原则复</w:t>
      </w:r>
      <w:r>
        <w:t>(</w:t>
      </w:r>
      <w:r>
        <w:rPr>
          <w:rFonts w:hAnsi="宋体"/>
        </w:rPr>
        <w:t>改</w:t>
      </w:r>
      <w:r>
        <w:t>)</w:t>
      </w:r>
      <w:r>
        <w:rPr>
          <w:rFonts w:hAnsi="宋体"/>
        </w:rPr>
        <w:t>建所需的费用，列入征地移民安置投资估算。凡复</w:t>
      </w:r>
      <w:r>
        <w:t>(</w:t>
      </w:r>
      <w:r>
        <w:rPr>
          <w:rFonts w:hAnsi="宋体"/>
        </w:rPr>
        <w:t>改</w:t>
      </w:r>
      <w:r>
        <w:t>)</w:t>
      </w:r>
      <w:r>
        <w:rPr>
          <w:rFonts w:hAnsi="宋体"/>
        </w:rPr>
        <w:t>建需要提高标准或扩大规模增加的费用，由地方人民政府或有关单位负责解决；</w:t>
      </w:r>
    </w:p>
    <w:p>
      <w:pPr>
        <w:pStyle w:val="183"/>
        <w:adjustRightInd w:val="0"/>
        <w:snapToGrid w:val="0"/>
        <w:spacing w:line="480" w:lineRule="exact"/>
        <w:ind w:firstLine="480" w:firstLineChars="200"/>
      </w:pPr>
      <w:r>
        <w:rPr>
          <w:rFonts w:hAnsi="宋体"/>
        </w:rPr>
        <w:t>补偿补助标准和单价，</w:t>
      </w:r>
      <w:r>
        <w:rPr>
          <w:rFonts w:hint="eastAsia" w:hAnsi="宋体"/>
        </w:rPr>
        <w:t>对广东</w:t>
      </w:r>
      <w:r>
        <w:rPr>
          <w:rFonts w:hAnsi="宋体"/>
        </w:rPr>
        <w:t>省人民政府</w:t>
      </w:r>
      <w:r>
        <w:rPr>
          <w:rFonts w:hint="eastAsia" w:hAnsi="宋体"/>
        </w:rPr>
        <w:t>或授权汕尾</w:t>
      </w:r>
      <w:r>
        <w:rPr>
          <w:rFonts w:hAnsi="宋体"/>
        </w:rPr>
        <w:t>市人民政府</w:t>
      </w:r>
      <w:r>
        <w:rPr>
          <w:rFonts w:hint="eastAsia" w:hAnsi="宋体"/>
        </w:rPr>
        <w:t>、陆河县人民政府出台的</w:t>
      </w:r>
      <w:r>
        <w:rPr>
          <w:rFonts w:hAnsi="宋体"/>
        </w:rPr>
        <w:t>有关政策文件中有明确规定的，按规定执行；没有明确规定的，参考同地区同类工程，综合分析确定；</w:t>
      </w:r>
    </w:p>
    <w:p>
      <w:pPr>
        <w:pStyle w:val="183"/>
        <w:adjustRightInd w:val="0"/>
        <w:snapToGrid w:val="0"/>
        <w:spacing w:line="480" w:lineRule="exact"/>
        <w:ind w:firstLine="480" w:firstLineChars="200"/>
      </w:pPr>
      <w:r>
        <w:rPr>
          <w:rFonts w:hAnsi="宋体"/>
        </w:rPr>
        <w:t>征地移民安置补偿投资估算，与枢纽工程概</w:t>
      </w:r>
      <w:r>
        <w:t>(</w:t>
      </w:r>
      <w:r>
        <w:rPr>
          <w:rFonts w:hAnsi="宋体"/>
        </w:rPr>
        <w:t>估</w:t>
      </w:r>
      <w:r>
        <w:t>)</w:t>
      </w:r>
      <w:r>
        <w:rPr>
          <w:rFonts w:hAnsi="宋体"/>
        </w:rPr>
        <w:t>算编制年份的政策规定和价格水平一致。</w:t>
      </w:r>
    </w:p>
    <w:p>
      <w:pPr>
        <w:pStyle w:val="4"/>
      </w:pPr>
      <w:bookmarkStart w:id="511" w:name="_Toc85487809"/>
      <w:bookmarkStart w:id="512" w:name="_Toc85660345"/>
      <w:bookmarkStart w:id="513" w:name="_Toc85632577"/>
      <w:r>
        <w:t>12.8.2  项目划分和费用构成</w:t>
      </w:r>
      <w:bookmarkEnd w:id="511"/>
      <w:bookmarkEnd w:id="512"/>
      <w:bookmarkEnd w:id="513"/>
    </w:p>
    <w:p>
      <w:pPr>
        <w:pStyle w:val="5"/>
      </w:pPr>
      <w:r>
        <w:t>12.8.2.1  项目划分</w:t>
      </w:r>
    </w:p>
    <w:p>
      <w:pPr>
        <w:overflowPunct w:val="0"/>
        <w:autoSpaceDE w:val="0"/>
        <w:autoSpaceDN w:val="0"/>
        <w:adjustRightInd w:val="0"/>
        <w:snapToGrid w:val="0"/>
        <w:spacing w:line="480" w:lineRule="exact"/>
        <w:ind w:firstLine="480" w:firstLineChars="200"/>
        <w:rPr>
          <w:sz w:val="24"/>
        </w:rPr>
      </w:pPr>
      <w:r>
        <w:rPr>
          <w:rFonts w:hAnsi="宋体"/>
          <w:sz w:val="24"/>
        </w:rPr>
        <w:t>根据《水电工程建设征地移民安置补偿费用概</w:t>
      </w:r>
      <w:r>
        <w:rPr>
          <w:sz w:val="24"/>
        </w:rPr>
        <w:t>(</w:t>
      </w:r>
      <w:r>
        <w:rPr>
          <w:rFonts w:hAnsi="宋体"/>
          <w:sz w:val="24"/>
        </w:rPr>
        <w:t>估</w:t>
      </w:r>
      <w:r>
        <w:rPr>
          <w:sz w:val="24"/>
        </w:rPr>
        <w:t>)</w:t>
      </w:r>
      <w:r>
        <w:rPr>
          <w:rFonts w:hAnsi="宋体"/>
          <w:sz w:val="24"/>
        </w:rPr>
        <w:t>算编制规范》</w:t>
      </w:r>
      <w:r>
        <w:rPr>
          <w:sz w:val="24"/>
        </w:rPr>
        <w:t>(DL/T 5382-2007)</w:t>
      </w:r>
      <w:r>
        <w:rPr>
          <w:rFonts w:hAnsi="宋体"/>
          <w:sz w:val="24"/>
        </w:rPr>
        <w:t>的规定，结合</w:t>
      </w:r>
      <w:r>
        <w:rPr>
          <w:rFonts w:hint="eastAsia" w:hAnsi="宋体"/>
          <w:sz w:val="24"/>
        </w:rPr>
        <w:t>陆河</w:t>
      </w:r>
      <w:r>
        <w:rPr>
          <w:rFonts w:hAnsi="宋体"/>
          <w:sz w:val="24"/>
        </w:rPr>
        <w:t>抽水蓄能电站建设征地的实际情况，本次建设征地移民安置补偿项目划分为农村部分、专业项目、库底清理、环境保护与水土保持等部分。</w:t>
      </w:r>
    </w:p>
    <w:p>
      <w:pPr>
        <w:numPr>
          <w:ilvl w:val="0"/>
          <w:numId w:val="20"/>
        </w:numPr>
        <w:overflowPunct w:val="0"/>
        <w:autoSpaceDE w:val="0"/>
        <w:autoSpaceDN w:val="0"/>
        <w:adjustRightInd w:val="0"/>
        <w:snapToGrid w:val="0"/>
        <w:spacing w:line="480" w:lineRule="exact"/>
        <w:ind w:left="0" w:firstLine="480" w:firstLineChars="200"/>
        <w:rPr>
          <w:sz w:val="24"/>
        </w:rPr>
      </w:pPr>
      <w:r>
        <w:rPr>
          <w:rFonts w:hAnsi="宋体"/>
          <w:sz w:val="24"/>
        </w:rPr>
        <w:t>农村部分</w:t>
      </w:r>
    </w:p>
    <w:p>
      <w:pPr>
        <w:overflowPunct w:val="0"/>
        <w:autoSpaceDE w:val="0"/>
        <w:autoSpaceDN w:val="0"/>
        <w:adjustRightInd w:val="0"/>
        <w:snapToGrid w:val="0"/>
        <w:spacing w:line="480" w:lineRule="exact"/>
        <w:ind w:firstLine="480" w:firstLineChars="200"/>
        <w:rPr>
          <w:sz w:val="24"/>
        </w:rPr>
      </w:pPr>
      <w:r>
        <w:rPr>
          <w:rFonts w:hAnsi="宋体"/>
          <w:sz w:val="24"/>
        </w:rPr>
        <w:t>农村部分补偿费用包括土地补偿费和安置补助费、</w:t>
      </w:r>
      <w:r>
        <w:rPr>
          <w:rFonts w:hint="eastAsia" w:hAnsi="宋体"/>
          <w:sz w:val="24"/>
        </w:rPr>
        <w:t>留用地安置补偿费、</w:t>
      </w:r>
      <w:r>
        <w:rPr>
          <w:rFonts w:hAnsi="宋体"/>
          <w:sz w:val="24"/>
        </w:rPr>
        <w:t>房屋及附属建筑物补偿费、搬迁补助费、</w:t>
      </w:r>
      <w:r>
        <w:rPr>
          <w:rFonts w:hint="eastAsia" w:hAnsi="宋体"/>
          <w:sz w:val="24"/>
        </w:rPr>
        <w:t>基础设施恢复</w:t>
      </w:r>
      <w:r>
        <w:rPr>
          <w:rFonts w:hAnsi="宋体"/>
          <w:sz w:val="24"/>
        </w:rPr>
        <w:t>费、其他补偿补助费等。</w:t>
      </w:r>
    </w:p>
    <w:p>
      <w:pPr>
        <w:numPr>
          <w:ilvl w:val="0"/>
          <w:numId w:val="20"/>
        </w:numPr>
        <w:overflowPunct w:val="0"/>
        <w:autoSpaceDE w:val="0"/>
        <w:autoSpaceDN w:val="0"/>
        <w:adjustRightInd w:val="0"/>
        <w:snapToGrid w:val="0"/>
        <w:spacing w:line="480" w:lineRule="exact"/>
        <w:ind w:left="0" w:firstLine="480" w:firstLineChars="200"/>
        <w:rPr>
          <w:sz w:val="24"/>
        </w:rPr>
      </w:pPr>
      <w:r>
        <w:rPr>
          <w:rFonts w:hAnsi="宋体"/>
          <w:sz w:val="24"/>
        </w:rPr>
        <w:t>专业项目</w:t>
      </w:r>
    </w:p>
    <w:p>
      <w:pPr>
        <w:overflowPunct w:val="0"/>
        <w:autoSpaceDE w:val="0"/>
        <w:autoSpaceDN w:val="0"/>
        <w:adjustRightInd w:val="0"/>
        <w:snapToGrid w:val="0"/>
        <w:spacing w:line="480" w:lineRule="exact"/>
        <w:ind w:firstLine="480" w:firstLineChars="200"/>
        <w:rPr>
          <w:sz w:val="24"/>
        </w:rPr>
      </w:pPr>
      <w:r>
        <w:rPr>
          <w:rFonts w:hAnsi="宋体"/>
          <w:sz w:val="24"/>
        </w:rPr>
        <w:t>专业项目恢复改建补偿包括交通工程、电力工程、通信工程、水利设施等。</w:t>
      </w:r>
    </w:p>
    <w:p>
      <w:pPr>
        <w:numPr>
          <w:ilvl w:val="0"/>
          <w:numId w:val="20"/>
        </w:numPr>
        <w:overflowPunct w:val="0"/>
        <w:autoSpaceDE w:val="0"/>
        <w:autoSpaceDN w:val="0"/>
        <w:adjustRightInd w:val="0"/>
        <w:snapToGrid w:val="0"/>
        <w:spacing w:line="480" w:lineRule="exact"/>
        <w:ind w:left="0" w:firstLine="480" w:firstLineChars="200"/>
        <w:rPr>
          <w:sz w:val="24"/>
        </w:rPr>
      </w:pPr>
      <w:r>
        <w:rPr>
          <w:rFonts w:hAnsi="宋体"/>
          <w:sz w:val="24"/>
        </w:rPr>
        <w:t>库底清理</w:t>
      </w:r>
    </w:p>
    <w:p>
      <w:pPr>
        <w:overflowPunct w:val="0"/>
        <w:autoSpaceDE w:val="0"/>
        <w:autoSpaceDN w:val="0"/>
        <w:adjustRightInd w:val="0"/>
        <w:snapToGrid w:val="0"/>
        <w:spacing w:line="480" w:lineRule="exact"/>
        <w:ind w:firstLine="480" w:firstLineChars="200"/>
        <w:rPr>
          <w:sz w:val="24"/>
        </w:rPr>
      </w:pPr>
      <w:r>
        <w:rPr>
          <w:rFonts w:hAnsi="宋体"/>
          <w:sz w:val="24"/>
        </w:rPr>
        <w:t>库底清理包括建</w:t>
      </w:r>
      <w:r>
        <w:rPr>
          <w:sz w:val="24"/>
        </w:rPr>
        <w:t>(</w:t>
      </w:r>
      <w:r>
        <w:rPr>
          <w:rFonts w:hAnsi="宋体"/>
          <w:sz w:val="24"/>
        </w:rPr>
        <w:t>构</w:t>
      </w:r>
      <w:r>
        <w:rPr>
          <w:sz w:val="24"/>
        </w:rPr>
        <w:t>)</w:t>
      </w:r>
      <w:r>
        <w:rPr>
          <w:rFonts w:hAnsi="宋体"/>
          <w:sz w:val="24"/>
        </w:rPr>
        <w:t>筑物清理、林木清理、易漂浮物清理等。</w:t>
      </w:r>
    </w:p>
    <w:p>
      <w:pPr>
        <w:numPr>
          <w:ilvl w:val="0"/>
          <w:numId w:val="20"/>
        </w:numPr>
        <w:overflowPunct w:val="0"/>
        <w:autoSpaceDE w:val="0"/>
        <w:autoSpaceDN w:val="0"/>
        <w:adjustRightInd w:val="0"/>
        <w:snapToGrid w:val="0"/>
        <w:spacing w:line="480" w:lineRule="exact"/>
        <w:ind w:left="0" w:firstLine="480" w:firstLineChars="200"/>
        <w:rPr>
          <w:sz w:val="24"/>
        </w:rPr>
      </w:pPr>
      <w:r>
        <w:rPr>
          <w:rFonts w:hAnsi="宋体"/>
          <w:sz w:val="24"/>
        </w:rPr>
        <w:t>环境保护与水土保持</w:t>
      </w:r>
    </w:p>
    <w:p>
      <w:pPr>
        <w:overflowPunct w:val="0"/>
        <w:autoSpaceDE w:val="0"/>
        <w:autoSpaceDN w:val="0"/>
        <w:adjustRightInd w:val="0"/>
        <w:snapToGrid w:val="0"/>
        <w:spacing w:line="480" w:lineRule="exact"/>
        <w:ind w:firstLine="480" w:firstLineChars="200"/>
        <w:rPr>
          <w:sz w:val="24"/>
        </w:rPr>
      </w:pPr>
      <w:r>
        <w:rPr>
          <w:rFonts w:hAnsi="宋体"/>
          <w:sz w:val="24"/>
        </w:rPr>
        <w:t>指移民安置区的环境保护与水土保持措施等。</w:t>
      </w:r>
    </w:p>
    <w:p>
      <w:pPr>
        <w:numPr>
          <w:ilvl w:val="0"/>
          <w:numId w:val="20"/>
        </w:numPr>
        <w:overflowPunct w:val="0"/>
        <w:autoSpaceDE w:val="0"/>
        <w:autoSpaceDN w:val="0"/>
        <w:adjustRightInd w:val="0"/>
        <w:snapToGrid w:val="0"/>
        <w:spacing w:line="480" w:lineRule="exact"/>
        <w:ind w:left="0" w:firstLine="480" w:firstLineChars="200"/>
        <w:rPr>
          <w:sz w:val="24"/>
        </w:rPr>
      </w:pPr>
      <w:r>
        <w:rPr>
          <w:rFonts w:hAnsi="宋体"/>
          <w:sz w:val="24"/>
        </w:rPr>
        <w:t>独立费用</w:t>
      </w:r>
    </w:p>
    <w:p>
      <w:pPr>
        <w:overflowPunct w:val="0"/>
        <w:autoSpaceDE w:val="0"/>
        <w:autoSpaceDN w:val="0"/>
        <w:adjustRightInd w:val="0"/>
        <w:snapToGrid w:val="0"/>
        <w:spacing w:line="480" w:lineRule="exact"/>
        <w:ind w:firstLine="480" w:firstLineChars="200"/>
        <w:rPr>
          <w:sz w:val="24"/>
        </w:rPr>
      </w:pPr>
      <w:r>
        <w:rPr>
          <w:rFonts w:hAnsi="宋体"/>
          <w:sz w:val="24"/>
        </w:rPr>
        <w:t>独立费用根据《水电工程建设征地移民安置补偿费用概</w:t>
      </w:r>
      <w:r>
        <w:rPr>
          <w:sz w:val="24"/>
        </w:rPr>
        <w:t>(</w:t>
      </w:r>
      <w:r>
        <w:rPr>
          <w:rFonts w:hAnsi="宋体"/>
          <w:sz w:val="24"/>
        </w:rPr>
        <w:t>估</w:t>
      </w:r>
      <w:r>
        <w:rPr>
          <w:sz w:val="24"/>
        </w:rPr>
        <w:t>)</w:t>
      </w:r>
      <w:r>
        <w:rPr>
          <w:rFonts w:hAnsi="宋体"/>
          <w:sz w:val="24"/>
        </w:rPr>
        <w:t>算编制规范》</w:t>
      </w:r>
      <w:r>
        <w:rPr>
          <w:sz w:val="24"/>
        </w:rPr>
        <w:t>(DL/T 5382-2007)</w:t>
      </w:r>
      <w:r>
        <w:rPr>
          <w:rFonts w:hAnsi="宋体"/>
          <w:sz w:val="24"/>
        </w:rPr>
        <w:t>编制。独立费用包括项目建设管理费、综合设计</w:t>
      </w:r>
      <w:r>
        <w:rPr>
          <w:sz w:val="24"/>
        </w:rPr>
        <w:t>(</w:t>
      </w:r>
      <w:r>
        <w:rPr>
          <w:rFonts w:hAnsi="宋体"/>
          <w:sz w:val="24"/>
        </w:rPr>
        <w:t>综合设代</w:t>
      </w:r>
      <w:r>
        <w:rPr>
          <w:sz w:val="24"/>
        </w:rPr>
        <w:t>)</w:t>
      </w:r>
      <w:r>
        <w:rPr>
          <w:rFonts w:hAnsi="宋体"/>
          <w:sz w:val="24"/>
        </w:rPr>
        <w:t>费以及其它税费。</w:t>
      </w:r>
    </w:p>
    <w:p>
      <w:pPr>
        <w:numPr>
          <w:ilvl w:val="0"/>
          <w:numId w:val="21"/>
        </w:numPr>
        <w:overflowPunct w:val="0"/>
        <w:autoSpaceDE w:val="0"/>
        <w:autoSpaceDN w:val="0"/>
        <w:adjustRightInd w:val="0"/>
        <w:snapToGrid w:val="0"/>
        <w:spacing w:line="480" w:lineRule="exact"/>
        <w:ind w:left="0" w:firstLine="480" w:firstLineChars="200"/>
        <w:rPr>
          <w:sz w:val="24"/>
        </w:rPr>
      </w:pPr>
      <w:r>
        <w:rPr>
          <w:rFonts w:hAnsi="宋体"/>
          <w:sz w:val="24"/>
        </w:rPr>
        <w:t>项目建设管理费</w:t>
      </w:r>
    </w:p>
    <w:p>
      <w:pPr>
        <w:overflowPunct w:val="0"/>
        <w:autoSpaceDE w:val="0"/>
        <w:autoSpaceDN w:val="0"/>
        <w:adjustRightInd w:val="0"/>
        <w:snapToGrid w:val="0"/>
        <w:spacing w:line="480" w:lineRule="exact"/>
        <w:ind w:firstLine="480" w:firstLineChars="200"/>
        <w:rPr>
          <w:sz w:val="24"/>
        </w:rPr>
      </w:pPr>
      <w:r>
        <w:rPr>
          <w:rFonts w:hAnsi="宋体"/>
          <w:sz w:val="24"/>
        </w:rPr>
        <w:t>主要包括建设单位管理费、移民安置规划配合工作费、建设征地移民安置管理费</w:t>
      </w:r>
      <w:r>
        <w:rPr>
          <w:sz w:val="24"/>
        </w:rPr>
        <w:t>(</w:t>
      </w:r>
      <w:r>
        <w:rPr>
          <w:rFonts w:hAnsi="宋体"/>
          <w:sz w:val="24"/>
        </w:rPr>
        <w:t>包括实施管理费和技术培训费</w:t>
      </w:r>
      <w:r>
        <w:rPr>
          <w:sz w:val="24"/>
        </w:rPr>
        <w:t>)</w:t>
      </w:r>
      <w:r>
        <w:rPr>
          <w:rFonts w:hAnsi="宋体"/>
          <w:sz w:val="24"/>
        </w:rPr>
        <w:t>、移民技术培训费、移民安置监督评估费、咨询服务费、项目技术经济评审费等。</w:t>
      </w:r>
    </w:p>
    <w:p>
      <w:pPr>
        <w:numPr>
          <w:ilvl w:val="0"/>
          <w:numId w:val="21"/>
        </w:numPr>
        <w:overflowPunct w:val="0"/>
        <w:autoSpaceDE w:val="0"/>
        <w:autoSpaceDN w:val="0"/>
        <w:adjustRightInd w:val="0"/>
        <w:snapToGrid w:val="0"/>
        <w:spacing w:line="480" w:lineRule="exact"/>
        <w:ind w:left="0" w:firstLine="480" w:firstLineChars="200"/>
        <w:rPr>
          <w:sz w:val="24"/>
        </w:rPr>
      </w:pPr>
      <w:r>
        <w:rPr>
          <w:rFonts w:hAnsi="宋体"/>
          <w:sz w:val="24"/>
        </w:rPr>
        <w:t>移民安置实施阶段综合设计</w:t>
      </w:r>
      <w:r>
        <w:rPr>
          <w:sz w:val="24"/>
        </w:rPr>
        <w:t>(</w:t>
      </w:r>
      <w:r>
        <w:rPr>
          <w:rFonts w:hAnsi="宋体"/>
          <w:sz w:val="24"/>
        </w:rPr>
        <w:t>综合设代</w:t>
      </w:r>
      <w:r>
        <w:rPr>
          <w:sz w:val="24"/>
        </w:rPr>
        <w:t>)</w:t>
      </w:r>
      <w:r>
        <w:rPr>
          <w:rFonts w:hAnsi="宋体"/>
          <w:sz w:val="24"/>
        </w:rPr>
        <w:t>费</w:t>
      </w:r>
    </w:p>
    <w:p>
      <w:pPr>
        <w:overflowPunct w:val="0"/>
        <w:autoSpaceDE w:val="0"/>
        <w:autoSpaceDN w:val="0"/>
        <w:adjustRightInd w:val="0"/>
        <w:snapToGrid w:val="0"/>
        <w:spacing w:line="480" w:lineRule="exact"/>
        <w:ind w:firstLine="480" w:firstLineChars="200"/>
        <w:rPr>
          <w:sz w:val="24"/>
        </w:rPr>
      </w:pPr>
      <w:r>
        <w:rPr>
          <w:rFonts w:hAnsi="宋体"/>
          <w:sz w:val="24"/>
        </w:rPr>
        <w:t>指移民安置实施阶段为把关居民点、专业项目等移民安置项目的技术接口，设计文件汇总和派驻综合设计代表、进行综合设计交底所发生的费用等。</w:t>
      </w:r>
    </w:p>
    <w:p>
      <w:pPr>
        <w:numPr>
          <w:ilvl w:val="0"/>
          <w:numId w:val="21"/>
        </w:numPr>
        <w:overflowPunct w:val="0"/>
        <w:autoSpaceDE w:val="0"/>
        <w:autoSpaceDN w:val="0"/>
        <w:adjustRightInd w:val="0"/>
        <w:snapToGrid w:val="0"/>
        <w:spacing w:line="480" w:lineRule="exact"/>
        <w:ind w:left="0" w:firstLine="480" w:firstLineChars="200"/>
        <w:rPr>
          <w:sz w:val="24"/>
        </w:rPr>
      </w:pPr>
      <w:r>
        <w:rPr>
          <w:rFonts w:hAnsi="宋体"/>
          <w:sz w:val="24"/>
        </w:rPr>
        <w:t>其它税费</w:t>
      </w:r>
    </w:p>
    <w:p>
      <w:pPr>
        <w:overflowPunct w:val="0"/>
        <w:autoSpaceDE w:val="0"/>
        <w:autoSpaceDN w:val="0"/>
        <w:adjustRightInd w:val="0"/>
        <w:snapToGrid w:val="0"/>
        <w:spacing w:line="480" w:lineRule="exact"/>
        <w:ind w:firstLine="480" w:firstLineChars="200"/>
        <w:rPr>
          <w:sz w:val="24"/>
        </w:rPr>
      </w:pPr>
      <w:r>
        <w:rPr>
          <w:rFonts w:hAnsi="宋体"/>
          <w:sz w:val="24"/>
        </w:rPr>
        <w:t>包括耕地占用税、耕地开垦费、森林植被恢复费、</w:t>
      </w:r>
      <w:r>
        <w:rPr>
          <w:rFonts w:hint="eastAsia" w:hAnsi="宋体"/>
          <w:sz w:val="24"/>
        </w:rPr>
        <w:t>被征地农民养老保障费</w:t>
      </w:r>
      <w:r>
        <w:rPr>
          <w:rFonts w:hint="eastAsia" w:hAnsi="宋体"/>
          <w:sz w:val="24"/>
          <w:highlight w:val="none"/>
        </w:rPr>
        <w:t>、水田指标预购费</w:t>
      </w:r>
      <w:r>
        <w:rPr>
          <w:rFonts w:hAnsi="宋体"/>
          <w:sz w:val="24"/>
          <w:highlight w:val="none"/>
        </w:rPr>
        <w:t>。</w:t>
      </w:r>
    </w:p>
    <w:p>
      <w:pPr>
        <w:numPr>
          <w:ilvl w:val="0"/>
          <w:numId w:val="20"/>
        </w:numPr>
        <w:overflowPunct w:val="0"/>
        <w:autoSpaceDE w:val="0"/>
        <w:autoSpaceDN w:val="0"/>
        <w:adjustRightInd w:val="0"/>
        <w:snapToGrid w:val="0"/>
        <w:spacing w:line="480" w:lineRule="exact"/>
        <w:ind w:left="0" w:firstLine="480" w:firstLineChars="200"/>
        <w:rPr>
          <w:sz w:val="24"/>
        </w:rPr>
      </w:pPr>
      <w:r>
        <w:rPr>
          <w:rFonts w:hAnsi="宋体"/>
          <w:sz w:val="24"/>
        </w:rPr>
        <w:t>预备费</w:t>
      </w:r>
    </w:p>
    <w:p>
      <w:pPr>
        <w:numPr>
          <w:ilvl w:val="1"/>
          <w:numId w:val="22"/>
        </w:numPr>
        <w:overflowPunct w:val="0"/>
        <w:autoSpaceDE w:val="0"/>
        <w:autoSpaceDN w:val="0"/>
        <w:adjustRightInd w:val="0"/>
        <w:snapToGrid w:val="0"/>
        <w:spacing w:line="480" w:lineRule="exact"/>
        <w:ind w:left="0" w:firstLine="480" w:firstLineChars="200"/>
        <w:rPr>
          <w:sz w:val="24"/>
        </w:rPr>
      </w:pPr>
      <w:r>
        <w:rPr>
          <w:rFonts w:hAnsi="宋体"/>
          <w:sz w:val="24"/>
        </w:rPr>
        <w:t>基本预备费</w:t>
      </w:r>
    </w:p>
    <w:p>
      <w:pPr>
        <w:overflowPunct w:val="0"/>
        <w:autoSpaceDE w:val="0"/>
        <w:autoSpaceDN w:val="0"/>
        <w:adjustRightInd w:val="0"/>
        <w:snapToGrid w:val="0"/>
        <w:spacing w:line="480" w:lineRule="exact"/>
        <w:ind w:firstLine="480" w:firstLineChars="200"/>
        <w:rPr>
          <w:sz w:val="24"/>
        </w:rPr>
      </w:pPr>
      <w:r>
        <w:rPr>
          <w:rFonts w:hAnsi="宋体"/>
          <w:sz w:val="24"/>
        </w:rPr>
        <w:t>根据《水电工程建设征地移民安置补偿费用概</w:t>
      </w:r>
      <w:r>
        <w:rPr>
          <w:sz w:val="24"/>
        </w:rPr>
        <w:t>(</w:t>
      </w:r>
      <w:r>
        <w:rPr>
          <w:rFonts w:hAnsi="宋体"/>
          <w:sz w:val="24"/>
        </w:rPr>
        <w:t>估</w:t>
      </w:r>
      <w:r>
        <w:rPr>
          <w:sz w:val="24"/>
        </w:rPr>
        <w:t>)</w:t>
      </w:r>
      <w:r>
        <w:rPr>
          <w:rFonts w:hAnsi="宋体"/>
          <w:sz w:val="24"/>
        </w:rPr>
        <w:t>算编制规范》</w:t>
      </w:r>
      <w:r>
        <w:rPr>
          <w:sz w:val="24"/>
        </w:rPr>
        <w:t>(DL/T 5382-2007)</w:t>
      </w:r>
      <w:r>
        <w:rPr>
          <w:rFonts w:hAnsi="宋体"/>
          <w:sz w:val="24"/>
        </w:rPr>
        <w:t>，按各项目费用分别取值计算后，统一合计基本预备费，各项目不单独计列。其中农村部分补偿费用、库底清理费用、独立费用等部分的基本预备费按</w:t>
      </w:r>
      <w:r>
        <w:rPr>
          <w:sz w:val="24"/>
        </w:rPr>
        <w:t>5%</w:t>
      </w:r>
      <w:r>
        <w:rPr>
          <w:rFonts w:hAnsi="宋体"/>
          <w:sz w:val="24"/>
        </w:rPr>
        <w:t>的费率计算，专业项目处理补偿费用、环境保护和水土保持费用等部分的基本预备费按相应行业的规定取值计算。</w:t>
      </w:r>
    </w:p>
    <w:p>
      <w:pPr>
        <w:numPr>
          <w:ilvl w:val="1"/>
          <w:numId w:val="22"/>
        </w:numPr>
        <w:overflowPunct w:val="0"/>
        <w:autoSpaceDE w:val="0"/>
        <w:autoSpaceDN w:val="0"/>
        <w:adjustRightInd w:val="0"/>
        <w:snapToGrid w:val="0"/>
        <w:spacing w:line="480" w:lineRule="exact"/>
        <w:ind w:left="0" w:firstLine="480" w:firstLineChars="200"/>
        <w:rPr>
          <w:sz w:val="24"/>
        </w:rPr>
      </w:pPr>
      <w:r>
        <w:rPr>
          <w:rFonts w:hAnsi="宋体"/>
          <w:sz w:val="24"/>
        </w:rPr>
        <w:t>价差预备费</w:t>
      </w:r>
    </w:p>
    <w:p>
      <w:pPr>
        <w:overflowPunct w:val="0"/>
        <w:autoSpaceDE w:val="0"/>
        <w:autoSpaceDN w:val="0"/>
        <w:adjustRightInd w:val="0"/>
        <w:snapToGrid w:val="0"/>
        <w:spacing w:line="480" w:lineRule="exact"/>
        <w:ind w:firstLine="488" w:firstLineChars="200"/>
        <w:rPr>
          <w:spacing w:val="2"/>
          <w:sz w:val="24"/>
        </w:rPr>
      </w:pPr>
      <w:r>
        <w:rPr>
          <w:rFonts w:hAnsi="宋体"/>
          <w:spacing w:val="2"/>
          <w:sz w:val="24"/>
        </w:rPr>
        <w:t>以分年度的静态投资为计算基数，原则上采用与枢纽工程相同的价差预备费率计算。</w:t>
      </w:r>
    </w:p>
    <w:p>
      <w:pPr>
        <w:pStyle w:val="5"/>
      </w:pPr>
      <w:r>
        <w:t>12.8.2.2  费用构成</w:t>
      </w:r>
    </w:p>
    <w:p>
      <w:pPr>
        <w:overflowPunct w:val="0"/>
        <w:autoSpaceDE w:val="0"/>
        <w:autoSpaceDN w:val="0"/>
        <w:adjustRightInd w:val="0"/>
        <w:snapToGrid w:val="0"/>
        <w:spacing w:line="480" w:lineRule="exact"/>
        <w:ind w:firstLine="480" w:firstLineChars="200"/>
        <w:rPr>
          <w:sz w:val="24"/>
        </w:rPr>
      </w:pPr>
      <w:r>
        <w:rPr>
          <w:rFonts w:hAnsi="宋体"/>
          <w:sz w:val="24"/>
        </w:rPr>
        <w:t>根据《水电工程建设征地移民安置补偿费用概</w:t>
      </w:r>
      <w:r>
        <w:rPr>
          <w:sz w:val="24"/>
        </w:rPr>
        <w:t>(</w:t>
      </w:r>
      <w:r>
        <w:rPr>
          <w:rFonts w:hAnsi="宋体"/>
          <w:sz w:val="24"/>
        </w:rPr>
        <w:t>估</w:t>
      </w:r>
      <w:r>
        <w:rPr>
          <w:sz w:val="24"/>
        </w:rPr>
        <w:t>)</w:t>
      </w:r>
      <w:r>
        <w:rPr>
          <w:rFonts w:hAnsi="宋体"/>
          <w:sz w:val="24"/>
        </w:rPr>
        <w:t>算编制规范》</w:t>
      </w:r>
      <w:r>
        <w:rPr>
          <w:sz w:val="24"/>
        </w:rPr>
        <w:t>(DL/T 5382-2007)</w:t>
      </w:r>
      <w:r>
        <w:rPr>
          <w:rFonts w:hAnsi="宋体"/>
          <w:sz w:val="24"/>
        </w:rPr>
        <w:t>的规定，</w:t>
      </w:r>
      <w:r>
        <w:rPr>
          <w:rFonts w:hint="eastAsia" w:hAnsi="宋体"/>
          <w:sz w:val="24"/>
        </w:rPr>
        <w:t>陆河</w:t>
      </w:r>
      <w:r>
        <w:rPr>
          <w:rFonts w:hAnsi="宋体"/>
          <w:sz w:val="24"/>
        </w:rPr>
        <w:t>抽水蓄能电站建设征地移民安置补偿费用由农村部分补偿费用、专业项目处理补偿费用、库底清理费用、环境保护与水土保持费用、独立费用、预备费六部分费用构成。</w:t>
      </w:r>
    </w:p>
    <w:p>
      <w:pPr>
        <w:numPr>
          <w:ilvl w:val="4"/>
          <w:numId w:val="23"/>
        </w:numPr>
        <w:overflowPunct w:val="0"/>
        <w:autoSpaceDE w:val="0"/>
        <w:autoSpaceDN w:val="0"/>
        <w:adjustRightInd w:val="0"/>
        <w:snapToGrid w:val="0"/>
        <w:spacing w:line="480" w:lineRule="exact"/>
        <w:ind w:left="0" w:firstLine="480" w:firstLineChars="200"/>
        <w:rPr>
          <w:sz w:val="24"/>
        </w:rPr>
      </w:pPr>
      <w:r>
        <w:rPr>
          <w:rFonts w:hAnsi="宋体"/>
          <w:sz w:val="24"/>
        </w:rPr>
        <w:t>农村部分补偿费用</w:t>
      </w:r>
    </w:p>
    <w:p>
      <w:pPr>
        <w:overflowPunct w:val="0"/>
        <w:autoSpaceDE w:val="0"/>
        <w:autoSpaceDN w:val="0"/>
        <w:adjustRightInd w:val="0"/>
        <w:snapToGrid w:val="0"/>
        <w:spacing w:line="480" w:lineRule="exact"/>
        <w:ind w:firstLine="480" w:firstLineChars="200"/>
        <w:rPr>
          <w:sz w:val="24"/>
        </w:rPr>
      </w:pPr>
      <w:r>
        <w:rPr>
          <w:rFonts w:hAnsi="宋体"/>
          <w:sz w:val="24"/>
        </w:rPr>
        <w:t>农村部分补偿费用包括农村部分补偿费包括征收土地补偿补助费、征用土地补偿补助费、房屋及附属建筑物补偿费、搬迁补助费、后靠自建房补助费、和其他补偿补助费用。</w:t>
      </w:r>
    </w:p>
    <w:p>
      <w:pPr>
        <w:numPr>
          <w:ilvl w:val="4"/>
          <w:numId w:val="23"/>
        </w:numPr>
        <w:overflowPunct w:val="0"/>
        <w:autoSpaceDE w:val="0"/>
        <w:autoSpaceDN w:val="0"/>
        <w:adjustRightInd w:val="0"/>
        <w:snapToGrid w:val="0"/>
        <w:spacing w:line="480" w:lineRule="exact"/>
        <w:ind w:left="0" w:firstLine="480" w:firstLineChars="200"/>
        <w:rPr>
          <w:sz w:val="24"/>
        </w:rPr>
      </w:pPr>
      <w:r>
        <w:rPr>
          <w:rFonts w:hAnsi="宋体"/>
          <w:sz w:val="24"/>
        </w:rPr>
        <w:t>专业项目处理补偿费用</w:t>
      </w:r>
    </w:p>
    <w:p>
      <w:pPr>
        <w:overflowPunct w:val="0"/>
        <w:autoSpaceDE w:val="0"/>
        <w:autoSpaceDN w:val="0"/>
        <w:adjustRightInd w:val="0"/>
        <w:snapToGrid w:val="0"/>
        <w:spacing w:line="480" w:lineRule="exact"/>
        <w:ind w:firstLine="480" w:firstLineChars="200"/>
        <w:rPr>
          <w:sz w:val="24"/>
        </w:rPr>
      </w:pPr>
      <w:r>
        <w:rPr>
          <w:rFonts w:hAnsi="宋体"/>
          <w:sz w:val="24"/>
        </w:rPr>
        <w:t>根据本工程实际情况，专业项目处理费用包括企事业单位、交通工程、电力工程、水利工程、通信工程复</w:t>
      </w:r>
      <w:r>
        <w:rPr>
          <w:sz w:val="24"/>
        </w:rPr>
        <w:t>(</w:t>
      </w:r>
      <w:r>
        <w:rPr>
          <w:rFonts w:hAnsi="宋体"/>
          <w:sz w:val="24"/>
        </w:rPr>
        <w:t>改</w:t>
      </w:r>
      <w:r>
        <w:rPr>
          <w:sz w:val="24"/>
        </w:rPr>
        <w:t>)</w:t>
      </w:r>
      <w:r>
        <w:rPr>
          <w:rFonts w:hAnsi="宋体"/>
          <w:sz w:val="24"/>
        </w:rPr>
        <w:t>费用等。根据规划设计成果，依据相关专业概算计算方法，按照计算工程量以及概算编制期价格水平计算复</w:t>
      </w:r>
      <w:r>
        <w:rPr>
          <w:sz w:val="24"/>
        </w:rPr>
        <w:t>(</w:t>
      </w:r>
      <w:r>
        <w:rPr>
          <w:rFonts w:hAnsi="宋体"/>
          <w:sz w:val="24"/>
        </w:rPr>
        <w:t>改</w:t>
      </w:r>
      <w:r>
        <w:rPr>
          <w:sz w:val="24"/>
        </w:rPr>
        <w:t>)</w:t>
      </w:r>
      <w:r>
        <w:rPr>
          <w:rFonts w:hAnsi="宋体"/>
          <w:sz w:val="24"/>
        </w:rPr>
        <w:t>建费用。</w:t>
      </w:r>
    </w:p>
    <w:p>
      <w:pPr>
        <w:numPr>
          <w:ilvl w:val="4"/>
          <w:numId w:val="23"/>
        </w:numPr>
        <w:overflowPunct w:val="0"/>
        <w:autoSpaceDE w:val="0"/>
        <w:autoSpaceDN w:val="0"/>
        <w:adjustRightInd w:val="0"/>
        <w:snapToGrid w:val="0"/>
        <w:spacing w:line="480" w:lineRule="exact"/>
        <w:ind w:left="0" w:firstLine="480" w:firstLineChars="200"/>
        <w:rPr>
          <w:sz w:val="24"/>
        </w:rPr>
      </w:pPr>
      <w:r>
        <w:rPr>
          <w:rFonts w:hAnsi="宋体"/>
          <w:sz w:val="24"/>
        </w:rPr>
        <w:t>库底清理费</w:t>
      </w:r>
    </w:p>
    <w:p>
      <w:pPr>
        <w:overflowPunct w:val="0"/>
        <w:autoSpaceDE w:val="0"/>
        <w:autoSpaceDN w:val="0"/>
        <w:adjustRightInd w:val="0"/>
        <w:snapToGrid w:val="0"/>
        <w:spacing w:line="480" w:lineRule="exact"/>
        <w:ind w:firstLine="480" w:firstLineChars="200"/>
        <w:rPr>
          <w:sz w:val="24"/>
        </w:rPr>
      </w:pPr>
      <w:r>
        <w:rPr>
          <w:rFonts w:hAnsi="宋体"/>
          <w:sz w:val="24"/>
        </w:rPr>
        <w:t>库底清理费包括建筑物清理、卫生清理及林木清理等费用；按照本阶段库底清理设计的设计工作量与相应单价计算，库底清理单价参照近期建设同类工程分析确定。</w:t>
      </w:r>
    </w:p>
    <w:p>
      <w:pPr>
        <w:numPr>
          <w:ilvl w:val="4"/>
          <w:numId w:val="23"/>
        </w:numPr>
        <w:overflowPunct w:val="0"/>
        <w:autoSpaceDE w:val="0"/>
        <w:autoSpaceDN w:val="0"/>
        <w:adjustRightInd w:val="0"/>
        <w:snapToGrid w:val="0"/>
        <w:spacing w:line="480" w:lineRule="exact"/>
        <w:ind w:left="0" w:firstLine="480" w:firstLineChars="200"/>
        <w:rPr>
          <w:sz w:val="24"/>
        </w:rPr>
      </w:pPr>
      <w:r>
        <w:rPr>
          <w:rFonts w:hAnsi="宋体"/>
          <w:sz w:val="24"/>
        </w:rPr>
        <w:t>环境保护与水土保持费用</w:t>
      </w:r>
    </w:p>
    <w:p>
      <w:pPr>
        <w:overflowPunct w:val="0"/>
        <w:autoSpaceDE w:val="0"/>
        <w:autoSpaceDN w:val="0"/>
        <w:adjustRightInd w:val="0"/>
        <w:snapToGrid w:val="0"/>
        <w:spacing w:line="480" w:lineRule="exact"/>
        <w:ind w:firstLine="480" w:firstLineChars="200"/>
        <w:rPr>
          <w:sz w:val="24"/>
        </w:rPr>
      </w:pPr>
      <w:r>
        <w:rPr>
          <w:rFonts w:hAnsi="宋体"/>
          <w:sz w:val="24"/>
        </w:rPr>
        <w:t>根据环保专业提出的规划设计成果计列相关费用。</w:t>
      </w:r>
    </w:p>
    <w:p>
      <w:pPr>
        <w:numPr>
          <w:ilvl w:val="4"/>
          <w:numId w:val="23"/>
        </w:numPr>
        <w:overflowPunct w:val="0"/>
        <w:autoSpaceDE w:val="0"/>
        <w:autoSpaceDN w:val="0"/>
        <w:adjustRightInd w:val="0"/>
        <w:snapToGrid w:val="0"/>
        <w:spacing w:line="480" w:lineRule="exact"/>
        <w:ind w:left="0" w:firstLine="480" w:firstLineChars="200"/>
        <w:rPr>
          <w:sz w:val="24"/>
        </w:rPr>
      </w:pPr>
      <w:r>
        <w:rPr>
          <w:rFonts w:hAnsi="宋体"/>
          <w:sz w:val="24"/>
        </w:rPr>
        <w:t>独立费用</w:t>
      </w:r>
    </w:p>
    <w:p>
      <w:pPr>
        <w:overflowPunct w:val="0"/>
        <w:autoSpaceDE w:val="0"/>
        <w:autoSpaceDN w:val="0"/>
        <w:adjustRightInd w:val="0"/>
        <w:snapToGrid w:val="0"/>
        <w:spacing w:line="480" w:lineRule="exact"/>
        <w:ind w:firstLine="480" w:firstLineChars="200"/>
        <w:rPr>
          <w:sz w:val="24"/>
        </w:rPr>
      </w:pPr>
      <w:r>
        <w:rPr>
          <w:rFonts w:hAnsi="宋体"/>
          <w:sz w:val="24"/>
        </w:rPr>
        <w:t>独立费用根据《水电工程建设征地移民安置补偿费用概</w:t>
      </w:r>
      <w:r>
        <w:rPr>
          <w:sz w:val="24"/>
        </w:rPr>
        <w:t>(</w:t>
      </w:r>
      <w:r>
        <w:rPr>
          <w:rFonts w:hAnsi="宋体"/>
          <w:sz w:val="24"/>
        </w:rPr>
        <w:t>估</w:t>
      </w:r>
      <w:r>
        <w:rPr>
          <w:sz w:val="24"/>
        </w:rPr>
        <w:t>)</w:t>
      </w:r>
      <w:r>
        <w:rPr>
          <w:rFonts w:hAnsi="宋体"/>
          <w:sz w:val="24"/>
        </w:rPr>
        <w:t>算编制规范》</w:t>
      </w:r>
      <w:r>
        <w:rPr>
          <w:sz w:val="24"/>
        </w:rPr>
        <w:t>(DL/T 5382-2007)</w:t>
      </w:r>
      <w:r>
        <w:rPr>
          <w:rFonts w:hAnsi="宋体"/>
          <w:sz w:val="24"/>
        </w:rPr>
        <w:t>编制。独立费用包括项目建设管理费、综合设计</w:t>
      </w:r>
      <w:r>
        <w:rPr>
          <w:sz w:val="24"/>
        </w:rPr>
        <w:t>(</w:t>
      </w:r>
      <w:r>
        <w:rPr>
          <w:rFonts w:hAnsi="宋体"/>
          <w:sz w:val="24"/>
        </w:rPr>
        <w:t>综合设代</w:t>
      </w:r>
      <w:r>
        <w:rPr>
          <w:sz w:val="24"/>
        </w:rPr>
        <w:t>)</w:t>
      </w:r>
      <w:r>
        <w:rPr>
          <w:rFonts w:hAnsi="宋体"/>
          <w:sz w:val="24"/>
        </w:rPr>
        <w:t>费以及其它税费。</w:t>
      </w:r>
    </w:p>
    <w:p>
      <w:pPr>
        <w:numPr>
          <w:ilvl w:val="4"/>
          <w:numId w:val="23"/>
        </w:numPr>
        <w:overflowPunct w:val="0"/>
        <w:autoSpaceDE w:val="0"/>
        <w:autoSpaceDN w:val="0"/>
        <w:adjustRightInd w:val="0"/>
        <w:snapToGrid w:val="0"/>
        <w:spacing w:line="480" w:lineRule="exact"/>
        <w:ind w:left="0" w:firstLine="480" w:firstLineChars="200"/>
        <w:rPr>
          <w:sz w:val="24"/>
        </w:rPr>
      </w:pPr>
      <w:r>
        <w:rPr>
          <w:rFonts w:hAnsi="宋体"/>
          <w:sz w:val="24"/>
        </w:rPr>
        <w:t>预备费</w:t>
      </w:r>
    </w:p>
    <w:p>
      <w:pPr>
        <w:numPr>
          <w:ilvl w:val="1"/>
          <w:numId w:val="24"/>
        </w:numPr>
        <w:overflowPunct w:val="0"/>
        <w:autoSpaceDE w:val="0"/>
        <w:autoSpaceDN w:val="0"/>
        <w:adjustRightInd w:val="0"/>
        <w:snapToGrid w:val="0"/>
        <w:spacing w:line="480" w:lineRule="exact"/>
        <w:ind w:left="0" w:firstLine="480" w:firstLineChars="200"/>
        <w:rPr>
          <w:sz w:val="24"/>
        </w:rPr>
      </w:pPr>
      <w:r>
        <w:rPr>
          <w:rFonts w:hAnsi="宋体"/>
          <w:sz w:val="24"/>
        </w:rPr>
        <w:t>基本预备费</w:t>
      </w:r>
    </w:p>
    <w:p>
      <w:pPr>
        <w:overflowPunct w:val="0"/>
        <w:autoSpaceDE w:val="0"/>
        <w:autoSpaceDN w:val="0"/>
        <w:adjustRightInd w:val="0"/>
        <w:snapToGrid w:val="0"/>
        <w:spacing w:line="480" w:lineRule="exact"/>
        <w:ind w:firstLine="480" w:firstLineChars="200"/>
        <w:rPr>
          <w:sz w:val="24"/>
        </w:rPr>
      </w:pPr>
      <w:r>
        <w:rPr>
          <w:rFonts w:hAnsi="宋体"/>
          <w:sz w:val="24"/>
        </w:rPr>
        <w:t>农村部分补偿费用、库底清理费用、独立费用等部分的基本预备费按</w:t>
      </w:r>
      <w:r>
        <w:rPr>
          <w:sz w:val="24"/>
        </w:rPr>
        <w:t>5%</w:t>
      </w:r>
      <w:r>
        <w:rPr>
          <w:rFonts w:hAnsi="宋体"/>
          <w:sz w:val="24"/>
        </w:rPr>
        <w:t>的费率计算，专业项目处理补偿费用、环境保护和水土保持费用等部分的基本预备费按相应行业的规定取值计算。</w:t>
      </w:r>
    </w:p>
    <w:p>
      <w:pPr>
        <w:numPr>
          <w:ilvl w:val="1"/>
          <w:numId w:val="24"/>
        </w:numPr>
        <w:overflowPunct w:val="0"/>
        <w:autoSpaceDE w:val="0"/>
        <w:autoSpaceDN w:val="0"/>
        <w:adjustRightInd w:val="0"/>
        <w:snapToGrid w:val="0"/>
        <w:spacing w:line="480" w:lineRule="exact"/>
        <w:ind w:left="0" w:firstLine="480" w:firstLineChars="200"/>
        <w:rPr>
          <w:sz w:val="24"/>
        </w:rPr>
      </w:pPr>
      <w:r>
        <w:rPr>
          <w:rFonts w:hAnsi="宋体"/>
          <w:sz w:val="24"/>
        </w:rPr>
        <w:t>价差预备费</w:t>
      </w:r>
    </w:p>
    <w:p>
      <w:pPr>
        <w:overflowPunct w:val="0"/>
        <w:autoSpaceDE w:val="0"/>
        <w:autoSpaceDN w:val="0"/>
        <w:adjustRightInd w:val="0"/>
        <w:snapToGrid w:val="0"/>
        <w:spacing w:line="480" w:lineRule="exact"/>
        <w:ind w:firstLine="480" w:firstLineChars="200"/>
        <w:rPr>
          <w:sz w:val="24"/>
        </w:rPr>
      </w:pPr>
      <w:r>
        <w:rPr>
          <w:rFonts w:hAnsi="宋体"/>
          <w:sz w:val="24"/>
        </w:rPr>
        <w:t>以分年度的静态投资为计算基数，原则上采用枢纽工程的价差预备费率</w:t>
      </w:r>
      <w:r>
        <w:rPr>
          <w:sz w:val="24"/>
        </w:rPr>
        <w:t>2%</w:t>
      </w:r>
      <w:r>
        <w:rPr>
          <w:rFonts w:hAnsi="宋体"/>
          <w:sz w:val="24"/>
        </w:rPr>
        <w:t>计算。</w:t>
      </w:r>
    </w:p>
    <w:p>
      <w:pPr>
        <w:pStyle w:val="5"/>
      </w:pPr>
      <w:r>
        <w:t>12.8.2.3  分年投资计划的编制原则</w:t>
      </w:r>
    </w:p>
    <w:p>
      <w:pPr>
        <w:overflowPunct w:val="0"/>
        <w:autoSpaceDE w:val="0"/>
        <w:autoSpaceDN w:val="0"/>
        <w:adjustRightInd w:val="0"/>
        <w:snapToGrid w:val="0"/>
        <w:spacing w:line="480" w:lineRule="exact"/>
        <w:ind w:firstLine="480" w:firstLineChars="200"/>
        <w:rPr>
          <w:sz w:val="24"/>
        </w:rPr>
      </w:pPr>
      <w:r>
        <w:rPr>
          <w:rFonts w:hAnsi="宋体"/>
          <w:sz w:val="24"/>
        </w:rPr>
        <w:t>移</w:t>
      </w:r>
      <w:r>
        <w:rPr>
          <w:rFonts w:hAnsi="宋体"/>
          <w:spacing w:val="2"/>
          <w:sz w:val="24"/>
        </w:rPr>
        <w:t>民实施进度计划的制定是根据枢纽工程的建设内容、工程量、工期及安置对象、安置方式等因素综合确定的，在此基础上，制定出各项移民补偿费用的分年度投资计划。</w:t>
      </w:r>
    </w:p>
    <w:p>
      <w:pPr>
        <w:pStyle w:val="3"/>
        <w:rPr>
          <w:rFonts w:eastAsia="宋体"/>
          <w:bCs/>
          <w:sz w:val="24"/>
        </w:rPr>
      </w:pPr>
      <w:bookmarkStart w:id="514" w:name="_Toc25768"/>
      <w:bookmarkStart w:id="515" w:name="_Toc16649"/>
      <w:bookmarkStart w:id="516" w:name="_Toc90934913"/>
      <w:bookmarkStart w:id="517" w:name="_Toc86265123"/>
      <w:bookmarkStart w:id="518" w:name="_Toc85487810"/>
      <w:bookmarkStart w:id="519" w:name="_Toc85660346"/>
      <w:r>
        <w:t>12.9  报告编制时间和计划安排</w:t>
      </w:r>
      <w:bookmarkEnd w:id="514"/>
      <w:bookmarkEnd w:id="515"/>
      <w:bookmarkEnd w:id="516"/>
      <w:bookmarkEnd w:id="517"/>
      <w:bookmarkEnd w:id="518"/>
      <w:bookmarkEnd w:id="519"/>
    </w:p>
    <w:p>
      <w:pPr>
        <w:overflowPunct w:val="0"/>
        <w:autoSpaceDE w:val="0"/>
        <w:autoSpaceDN w:val="0"/>
        <w:adjustRightInd w:val="0"/>
        <w:snapToGrid w:val="0"/>
        <w:spacing w:line="480" w:lineRule="exact"/>
        <w:ind w:firstLine="480" w:firstLineChars="200"/>
        <w:rPr>
          <w:sz w:val="24"/>
        </w:rPr>
      </w:pPr>
      <w:r>
        <w:rPr>
          <w:sz w:val="24"/>
        </w:rPr>
        <w:t>202</w:t>
      </w:r>
      <w:r>
        <w:rPr>
          <w:rFonts w:hint="eastAsia"/>
          <w:sz w:val="24"/>
        </w:rPr>
        <w:t>2</w:t>
      </w:r>
      <w:r>
        <w:rPr>
          <w:rFonts w:hAnsi="宋体"/>
          <w:sz w:val="24"/>
        </w:rPr>
        <w:t>年</w:t>
      </w:r>
      <w:r>
        <w:rPr>
          <w:rFonts w:hint="eastAsia"/>
          <w:sz w:val="24"/>
        </w:rPr>
        <w:t>1</w:t>
      </w:r>
      <w:r>
        <w:rPr>
          <w:rFonts w:hAnsi="宋体"/>
          <w:sz w:val="24"/>
        </w:rPr>
        <w:t>月</w:t>
      </w:r>
      <w:r>
        <w:rPr>
          <w:rFonts w:hint="eastAsia" w:hAnsi="宋体"/>
          <w:sz w:val="24"/>
        </w:rPr>
        <w:t>10日</w:t>
      </w:r>
      <w:r>
        <w:rPr>
          <w:rFonts w:hAnsi="宋体"/>
          <w:sz w:val="24"/>
        </w:rPr>
        <w:t>，完成《</w:t>
      </w:r>
      <w:r>
        <w:rPr>
          <w:rFonts w:hint="eastAsia" w:hAnsi="宋体"/>
          <w:sz w:val="24"/>
        </w:rPr>
        <w:t>广东陆河</w:t>
      </w:r>
      <w:r>
        <w:rPr>
          <w:rFonts w:hAnsi="宋体"/>
          <w:sz w:val="24"/>
        </w:rPr>
        <w:t>抽水蓄能电站建设征地移民安置规划大纲》的修改完善工作。移民安置规划设计工作从</w:t>
      </w:r>
      <w:r>
        <w:rPr>
          <w:sz w:val="24"/>
        </w:rPr>
        <w:t>202</w:t>
      </w:r>
      <w:r>
        <w:rPr>
          <w:rFonts w:hint="eastAsia"/>
          <w:sz w:val="24"/>
        </w:rPr>
        <w:t>2</w:t>
      </w:r>
      <w:r>
        <w:rPr>
          <w:rFonts w:hAnsi="宋体"/>
          <w:sz w:val="24"/>
        </w:rPr>
        <w:t>年</w:t>
      </w:r>
      <w:r>
        <w:rPr>
          <w:rFonts w:hint="eastAsia"/>
          <w:sz w:val="24"/>
        </w:rPr>
        <w:t>1</w:t>
      </w:r>
      <w:r>
        <w:rPr>
          <w:rFonts w:hAnsi="宋体"/>
          <w:sz w:val="24"/>
        </w:rPr>
        <w:t>月</w:t>
      </w:r>
      <w:r>
        <w:rPr>
          <w:rFonts w:hint="eastAsia" w:hAnsi="宋体"/>
          <w:sz w:val="24"/>
        </w:rPr>
        <w:t>11日</w:t>
      </w:r>
      <w:r>
        <w:rPr>
          <w:rFonts w:hAnsi="宋体"/>
          <w:sz w:val="24"/>
        </w:rPr>
        <w:t>开始，</w:t>
      </w:r>
      <w:r>
        <w:rPr>
          <w:sz w:val="24"/>
        </w:rPr>
        <w:t>202</w:t>
      </w:r>
      <w:r>
        <w:rPr>
          <w:rFonts w:hint="eastAsia"/>
          <w:sz w:val="24"/>
        </w:rPr>
        <w:t>2</w:t>
      </w:r>
      <w:r>
        <w:rPr>
          <w:rFonts w:hAnsi="宋体"/>
          <w:sz w:val="24"/>
        </w:rPr>
        <w:t>年</w:t>
      </w:r>
      <w:r>
        <w:rPr>
          <w:rFonts w:hint="eastAsia"/>
          <w:sz w:val="24"/>
        </w:rPr>
        <w:t>1</w:t>
      </w:r>
      <w:r>
        <w:rPr>
          <w:rFonts w:hAnsi="宋体"/>
          <w:sz w:val="24"/>
        </w:rPr>
        <w:t>月</w:t>
      </w:r>
      <w:r>
        <w:rPr>
          <w:rFonts w:hint="eastAsia" w:hAnsi="宋体"/>
          <w:sz w:val="24"/>
        </w:rPr>
        <w:t>21日</w:t>
      </w:r>
      <w:r>
        <w:rPr>
          <w:rFonts w:hAnsi="宋体"/>
          <w:sz w:val="24"/>
        </w:rPr>
        <w:t>完成初稿，</w:t>
      </w:r>
      <w:r>
        <w:rPr>
          <w:sz w:val="24"/>
        </w:rPr>
        <w:t>202</w:t>
      </w:r>
      <w:r>
        <w:rPr>
          <w:rFonts w:hint="eastAsia"/>
          <w:sz w:val="24"/>
        </w:rPr>
        <w:t>2</w:t>
      </w:r>
      <w:r>
        <w:rPr>
          <w:rFonts w:hAnsi="宋体"/>
          <w:sz w:val="24"/>
        </w:rPr>
        <w:t>年</w:t>
      </w:r>
      <w:r>
        <w:rPr>
          <w:rFonts w:hint="eastAsia"/>
          <w:sz w:val="24"/>
        </w:rPr>
        <w:t>1</w:t>
      </w:r>
      <w:r>
        <w:rPr>
          <w:rFonts w:hAnsi="宋体"/>
          <w:sz w:val="24"/>
        </w:rPr>
        <w:t>月</w:t>
      </w:r>
      <w:r>
        <w:rPr>
          <w:rFonts w:hint="eastAsia" w:hAnsi="宋体"/>
          <w:sz w:val="24"/>
        </w:rPr>
        <w:t>24</w:t>
      </w:r>
      <w:r>
        <w:rPr>
          <w:rFonts w:hAnsi="宋体"/>
          <w:sz w:val="24"/>
        </w:rPr>
        <w:t>征求意见，</w:t>
      </w:r>
      <w:r>
        <w:rPr>
          <w:sz w:val="24"/>
        </w:rPr>
        <w:t>20</w:t>
      </w:r>
      <w:r>
        <w:rPr>
          <w:rFonts w:hint="eastAsia"/>
          <w:sz w:val="24"/>
        </w:rPr>
        <w:t>22</w:t>
      </w:r>
      <w:r>
        <w:rPr>
          <w:rFonts w:hAnsi="宋体"/>
          <w:sz w:val="24"/>
        </w:rPr>
        <w:t>年</w:t>
      </w:r>
      <w:r>
        <w:rPr>
          <w:sz w:val="24"/>
        </w:rPr>
        <w:t>1</w:t>
      </w:r>
      <w:r>
        <w:rPr>
          <w:rFonts w:hAnsi="宋体"/>
          <w:sz w:val="24"/>
        </w:rPr>
        <w:t>月</w:t>
      </w:r>
      <w:r>
        <w:rPr>
          <w:rFonts w:hint="eastAsia" w:hAnsi="宋体"/>
          <w:sz w:val="24"/>
        </w:rPr>
        <w:t>底</w:t>
      </w:r>
      <w:r>
        <w:rPr>
          <w:rFonts w:hAnsi="宋体"/>
          <w:sz w:val="24"/>
        </w:rPr>
        <w:t>具备送审条件。</w:t>
      </w:r>
    </w:p>
    <w:p>
      <w:pPr>
        <w:overflowPunct w:val="0"/>
        <w:autoSpaceDE w:val="0"/>
        <w:autoSpaceDN w:val="0"/>
        <w:adjustRightInd w:val="0"/>
        <w:snapToGrid w:val="0"/>
        <w:spacing w:line="480" w:lineRule="exact"/>
        <w:ind w:firstLine="480" w:firstLineChars="200"/>
        <w:rPr>
          <w:kern w:val="0"/>
          <w:sz w:val="24"/>
        </w:rPr>
      </w:pPr>
      <w:r>
        <w:rPr>
          <w:rFonts w:hAnsi="宋体"/>
          <w:kern w:val="0"/>
          <w:sz w:val="24"/>
        </w:rPr>
        <w:t>对于与移民安置相关的专业项目宜尽早安排规划设计与实施，以便为移民安置实施工作留有一定余地，减轻后期规划设计工作的压力。</w:t>
      </w:r>
    </w:p>
    <w:p>
      <w:pPr>
        <w:overflowPunct w:val="0"/>
        <w:autoSpaceDE w:val="0"/>
        <w:autoSpaceDN w:val="0"/>
        <w:adjustRightInd w:val="0"/>
        <w:snapToGrid w:val="0"/>
        <w:spacing w:line="480" w:lineRule="exact"/>
        <w:ind w:firstLine="480" w:firstLineChars="200"/>
        <w:rPr>
          <w:sz w:val="24"/>
        </w:rPr>
      </w:pPr>
      <w:r>
        <w:rPr>
          <w:rFonts w:hint="eastAsia" w:hAnsi="宋体"/>
          <w:sz w:val="24"/>
        </w:rPr>
        <w:t>陆河</w:t>
      </w:r>
      <w:r>
        <w:rPr>
          <w:rFonts w:hAnsi="宋体"/>
          <w:sz w:val="24"/>
        </w:rPr>
        <w:t>抽水蓄能电站建设征地移民安置规划设计阶段拟完成的主要成果如下：</w:t>
      </w:r>
    </w:p>
    <w:p>
      <w:pPr>
        <w:overflowPunct w:val="0"/>
        <w:autoSpaceDE w:val="0"/>
        <w:autoSpaceDN w:val="0"/>
        <w:adjustRightInd w:val="0"/>
        <w:snapToGrid w:val="0"/>
        <w:spacing w:line="480" w:lineRule="exact"/>
        <w:ind w:firstLine="480" w:firstLineChars="200"/>
        <w:rPr>
          <w:sz w:val="24"/>
        </w:rPr>
      </w:pPr>
      <w:r>
        <w:rPr>
          <w:sz w:val="24"/>
        </w:rPr>
        <w:t xml:space="preserve">1) </w:t>
      </w:r>
      <w:r>
        <w:rPr>
          <w:rFonts w:hAnsi="宋体"/>
          <w:sz w:val="24"/>
        </w:rPr>
        <w:t>《</w:t>
      </w:r>
      <w:r>
        <w:rPr>
          <w:rFonts w:hint="eastAsia" w:hAnsi="宋体"/>
          <w:sz w:val="24"/>
        </w:rPr>
        <w:t>广东陆河</w:t>
      </w:r>
      <w:r>
        <w:rPr>
          <w:rFonts w:hAnsi="宋体"/>
          <w:sz w:val="24"/>
        </w:rPr>
        <w:t>抽水蓄能电站建设征地移民安置规划报告》；</w:t>
      </w:r>
    </w:p>
    <w:p>
      <w:pPr>
        <w:overflowPunct w:val="0"/>
        <w:autoSpaceDE w:val="0"/>
        <w:autoSpaceDN w:val="0"/>
        <w:adjustRightInd w:val="0"/>
        <w:snapToGrid w:val="0"/>
        <w:spacing w:line="480" w:lineRule="exact"/>
        <w:ind w:firstLine="480" w:firstLineChars="200"/>
        <w:rPr>
          <w:sz w:val="24"/>
        </w:rPr>
      </w:pPr>
      <w:r>
        <w:rPr>
          <w:sz w:val="24"/>
        </w:rPr>
        <w:t xml:space="preserve">2) </w:t>
      </w:r>
      <w:r>
        <w:rPr>
          <w:rFonts w:hAnsi="宋体"/>
          <w:sz w:val="24"/>
        </w:rPr>
        <w:t>《</w:t>
      </w:r>
      <w:r>
        <w:rPr>
          <w:rFonts w:hint="eastAsia" w:hAnsi="宋体"/>
          <w:sz w:val="24"/>
        </w:rPr>
        <w:t>广东陆河</w:t>
      </w:r>
      <w:r>
        <w:rPr>
          <w:rFonts w:hAnsi="宋体"/>
          <w:sz w:val="24"/>
        </w:rPr>
        <w:t>抽水蓄能电站建设征地实物指标调查报告》；</w:t>
      </w:r>
    </w:p>
    <w:p>
      <w:pPr>
        <w:overflowPunct w:val="0"/>
        <w:autoSpaceDE w:val="0"/>
        <w:autoSpaceDN w:val="0"/>
        <w:adjustRightInd w:val="0"/>
        <w:snapToGrid w:val="0"/>
        <w:spacing w:line="480" w:lineRule="exact"/>
        <w:ind w:firstLine="480" w:firstLineChars="200"/>
        <w:rPr>
          <w:sz w:val="24"/>
        </w:rPr>
      </w:pPr>
      <w:r>
        <w:rPr>
          <w:sz w:val="24"/>
        </w:rPr>
        <w:t xml:space="preserve">3) </w:t>
      </w:r>
      <w:r>
        <w:rPr>
          <w:rFonts w:hAnsi="宋体"/>
          <w:sz w:val="24"/>
        </w:rPr>
        <w:t>《</w:t>
      </w:r>
      <w:r>
        <w:rPr>
          <w:rFonts w:hint="eastAsia" w:hAnsi="宋体"/>
          <w:sz w:val="24"/>
        </w:rPr>
        <w:t>广东陆河</w:t>
      </w:r>
      <w:r>
        <w:rPr>
          <w:rFonts w:hAnsi="宋体"/>
          <w:sz w:val="24"/>
        </w:rPr>
        <w:t>抽水蓄能电站临时用地复垦工程初步设计报告》；</w:t>
      </w:r>
    </w:p>
    <w:p>
      <w:pPr>
        <w:overflowPunct w:val="0"/>
        <w:autoSpaceDE w:val="0"/>
        <w:autoSpaceDN w:val="0"/>
        <w:adjustRightInd w:val="0"/>
        <w:snapToGrid w:val="0"/>
        <w:spacing w:line="480" w:lineRule="exact"/>
        <w:ind w:firstLine="480" w:firstLineChars="200"/>
        <w:rPr>
          <w:rFonts w:hAnsi="宋体"/>
          <w:sz w:val="24"/>
        </w:rPr>
      </w:pPr>
      <w:r>
        <w:rPr>
          <w:rFonts w:hint="eastAsia"/>
          <w:sz w:val="24"/>
        </w:rPr>
        <w:t>4</w:t>
      </w:r>
      <w:r>
        <w:rPr>
          <w:rFonts w:hint="eastAsia" w:hAnsi="宋体"/>
          <w:sz w:val="24"/>
        </w:rPr>
        <w:t>)</w:t>
      </w:r>
      <w:r>
        <w:rPr>
          <w:rFonts w:hAnsi="宋体"/>
          <w:sz w:val="24"/>
        </w:rPr>
        <w:t xml:space="preserve"> </w:t>
      </w:r>
      <w:r>
        <w:rPr>
          <w:rFonts w:hint="eastAsia" w:hAnsi="宋体"/>
          <w:sz w:val="24"/>
        </w:rPr>
        <w:t>《广东陆河</w:t>
      </w:r>
      <w:r>
        <w:rPr>
          <w:rFonts w:hAnsi="宋体"/>
          <w:sz w:val="24"/>
        </w:rPr>
        <w:t>抽水蓄能电站</w:t>
      </w:r>
      <w:r>
        <w:rPr>
          <w:rFonts w:hint="eastAsia" w:hAnsi="宋体"/>
          <w:sz w:val="24"/>
        </w:rPr>
        <w:t>移民安置交通工程初步设计报告》；</w:t>
      </w:r>
    </w:p>
    <w:p>
      <w:pPr>
        <w:overflowPunct w:val="0"/>
        <w:autoSpaceDE w:val="0"/>
        <w:autoSpaceDN w:val="0"/>
        <w:adjustRightInd w:val="0"/>
        <w:snapToGrid w:val="0"/>
        <w:spacing w:line="480" w:lineRule="exact"/>
        <w:ind w:firstLine="480" w:firstLineChars="200"/>
        <w:rPr>
          <w:rFonts w:hAnsi="宋体"/>
          <w:sz w:val="24"/>
        </w:rPr>
      </w:pPr>
      <w:r>
        <w:rPr>
          <w:rFonts w:hint="eastAsia" w:hAnsi="宋体"/>
          <w:sz w:val="24"/>
        </w:rPr>
        <w:t>5)</w:t>
      </w:r>
      <w:r>
        <w:rPr>
          <w:rFonts w:hAnsi="宋体"/>
          <w:sz w:val="24"/>
        </w:rPr>
        <w:t xml:space="preserve"> </w:t>
      </w:r>
      <w:r>
        <w:rPr>
          <w:rFonts w:hint="eastAsia" w:hAnsi="宋体"/>
          <w:sz w:val="24"/>
        </w:rPr>
        <w:t>《广东陆河</w:t>
      </w:r>
      <w:r>
        <w:rPr>
          <w:rFonts w:hAnsi="宋体"/>
          <w:sz w:val="24"/>
        </w:rPr>
        <w:t>抽水蓄能电站</w:t>
      </w:r>
      <w:r>
        <w:rPr>
          <w:rFonts w:hint="eastAsia" w:hAnsi="宋体"/>
          <w:sz w:val="24"/>
        </w:rPr>
        <w:t>移民安置水利工程初步设计报告》；</w:t>
      </w:r>
    </w:p>
    <w:p>
      <w:pPr>
        <w:overflowPunct w:val="0"/>
        <w:autoSpaceDE w:val="0"/>
        <w:autoSpaceDN w:val="0"/>
        <w:adjustRightInd w:val="0"/>
        <w:snapToGrid w:val="0"/>
        <w:spacing w:line="480" w:lineRule="exact"/>
        <w:ind w:firstLine="480" w:firstLineChars="200"/>
        <w:rPr>
          <w:rFonts w:hAnsi="宋体"/>
          <w:sz w:val="24"/>
        </w:rPr>
      </w:pPr>
      <w:r>
        <w:rPr>
          <w:rFonts w:hint="eastAsia" w:hAnsi="宋体"/>
          <w:sz w:val="24"/>
        </w:rPr>
        <w:t>6</w:t>
      </w:r>
      <w:r>
        <w:rPr>
          <w:rFonts w:hAnsi="宋体"/>
          <w:sz w:val="24"/>
        </w:rPr>
        <w:t xml:space="preserve">) </w:t>
      </w:r>
      <w:r>
        <w:rPr>
          <w:rFonts w:hint="eastAsia" w:hAnsi="宋体"/>
          <w:sz w:val="24"/>
        </w:rPr>
        <w:t>《广东陆河</w:t>
      </w:r>
      <w:r>
        <w:rPr>
          <w:rFonts w:hAnsi="宋体"/>
          <w:sz w:val="24"/>
        </w:rPr>
        <w:t>抽水蓄能电站</w:t>
      </w:r>
      <w:r>
        <w:rPr>
          <w:rFonts w:hint="eastAsia" w:hAnsi="宋体"/>
          <w:sz w:val="24"/>
        </w:rPr>
        <w:t>移民安置电力工程初步设计报告》；</w:t>
      </w:r>
    </w:p>
    <w:p>
      <w:pPr>
        <w:overflowPunct w:val="0"/>
        <w:autoSpaceDE w:val="0"/>
        <w:autoSpaceDN w:val="0"/>
        <w:adjustRightInd w:val="0"/>
        <w:snapToGrid w:val="0"/>
        <w:spacing w:line="480" w:lineRule="exact"/>
        <w:ind w:firstLine="480" w:firstLineChars="200"/>
        <w:rPr>
          <w:sz w:val="24"/>
        </w:rPr>
      </w:pPr>
      <w:r>
        <w:rPr>
          <w:rFonts w:hAnsi="Times New Roman"/>
          <w:sz w:val="24"/>
        </w:rPr>
        <w:t xml:space="preserve">7) </w:t>
      </w:r>
      <w:r>
        <w:rPr>
          <w:rFonts w:hint="eastAsia" w:hAnsi="Times New Roman"/>
          <w:sz w:val="24"/>
        </w:rPr>
        <w:t>《广东陆河</w:t>
      </w:r>
      <w:r>
        <w:rPr>
          <w:rFonts w:hAnsi="Times New Roman"/>
          <w:sz w:val="24"/>
        </w:rPr>
        <w:t>抽水蓄能电站</w:t>
      </w:r>
      <w:r>
        <w:rPr>
          <w:rFonts w:hint="eastAsia" w:hAnsi="Times New Roman"/>
          <w:sz w:val="24"/>
        </w:rPr>
        <w:t>移民安置通信工程初步设计报告》。</w:t>
      </w:r>
    </w:p>
    <w:p>
      <w:pPr>
        <w:rPr>
          <w:rFonts w:ascii="Tahoma" w:hAnsi="Tahoma" w:cs="Tahoma"/>
          <w:sz w:val="24"/>
          <w:szCs w:val="24"/>
        </w:rPr>
      </w:pPr>
    </w:p>
    <w:p>
      <w:pPr>
        <w:pStyle w:val="3"/>
      </w:pPr>
      <w:r>
        <w:br w:type="page"/>
      </w:r>
      <w:bookmarkStart w:id="520" w:name="_Toc86265125"/>
      <w:bookmarkStart w:id="521" w:name="_Toc85487812"/>
      <w:bookmarkStart w:id="522" w:name="_Toc30548"/>
      <w:bookmarkStart w:id="523" w:name="_Toc14753"/>
      <w:bookmarkStart w:id="524" w:name="_Toc85660348"/>
      <w:bookmarkStart w:id="525" w:name="_Toc90934915"/>
      <w:r>
        <w:t>附文：</w:t>
      </w:r>
      <w:bookmarkEnd w:id="520"/>
      <w:bookmarkEnd w:id="521"/>
      <w:bookmarkEnd w:id="522"/>
      <w:bookmarkEnd w:id="523"/>
      <w:bookmarkEnd w:id="524"/>
      <w:bookmarkEnd w:id="525"/>
    </w:p>
    <w:p>
      <w:pPr>
        <w:pStyle w:val="4"/>
      </w:pPr>
      <w:bookmarkStart w:id="526" w:name="_Toc90934916"/>
      <w:bookmarkStart w:id="527" w:name="_Toc85660349"/>
      <w:bookmarkStart w:id="528" w:name="_Toc11049"/>
      <w:bookmarkStart w:id="529" w:name="_Toc86265126"/>
      <w:bookmarkStart w:id="530" w:name="_Toc85487813"/>
      <w:bookmarkStart w:id="531" w:name="_Toc23072"/>
      <w:r>
        <w:t xml:space="preserve">1 </w:t>
      </w:r>
      <w:r>
        <w:rPr>
          <w:rFonts w:hint="eastAsia"/>
        </w:rPr>
        <w:t xml:space="preserve"> 关于印送《广东省陆河</w:t>
      </w:r>
      <w:r>
        <w:t>抽水蓄能电站可行性研究</w:t>
      </w:r>
      <w:r>
        <w:rPr>
          <w:rFonts w:hint="eastAsia"/>
        </w:rPr>
        <w:t>阶段</w:t>
      </w:r>
      <w:r>
        <w:t>正常蓄水位选择专题报告审查意见</w:t>
      </w:r>
      <w:r>
        <w:rPr>
          <w:rFonts w:hint="eastAsia"/>
        </w:rPr>
        <w:t>》的函</w:t>
      </w:r>
      <w:bookmarkEnd w:id="526"/>
      <w:r>
        <w:t xml:space="preserve"> </w:t>
      </w:r>
      <w:r>
        <w:rPr>
          <w:rFonts w:hint="eastAsia"/>
        </w:rPr>
        <w:t xml:space="preserve"> </w:t>
      </w:r>
    </w:p>
    <w:p>
      <w:pPr>
        <w:jc w:val="center"/>
      </w:pPr>
      <w:r>
        <w:drawing>
          <wp:inline distT="0" distB="0" distL="0" distR="0">
            <wp:extent cx="5553075" cy="6829425"/>
            <wp:effectExtent l="0" t="0" r="0" b="0"/>
            <wp:docPr id="911"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27" descr="1"/>
                    <pic:cNvPicPr>
                      <a:picLocks noChangeAspect="1" noChangeArrowheads="1"/>
                    </pic:cNvPicPr>
                  </pic:nvPicPr>
                  <pic:blipFill>
                    <a:blip r:embed="rId48">
                      <a:extLst>
                        <a:ext uri="{28A0092B-C50C-407E-A947-70E740481C1C}">
                          <a14:useLocalDpi xmlns:a14="http://schemas.microsoft.com/office/drawing/2010/main" val="0"/>
                        </a:ext>
                      </a:extLst>
                    </a:blip>
                    <a:srcRect l="6865" t="16371" r="10298" b="6511"/>
                    <a:stretch>
                      <a:fillRect/>
                    </a:stretch>
                  </pic:blipFill>
                  <pic:spPr>
                    <a:xfrm>
                      <a:off x="0" y="0"/>
                      <a:ext cx="5553075" cy="6829425"/>
                    </a:xfrm>
                    <a:prstGeom prst="rect">
                      <a:avLst/>
                    </a:prstGeom>
                    <a:noFill/>
                    <a:ln>
                      <a:noFill/>
                    </a:ln>
                    <a:effectLst/>
                  </pic:spPr>
                </pic:pic>
              </a:graphicData>
            </a:graphic>
          </wp:inline>
        </w:drawing>
      </w:r>
      <w:r>
        <w:drawing>
          <wp:inline distT="0" distB="0" distL="0" distR="0">
            <wp:extent cx="5572125" cy="7962900"/>
            <wp:effectExtent l="0" t="0" r="0" b="0"/>
            <wp:docPr id="912"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28" descr="2"/>
                    <pic:cNvPicPr>
                      <a:picLocks noChangeAspect="1" noChangeArrowheads="1"/>
                    </pic:cNvPicPr>
                  </pic:nvPicPr>
                  <pic:blipFill>
                    <a:blip r:embed="rId49">
                      <a:extLst>
                        <a:ext uri="{28A0092B-C50C-407E-A947-70E740481C1C}">
                          <a14:useLocalDpi xmlns:a14="http://schemas.microsoft.com/office/drawing/2010/main" val="0"/>
                        </a:ext>
                      </a:extLst>
                    </a:blip>
                    <a:srcRect l="9328" t="9564" r="8347" b="6960"/>
                    <a:stretch>
                      <a:fillRect/>
                    </a:stretch>
                  </pic:blipFill>
                  <pic:spPr>
                    <a:xfrm>
                      <a:off x="0" y="0"/>
                      <a:ext cx="5572125" cy="7962900"/>
                    </a:xfrm>
                    <a:prstGeom prst="rect">
                      <a:avLst/>
                    </a:prstGeom>
                    <a:noFill/>
                    <a:ln>
                      <a:noFill/>
                    </a:ln>
                  </pic:spPr>
                </pic:pic>
              </a:graphicData>
            </a:graphic>
          </wp:inline>
        </w:drawing>
      </w:r>
      <w:r>
        <w:drawing>
          <wp:inline distT="0" distB="0" distL="0" distR="0">
            <wp:extent cx="5505450" cy="8134350"/>
            <wp:effectExtent l="0" t="0" r="0" b="0"/>
            <wp:docPr id="913"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29" descr="3"/>
                    <pic:cNvPicPr>
                      <a:picLocks noChangeAspect="1" noChangeArrowheads="1"/>
                    </pic:cNvPicPr>
                  </pic:nvPicPr>
                  <pic:blipFill>
                    <a:blip r:embed="rId50">
                      <a:extLst>
                        <a:ext uri="{28A0092B-C50C-407E-A947-70E740481C1C}">
                          <a14:useLocalDpi xmlns:a14="http://schemas.microsoft.com/office/drawing/2010/main" val="0"/>
                        </a:ext>
                      </a:extLst>
                    </a:blip>
                    <a:srcRect l="10788" t="10260" r="9567" b="6264"/>
                    <a:stretch>
                      <a:fillRect/>
                    </a:stretch>
                  </pic:blipFill>
                  <pic:spPr>
                    <a:xfrm>
                      <a:off x="0" y="0"/>
                      <a:ext cx="5505450" cy="8134350"/>
                    </a:xfrm>
                    <a:prstGeom prst="rect">
                      <a:avLst/>
                    </a:prstGeom>
                    <a:noFill/>
                    <a:ln>
                      <a:noFill/>
                    </a:ln>
                    <a:effectLst/>
                  </pic:spPr>
                </pic:pic>
              </a:graphicData>
            </a:graphic>
          </wp:inline>
        </w:drawing>
      </w:r>
      <w:r>
        <w:drawing>
          <wp:inline distT="0" distB="0" distL="0" distR="0">
            <wp:extent cx="5410200" cy="8515350"/>
            <wp:effectExtent l="0" t="0" r="0" b="0"/>
            <wp:docPr id="914"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30" descr="4"/>
                    <pic:cNvPicPr>
                      <a:picLocks noChangeAspect="1" noChangeArrowheads="1"/>
                    </pic:cNvPicPr>
                  </pic:nvPicPr>
                  <pic:blipFill>
                    <a:blip r:embed="rId51">
                      <a:extLst>
                        <a:ext uri="{28A0092B-C50C-407E-A947-70E740481C1C}">
                          <a14:useLocalDpi xmlns:a14="http://schemas.microsoft.com/office/drawing/2010/main" val="0"/>
                        </a:ext>
                      </a:extLst>
                    </a:blip>
                    <a:srcRect l="9807" t="6960" r="11530" b="5219"/>
                    <a:stretch>
                      <a:fillRect/>
                    </a:stretch>
                  </pic:blipFill>
                  <pic:spPr>
                    <a:xfrm>
                      <a:off x="0" y="0"/>
                      <a:ext cx="5410200" cy="8515350"/>
                    </a:xfrm>
                    <a:prstGeom prst="rect">
                      <a:avLst/>
                    </a:prstGeom>
                    <a:noFill/>
                    <a:ln>
                      <a:noFill/>
                    </a:ln>
                    <a:effectLst/>
                  </pic:spPr>
                </pic:pic>
              </a:graphicData>
            </a:graphic>
          </wp:inline>
        </w:drawing>
      </w:r>
      <w:r>
        <w:drawing>
          <wp:inline distT="0" distB="0" distL="0" distR="0">
            <wp:extent cx="5324475" cy="8515350"/>
            <wp:effectExtent l="0" t="0" r="0" b="0"/>
            <wp:docPr id="915"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31" descr="5"/>
                    <pic:cNvPicPr>
                      <a:picLocks noChangeAspect="1" noChangeArrowheads="1"/>
                    </pic:cNvPicPr>
                  </pic:nvPicPr>
                  <pic:blipFill>
                    <a:blip r:embed="rId52">
                      <a:extLst>
                        <a:ext uri="{28A0092B-C50C-407E-A947-70E740481C1C}">
                          <a14:useLocalDpi xmlns:a14="http://schemas.microsoft.com/office/drawing/2010/main" val="0"/>
                        </a:ext>
                      </a:extLst>
                    </a:blip>
                    <a:srcRect l="11290" t="8173" r="12270" b="5049"/>
                    <a:stretch>
                      <a:fillRect/>
                    </a:stretch>
                  </pic:blipFill>
                  <pic:spPr>
                    <a:xfrm>
                      <a:off x="0" y="0"/>
                      <a:ext cx="5324475" cy="8515350"/>
                    </a:xfrm>
                    <a:prstGeom prst="rect">
                      <a:avLst/>
                    </a:prstGeom>
                    <a:noFill/>
                    <a:ln>
                      <a:noFill/>
                    </a:ln>
                  </pic:spPr>
                </pic:pic>
              </a:graphicData>
            </a:graphic>
          </wp:inline>
        </w:drawing>
      </w:r>
      <w:r>
        <w:drawing>
          <wp:inline distT="0" distB="0" distL="0" distR="0">
            <wp:extent cx="5057775" cy="8201025"/>
            <wp:effectExtent l="0" t="0" r="0" b="0"/>
            <wp:docPr id="916" name="图片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32" descr="6"/>
                    <pic:cNvPicPr>
                      <a:picLocks noChangeAspect="1" noChangeArrowheads="1"/>
                    </pic:cNvPicPr>
                  </pic:nvPicPr>
                  <pic:blipFill>
                    <a:blip r:embed="rId53">
                      <a:extLst>
                        <a:ext uri="{28A0092B-C50C-407E-A947-70E740481C1C}">
                          <a14:useLocalDpi xmlns:a14="http://schemas.microsoft.com/office/drawing/2010/main" val="0"/>
                        </a:ext>
                      </a:extLst>
                    </a:blip>
                    <a:srcRect l="11267" t="7298" r="12500" b="5049"/>
                    <a:stretch>
                      <a:fillRect/>
                    </a:stretch>
                  </pic:blipFill>
                  <pic:spPr>
                    <a:xfrm>
                      <a:off x="0" y="0"/>
                      <a:ext cx="5057775" cy="8201025"/>
                    </a:xfrm>
                    <a:prstGeom prst="rect">
                      <a:avLst/>
                    </a:prstGeom>
                    <a:noFill/>
                    <a:ln>
                      <a:noFill/>
                    </a:ln>
                  </pic:spPr>
                </pic:pic>
              </a:graphicData>
            </a:graphic>
          </wp:inline>
        </w:drawing>
      </w:r>
      <w:r>
        <w:drawing>
          <wp:inline distT="0" distB="0" distL="0" distR="0">
            <wp:extent cx="5314950" cy="8439150"/>
            <wp:effectExtent l="0" t="0" r="0" b="0"/>
            <wp:docPr id="917" name="图片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33" descr="7"/>
                    <pic:cNvPicPr>
                      <a:picLocks noChangeAspect="1" noChangeArrowheads="1"/>
                    </pic:cNvPicPr>
                  </pic:nvPicPr>
                  <pic:blipFill>
                    <a:blip r:embed="rId54">
                      <a:extLst>
                        <a:ext uri="{28A0092B-C50C-407E-A947-70E740481C1C}">
                          <a14:useLocalDpi xmlns:a14="http://schemas.microsoft.com/office/drawing/2010/main" val="0"/>
                        </a:ext>
                      </a:extLst>
                    </a:blip>
                    <a:srcRect l="10036" t="7137" r="12250" b="5397"/>
                    <a:stretch>
                      <a:fillRect/>
                    </a:stretch>
                  </pic:blipFill>
                  <pic:spPr>
                    <a:xfrm>
                      <a:off x="0" y="0"/>
                      <a:ext cx="5314950" cy="8439150"/>
                    </a:xfrm>
                    <a:prstGeom prst="rect">
                      <a:avLst/>
                    </a:prstGeom>
                    <a:noFill/>
                    <a:ln>
                      <a:noFill/>
                    </a:ln>
                  </pic:spPr>
                </pic:pic>
              </a:graphicData>
            </a:graphic>
          </wp:inline>
        </w:drawing>
      </w:r>
      <w:r>
        <w:drawing>
          <wp:inline distT="0" distB="0" distL="0" distR="0">
            <wp:extent cx="5248275" cy="8324850"/>
            <wp:effectExtent l="0" t="0" r="0" b="0"/>
            <wp:docPr id="918" name="图片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34" descr="8"/>
                    <pic:cNvPicPr>
                      <a:picLocks noChangeAspect="1" noChangeArrowheads="1"/>
                    </pic:cNvPicPr>
                  </pic:nvPicPr>
                  <pic:blipFill>
                    <a:blip r:embed="rId55">
                      <a:extLst>
                        <a:ext uri="{28A0092B-C50C-407E-A947-70E740481C1C}">
                          <a14:useLocalDpi xmlns:a14="http://schemas.microsoft.com/office/drawing/2010/main" val="0"/>
                        </a:ext>
                      </a:extLst>
                    </a:blip>
                    <a:srcRect l="10538" t="6602" r="12019" b="6256"/>
                    <a:stretch>
                      <a:fillRect/>
                    </a:stretch>
                  </pic:blipFill>
                  <pic:spPr>
                    <a:xfrm>
                      <a:off x="0" y="0"/>
                      <a:ext cx="5248275" cy="8324850"/>
                    </a:xfrm>
                    <a:prstGeom prst="rect">
                      <a:avLst/>
                    </a:prstGeom>
                    <a:noFill/>
                    <a:ln>
                      <a:noFill/>
                    </a:ln>
                  </pic:spPr>
                </pic:pic>
              </a:graphicData>
            </a:graphic>
          </wp:inline>
        </w:drawing>
      </w:r>
      <w:r>
        <w:drawing>
          <wp:inline distT="0" distB="0" distL="0" distR="0">
            <wp:extent cx="5295900" cy="8391525"/>
            <wp:effectExtent l="0" t="0" r="0" b="0"/>
            <wp:docPr id="919" name="图片 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35" descr="9"/>
                    <pic:cNvPicPr>
                      <a:picLocks noChangeAspect="1" noChangeArrowheads="1"/>
                    </pic:cNvPicPr>
                  </pic:nvPicPr>
                  <pic:blipFill>
                    <a:blip r:embed="rId56">
                      <a:extLst>
                        <a:ext uri="{28A0092B-C50C-407E-A947-70E740481C1C}">
                          <a14:useLocalDpi xmlns:a14="http://schemas.microsoft.com/office/drawing/2010/main" val="0"/>
                        </a:ext>
                      </a:extLst>
                    </a:blip>
                    <a:srcRect l="10538" t="7137" r="12019" b="5737"/>
                    <a:stretch>
                      <a:fillRect/>
                    </a:stretch>
                  </pic:blipFill>
                  <pic:spPr>
                    <a:xfrm>
                      <a:off x="0" y="0"/>
                      <a:ext cx="5295900" cy="8391525"/>
                    </a:xfrm>
                    <a:prstGeom prst="rect">
                      <a:avLst/>
                    </a:prstGeom>
                    <a:noFill/>
                    <a:ln>
                      <a:noFill/>
                    </a:ln>
                  </pic:spPr>
                </pic:pic>
              </a:graphicData>
            </a:graphic>
          </wp:inline>
        </w:drawing>
      </w:r>
      <w:r>
        <w:drawing>
          <wp:inline distT="0" distB="0" distL="0" distR="0">
            <wp:extent cx="5086350" cy="8296275"/>
            <wp:effectExtent l="0" t="0" r="0" b="0"/>
            <wp:docPr id="920" name="图片 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36" descr="10"/>
                    <pic:cNvPicPr>
                      <a:picLocks noChangeAspect="1" noChangeArrowheads="1"/>
                    </pic:cNvPicPr>
                  </pic:nvPicPr>
                  <pic:blipFill>
                    <a:blip r:embed="rId57">
                      <a:extLst>
                        <a:ext uri="{28A0092B-C50C-407E-A947-70E740481C1C}">
                          <a14:useLocalDpi xmlns:a14="http://schemas.microsoft.com/office/drawing/2010/main" val="0"/>
                        </a:ext>
                      </a:extLst>
                    </a:blip>
                    <a:srcRect l="11517" t="7315" r="12511" b="4871"/>
                    <a:stretch>
                      <a:fillRect/>
                    </a:stretch>
                  </pic:blipFill>
                  <pic:spPr>
                    <a:xfrm>
                      <a:off x="0" y="0"/>
                      <a:ext cx="5086350" cy="8296275"/>
                    </a:xfrm>
                    <a:prstGeom prst="rect">
                      <a:avLst/>
                    </a:prstGeom>
                    <a:noFill/>
                    <a:ln>
                      <a:noFill/>
                    </a:ln>
                  </pic:spPr>
                </pic:pic>
              </a:graphicData>
            </a:graphic>
          </wp:inline>
        </w:drawing>
      </w:r>
      <w:r>
        <w:drawing>
          <wp:inline distT="0" distB="0" distL="0" distR="0">
            <wp:extent cx="5162550" cy="8505825"/>
            <wp:effectExtent l="0" t="0" r="0" b="0"/>
            <wp:docPr id="921" name="图片 3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37" descr="11"/>
                    <pic:cNvPicPr>
                      <a:picLocks noChangeAspect="1" noChangeArrowheads="1"/>
                    </pic:cNvPicPr>
                  </pic:nvPicPr>
                  <pic:blipFill>
                    <a:blip r:embed="rId58">
                      <a:extLst>
                        <a:ext uri="{28A0092B-C50C-407E-A947-70E740481C1C}">
                          <a14:useLocalDpi xmlns:a14="http://schemas.microsoft.com/office/drawing/2010/main" val="0"/>
                        </a:ext>
                      </a:extLst>
                    </a:blip>
                    <a:srcRect l="11996" t="7315" r="12979" b="5032"/>
                    <a:stretch>
                      <a:fillRect/>
                    </a:stretch>
                  </pic:blipFill>
                  <pic:spPr>
                    <a:xfrm>
                      <a:off x="0" y="0"/>
                      <a:ext cx="5162550" cy="8505825"/>
                    </a:xfrm>
                    <a:prstGeom prst="rect">
                      <a:avLst/>
                    </a:prstGeom>
                    <a:noFill/>
                    <a:ln>
                      <a:noFill/>
                    </a:ln>
                  </pic:spPr>
                </pic:pic>
              </a:graphicData>
            </a:graphic>
          </wp:inline>
        </w:drawing>
      </w:r>
      <w:r>
        <w:drawing>
          <wp:inline distT="0" distB="0" distL="0" distR="0">
            <wp:extent cx="5305425" cy="8467725"/>
            <wp:effectExtent l="0" t="0" r="0" b="0"/>
            <wp:docPr id="922" name="图片 3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38" descr="12"/>
                    <pic:cNvPicPr>
                      <a:picLocks noChangeAspect="1" noChangeArrowheads="1"/>
                    </pic:cNvPicPr>
                  </pic:nvPicPr>
                  <pic:blipFill>
                    <a:blip r:embed="rId59">
                      <a:extLst>
                        <a:ext uri="{28A0092B-C50C-407E-A947-70E740481C1C}">
                          <a14:useLocalDpi xmlns:a14="http://schemas.microsoft.com/office/drawing/2010/main" val="0"/>
                        </a:ext>
                      </a:extLst>
                    </a:blip>
                    <a:srcRect l="11038" t="7477" r="11528" b="4871"/>
                    <a:stretch>
                      <a:fillRect/>
                    </a:stretch>
                  </pic:blipFill>
                  <pic:spPr>
                    <a:xfrm>
                      <a:off x="0" y="0"/>
                      <a:ext cx="5305425" cy="8467725"/>
                    </a:xfrm>
                    <a:prstGeom prst="rect">
                      <a:avLst/>
                    </a:prstGeom>
                    <a:noFill/>
                    <a:ln>
                      <a:noFill/>
                    </a:ln>
                  </pic:spPr>
                </pic:pic>
              </a:graphicData>
            </a:graphic>
          </wp:inline>
        </w:drawing>
      </w:r>
      <w:r>
        <w:drawing>
          <wp:inline distT="0" distB="0" distL="0" distR="0">
            <wp:extent cx="5553075" cy="8172450"/>
            <wp:effectExtent l="0" t="0" r="0" b="0"/>
            <wp:docPr id="923" name="图片 3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39" descr="13"/>
                    <pic:cNvPicPr>
                      <a:picLocks noChangeAspect="1" noChangeArrowheads="1"/>
                    </pic:cNvPicPr>
                  </pic:nvPicPr>
                  <pic:blipFill>
                    <a:blip r:embed="rId60">
                      <a:extLst>
                        <a:ext uri="{28A0092B-C50C-407E-A947-70E740481C1C}">
                          <a14:useLocalDpi xmlns:a14="http://schemas.microsoft.com/office/drawing/2010/main" val="0"/>
                        </a:ext>
                      </a:extLst>
                    </a:blip>
                    <a:srcRect l="11290" t="7655" r="13478" b="13731"/>
                    <a:stretch>
                      <a:fillRect/>
                    </a:stretch>
                  </pic:blipFill>
                  <pic:spPr>
                    <a:xfrm>
                      <a:off x="0" y="0"/>
                      <a:ext cx="5553075" cy="8172450"/>
                    </a:xfrm>
                    <a:prstGeom prst="rect">
                      <a:avLst/>
                    </a:prstGeom>
                    <a:noFill/>
                    <a:ln>
                      <a:noFill/>
                    </a:ln>
                  </pic:spPr>
                </pic:pic>
              </a:graphicData>
            </a:graphic>
          </wp:inline>
        </w:drawing>
      </w:r>
    </w:p>
    <w:p>
      <w:pPr>
        <w:rPr>
          <w:rFonts w:ascii="Calibri" w:hAnsi="Calibri" w:eastAsia="黑体"/>
          <w:bCs/>
          <w:snapToGrid w:val="0"/>
          <w:kern w:val="0"/>
          <w:sz w:val="28"/>
          <w:szCs w:val="28"/>
        </w:rPr>
      </w:pPr>
    </w:p>
    <w:p>
      <w:pPr>
        <w:rPr>
          <w:rFonts w:ascii="Calibri" w:hAnsi="Calibri" w:eastAsia="黑体"/>
          <w:bCs/>
          <w:snapToGrid w:val="0"/>
          <w:kern w:val="0"/>
          <w:sz w:val="28"/>
          <w:szCs w:val="28"/>
        </w:rPr>
      </w:pPr>
    </w:p>
    <w:p>
      <w:pPr>
        <w:pStyle w:val="4"/>
      </w:pPr>
      <w:r>
        <w:br w:type="page"/>
      </w:r>
      <w:bookmarkStart w:id="532" w:name="_Toc90934917"/>
      <w:r>
        <w:rPr>
          <w:rFonts w:hint="eastAsia"/>
        </w:rPr>
        <w:t>2  关于印发《广东陆河</w:t>
      </w:r>
      <w:r>
        <w:t>抽水蓄能电站可行性研究</w:t>
      </w:r>
      <w:r>
        <w:rPr>
          <w:rFonts w:hint="eastAsia"/>
        </w:rPr>
        <w:t>阶段施工总布置</w:t>
      </w:r>
      <w:r>
        <w:t>规划专题报告</w:t>
      </w:r>
      <w:r>
        <w:rPr>
          <w:rFonts w:hint="eastAsia"/>
        </w:rPr>
        <w:t>审查</w:t>
      </w:r>
      <w:r>
        <w:t>意见</w:t>
      </w:r>
      <w:r>
        <w:rPr>
          <w:rFonts w:hint="eastAsia"/>
        </w:rPr>
        <w:t>》的函</w:t>
      </w:r>
      <w:bookmarkEnd w:id="532"/>
    </w:p>
    <w:p>
      <w:pPr>
        <w:jc w:val="center"/>
      </w:pPr>
      <w:r>
        <w:rPr>
          <w:rFonts w:hint="eastAsia"/>
        </w:rPr>
        <w:drawing>
          <wp:inline distT="0" distB="0" distL="0" distR="0">
            <wp:extent cx="5429250" cy="7210425"/>
            <wp:effectExtent l="0" t="0" r="0" b="0"/>
            <wp:docPr id="92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59"/>
                    <pic:cNvPicPr>
                      <a:picLocks noChangeAspect="1" noChangeArrowheads="1"/>
                    </pic:cNvPicPr>
                  </pic:nvPicPr>
                  <pic:blipFill>
                    <a:blip r:embed="rId61">
                      <a:extLst>
                        <a:ext uri="{28A0092B-C50C-407E-A947-70E740481C1C}">
                          <a14:useLocalDpi xmlns:a14="http://schemas.microsoft.com/office/drawing/2010/main" val="0"/>
                        </a:ext>
                      </a:extLst>
                    </a:blip>
                    <a:srcRect l="6279" t="16383" r="8157" b="3445"/>
                    <a:stretch>
                      <a:fillRect/>
                    </a:stretch>
                  </pic:blipFill>
                  <pic:spPr>
                    <a:xfrm>
                      <a:off x="0" y="0"/>
                      <a:ext cx="5429250" cy="7210425"/>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rPr>
          <w:rFonts w:ascii="Calibri" w:hAnsi="Calibri" w:eastAsia="黑体"/>
          <w:bCs/>
          <w:kern w:val="0"/>
          <w:sz w:val="28"/>
          <w:szCs w:val="28"/>
        </w:rPr>
      </w:pPr>
      <w:r>
        <w:rPr>
          <w:rFonts w:ascii="Calibri" w:hAnsi="Calibri" w:eastAsia="黑体"/>
          <w:bCs/>
          <w:kern w:val="0"/>
          <w:sz w:val="28"/>
          <w:szCs w:val="28"/>
        </w:rPr>
        <w:drawing>
          <wp:inline distT="0" distB="0" distL="0" distR="0">
            <wp:extent cx="5600700" cy="7867650"/>
            <wp:effectExtent l="0" t="0" r="0" b="0"/>
            <wp:docPr id="925" name="图片 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60" descr="2"/>
                    <pic:cNvPicPr>
                      <a:picLocks noChangeAspect="1" noChangeArrowheads="1"/>
                    </pic:cNvPicPr>
                  </pic:nvPicPr>
                  <pic:blipFill>
                    <a:blip r:embed="rId62">
                      <a:extLst>
                        <a:ext uri="{28A0092B-C50C-407E-A947-70E740481C1C}">
                          <a14:useLocalDpi xmlns:a14="http://schemas.microsoft.com/office/drawing/2010/main" val="0"/>
                        </a:ext>
                      </a:extLst>
                    </a:blip>
                    <a:srcRect l="7907" t="10403" r="8763" b="6927"/>
                    <a:stretch>
                      <a:fillRect/>
                    </a:stretch>
                  </pic:blipFill>
                  <pic:spPr>
                    <a:xfrm>
                      <a:off x="0" y="0"/>
                      <a:ext cx="5600700" cy="7867650"/>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219700" cy="8467725"/>
            <wp:effectExtent l="0" t="0" r="0" b="0"/>
            <wp:docPr id="926" name="图片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61" descr="3"/>
                    <pic:cNvPicPr>
                      <a:picLocks noChangeAspect="1" noChangeArrowheads="1"/>
                    </pic:cNvPicPr>
                  </pic:nvPicPr>
                  <pic:blipFill>
                    <a:blip r:embed="rId63">
                      <a:extLst>
                        <a:ext uri="{28A0092B-C50C-407E-A947-70E740481C1C}">
                          <a14:useLocalDpi xmlns:a14="http://schemas.microsoft.com/office/drawing/2010/main" val="0"/>
                        </a:ext>
                      </a:extLst>
                    </a:blip>
                    <a:srcRect l="9827" t="6033" r="12180" b="4686"/>
                    <a:stretch>
                      <a:fillRect/>
                    </a:stretch>
                  </pic:blipFill>
                  <pic:spPr>
                    <a:xfrm>
                      <a:off x="0" y="0"/>
                      <a:ext cx="5219700" cy="8467725"/>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295900" cy="8458200"/>
            <wp:effectExtent l="0" t="0" r="0" b="0"/>
            <wp:docPr id="927" name="图片 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62" descr="4"/>
                    <pic:cNvPicPr>
                      <a:picLocks noChangeAspect="1" noChangeArrowheads="1"/>
                    </pic:cNvPicPr>
                  </pic:nvPicPr>
                  <pic:blipFill>
                    <a:blip r:embed="rId64">
                      <a:extLst>
                        <a:ext uri="{28A0092B-C50C-407E-A947-70E740481C1C}">
                          <a14:useLocalDpi xmlns:a14="http://schemas.microsoft.com/office/drawing/2010/main" val="0"/>
                        </a:ext>
                      </a:extLst>
                    </a:blip>
                    <a:srcRect l="10901" t="7097" r="10901" b="4839"/>
                    <a:stretch>
                      <a:fillRect/>
                    </a:stretch>
                  </pic:blipFill>
                  <pic:spPr>
                    <a:xfrm>
                      <a:off x="0" y="0"/>
                      <a:ext cx="5295900" cy="8458200"/>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257800" cy="8458200"/>
            <wp:effectExtent l="0" t="0" r="0" b="0"/>
            <wp:docPr id="928" name="图片 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63" descr="5"/>
                    <pic:cNvPicPr>
                      <a:picLocks noChangeAspect="1" noChangeArrowheads="1"/>
                    </pic:cNvPicPr>
                  </pic:nvPicPr>
                  <pic:blipFill>
                    <a:blip r:embed="rId65">
                      <a:extLst>
                        <a:ext uri="{28A0092B-C50C-407E-A947-70E740481C1C}">
                          <a14:useLocalDpi xmlns:a14="http://schemas.microsoft.com/office/drawing/2010/main" val="0"/>
                        </a:ext>
                      </a:extLst>
                    </a:blip>
                    <a:srcRect l="11105" t="7840" r="12180" b="5130"/>
                    <a:stretch>
                      <a:fillRect/>
                    </a:stretch>
                  </pic:blipFill>
                  <pic:spPr>
                    <a:xfrm>
                      <a:off x="0" y="0"/>
                      <a:ext cx="5257800" cy="8458200"/>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200650" cy="8467725"/>
            <wp:effectExtent l="0" t="0" r="0" b="0"/>
            <wp:docPr id="929" name="图片 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64" descr="6"/>
                    <pic:cNvPicPr>
                      <a:picLocks noChangeAspect="1" noChangeArrowheads="1"/>
                    </pic:cNvPicPr>
                  </pic:nvPicPr>
                  <pic:blipFill>
                    <a:blip r:embed="rId66">
                      <a:extLst>
                        <a:ext uri="{28A0092B-C50C-407E-A947-70E740481C1C}">
                          <a14:useLocalDpi xmlns:a14="http://schemas.microsoft.com/office/drawing/2010/main" val="0"/>
                        </a:ext>
                      </a:extLst>
                    </a:blip>
                    <a:srcRect l="10672" t="6485" r="12822" b="5573"/>
                    <a:stretch>
                      <a:fillRect/>
                    </a:stretch>
                  </pic:blipFill>
                  <pic:spPr>
                    <a:xfrm>
                      <a:off x="0" y="0"/>
                      <a:ext cx="5200650" cy="8467725"/>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200650" cy="8543925"/>
            <wp:effectExtent l="0" t="0" r="0" b="0"/>
            <wp:docPr id="930" name="图片 6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65" descr="7"/>
                    <pic:cNvPicPr>
                      <a:picLocks noChangeAspect="1" noChangeArrowheads="1"/>
                    </pic:cNvPicPr>
                  </pic:nvPicPr>
                  <pic:blipFill>
                    <a:blip r:embed="rId67">
                      <a:extLst>
                        <a:ext uri="{28A0092B-C50C-407E-A947-70E740481C1C}">
                          <a14:useLocalDpi xmlns:a14="http://schemas.microsoft.com/office/drawing/2010/main" val="0"/>
                        </a:ext>
                      </a:extLst>
                    </a:blip>
                    <a:srcRect l="11540" t="7082" r="12169" b="4372"/>
                    <a:stretch>
                      <a:fillRect/>
                    </a:stretch>
                  </pic:blipFill>
                  <pic:spPr>
                    <a:xfrm>
                      <a:off x="0" y="0"/>
                      <a:ext cx="5200650" cy="8543925"/>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200650" cy="8448675"/>
            <wp:effectExtent l="0" t="0" r="0" b="0"/>
            <wp:docPr id="931" name="图片 6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66" descr="8"/>
                    <pic:cNvPicPr>
                      <a:picLocks noChangeAspect="1" noChangeArrowheads="1"/>
                    </pic:cNvPicPr>
                  </pic:nvPicPr>
                  <pic:blipFill>
                    <a:blip r:embed="rId68">
                      <a:extLst>
                        <a:ext uri="{28A0092B-C50C-407E-A947-70E740481C1C}">
                          <a14:useLocalDpi xmlns:a14="http://schemas.microsoft.com/office/drawing/2010/main" val="0"/>
                        </a:ext>
                      </a:extLst>
                    </a:blip>
                    <a:srcRect l="11540" t="7533" r="12398" b="5275"/>
                    <a:stretch>
                      <a:fillRect/>
                    </a:stretch>
                  </pic:blipFill>
                  <pic:spPr>
                    <a:xfrm>
                      <a:off x="0" y="0"/>
                      <a:ext cx="5200650" cy="8448675"/>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248275" cy="8515350"/>
            <wp:effectExtent l="0" t="0" r="0" b="0"/>
            <wp:docPr id="932" name="图片 6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67" descr="9"/>
                    <pic:cNvPicPr>
                      <a:picLocks noChangeAspect="1" noChangeArrowheads="1"/>
                    </pic:cNvPicPr>
                  </pic:nvPicPr>
                  <pic:blipFill>
                    <a:blip r:embed="rId69">
                      <a:extLst>
                        <a:ext uri="{28A0092B-C50C-407E-A947-70E740481C1C}">
                          <a14:useLocalDpi xmlns:a14="http://schemas.microsoft.com/office/drawing/2010/main" val="0"/>
                        </a:ext>
                      </a:extLst>
                    </a:blip>
                    <a:srcRect l="11746" t="8292" r="12408" b="4823"/>
                    <a:stretch>
                      <a:fillRect/>
                    </a:stretch>
                  </pic:blipFill>
                  <pic:spPr>
                    <a:xfrm>
                      <a:off x="0" y="0"/>
                      <a:ext cx="5248275" cy="8515350"/>
                    </a:xfrm>
                    <a:prstGeom prst="rect">
                      <a:avLst/>
                    </a:prstGeom>
                    <a:noFill/>
                    <a:ln>
                      <a:noFill/>
                    </a:ln>
                    <a:effectLst/>
                  </pic:spPr>
                </pic:pic>
              </a:graphicData>
            </a:graphic>
          </wp:inline>
        </w:drawing>
      </w:r>
      <w:r>
        <w:rPr>
          <w:rFonts w:ascii="Calibri" w:hAnsi="Calibri" w:eastAsia="黑体"/>
          <w:bCs/>
          <w:kern w:val="0"/>
          <w:sz w:val="28"/>
          <w:szCs w:val="28"/>
        </w:rPr>
        <w:drawing>
          <wp:inline distT="0" distB="0" distL="0" distR="0">
            <wp:extent cx="5600700" cy="8486775"/>
            <wp:effectExtent l="0" t="0" r="0" b="0"/>
            <wp:docPr id="933" name="图片 6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68" descr="10"/>
                    <pic:cNvPicPr>
                      <a:picLocks noChangeAspect="1" noChangeArrowheads="1"/>
                    </pic:cNvPicPr>
                  </pic:nvPicPr>
                  <pic:blipFill>
                    <a:blip r:embed="rId70">
                      <a:extLst>
                        <a:ext uri="{28A0092B-C50C-407E-A947-70E740481C1C}">
                          <a14:useLocalDpi xmlns:a14="http://schemas.microsoft.com/office/drawing/2010/main" val="0"/>
                        </a:ext>
                      </a:extLst>
                    </a:blip>
                    <a:srcRect l="10260" t="7678" r="9186" b="6187"/>
                    <a:stretch>
                      <a:fillRect/>
                    </a:stretch>
                  </pic:blipFill>
                  <pic:spPr>
                    <a:xfrm>
                      <a:off x="0" y="0"/>
                      <a:ext cx="5600700" cy="8486775"/>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448300" cy="8201025"/>
            <wp:effectExtent l="0" t="0" r="0" b="0"/>
            <wp:docPr id="934" name="图片 6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69" descr="11"/>
                    <pic:cNvPicPr>
                      <a:picLocks noChangeAspect="1" noChangeArrowheads="1"/>
                    </pic:cNvPicPr>
                  </pic:nvPicPr>
                  <pic:blipFill>
                    <a:blip r:embed="rId71">
                      <a:extLst>
                        <a:ext uri="{28A0092B-C50C-407E-A947-70E740481C1C}">
                          <a14:useLocalDpi xmlns:a14="http://schemas.microsoft.com/office/drawing/2010/main" val="0"/>
                        </a:ext>
                      </a:extLst>
                    </a:blip>
                    <a:srcRect l="9186" t="8145" r="9404" b="5428"/>
                    <a:stretch>
                      <a:fillRect/>
                    </a:stretch>
                  </pic:blipFill>
                  <pic:spPr>
                    <a:xfrm>
                      <a:off x="0" y="0"/>
                      <a:ext cx="5448300" cy="8201025"/>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334000" cy="8153400"/>
            <wp:effectExtent l="0" t="0" r="0" b="0"/>
            <wp:docPr id="935" name="图片 7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70" descr="12"/>
                    <pic:cNvPicPr>
                      <a:picLocks noChangeAspect="1" noChangeArrowheads="1"/>
                    </pic:cNvPicPr>
                  </pic:nvPicPr>
                  <pic:blipFill>
                    <a:blip r:embed="rId72">
                      <a:extLst>
                        <a:ext uri="{28A0092B-C50C-407E-A947-70E740481C1C}">
                          <a14:useLocalDpi xmlns:a14="http://schemas.microsoft.com/office/drawing/2010/main" val="0"/>
                        </a:ext>
                      </a:extLst>
                    </a:blip>
                    <a:srcRect l="9827" t="7693" r="10466" b="6171"/>
                    <a:stretch>
                      <a:fillRect/>
                    </a:stretch>
                  </pic:blipFill>
                  <pic:spPr>
                    <a:xfrm>
                      <a:off x="0" y="0"/>
                      <a:ext cx="5334000" cy="8153400"/>
                    </a:xfrm>
                    <a:prstGeom prst="rect">
                      <a:avLst/>
                    </a:prstGeom>
                    <a:noFill/>
                    <a:ln>
                      <a:noFill/>
                    </a:ln>
                  </pic:spPr>
                </pic:pic>
              </a:graphicData>
            </a:graphic>
          </wp:inline>
        </w:drawing>
      </w:r>
      <w:r>
        <w:rPr>
          <w:rFonts w:ascii="Calibri" w:hAnsi="Calibri" w:eastAsia="黑体"/>
          <w:bCs/>
          <w:kern w:val="0"/>
          <w:sz w:val="28"/>
          <w:szCs w:val="28"/>
        </w:rPr>
        <w:drawing>
          <wp:inline distT="0" distB="0" distL="0" distR="0">
            <wp:extent cx="5495925" cy="8448675"/>
            <wp:effectExtent l="0" t="0" r="0" b="0"/>
            <wp:docPr id="936" name="图片 7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71" descr="13"/>
                    <pic:cNvPicPr>
                      <a:picLocks noChangeAspect="1" noChangeArrowheads="1"/>
                    </pic:cNvPicPr>
                  </pic:nvPicPr>
                  <pic:blipFill>
                    <a:blip r:embed="rId73">
                      <a:extLst>
                        <a:ext uri="{28A0092B-C50C-407E-A947-70E740481C1C}">
                          <a14:useLocalDpi xmlns:a14="http://schemas.microsoft.com/office/drawing/2010/main" val="0"/>
                        </a:ext>
                      </a:extLst>
                    </a:blip>
                    <a:srcRect l="9827" t="7533" r="10033" b="5582"/>
                    <a:stretch>
                      <a:fillRect/>
                    </a:stretch>
                  </pic:blipFill>
                  <pic:spPr>
                    <a:xfrm>
                      <a:off x="0" y="0"/>
                      <a:ext cx="5495925" cy="8448675"/>
                    </a:xfrm>
                    <a:prstGeom prst="rect">
                      <a:avLst/>
                    </a:prstGeom>
                    <a:noFill/>
                    <a:ln>
                      <a:noFill/>
                    </a:ln>
                  </pic:spPr>
                </pic:pic>
              </a:graphicData>
            </a:graphic>
          </wp:inline>
        </w:drawing>
      </w:r>
    </w:p>
    <w:p>
      <w:pPr>
        <w:jc w:val="center"/>
        <w:rPr>
          <w:rFonts w:ascii="Calibri" w:hAnsi="Calibri" w:eastAsia="黑体"/>
          <w:bCs/>
          <w:snapToGrid w:val="0"/>
          <w:kern w:val="0"/>
          <w:sz w:val="28"/>
          <w:szCs w:val="28"/>
        </w:rPr>
      </w:pPr>
    </w:p>
    <w:p>
      <w:pPr>
        <w:rPr>
          <w:rFonts w:ascii="Tahoma" w:hAnsi="Tahoma" w:cs="Tahoma"/>
          <w:sz w:val="24"/>
          <w:szCs w:val="24"/>
        </w:rPr>
      </w:pPr>
      <w:r>
        <w:rPr>
          <w:rFonts w:ascii="Tahoma" w:hAnsi="Tahoma" w:cs="Tahoma"/>
          <w:sz w:val="24"/>
          <w:szCs w:val="24"/>
        </w:rPr>
        <w:drawing>
          <wp:inline distT="0" distB="0" distL="0" distR="0">
            <wp:extent cx="5410200" cy="8477250"/>
            <wp:effectExtent l="0" t="0" r="0" b="0"/>
            <wp:docPr id="937" name="图片 7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72" descr="7"/>
                    <pic:cNvPicPr>
                      <a:picLocks noChangeAspect="1" noChangeArrowheads="1"/>
                    </pic:cNvPicPr>
                  </pic:nvPicPr>
                  <pic:blipFill>
                    <a:blip r:embed="rId67">
                      <a:extLst>
                        <a:ext uri="{28A0092B-C50C-407E-A947-70E740481C1C}">
                          <a14:useLocalDpi xmlns:a14="http://schemas.microsoft.com/office/drawing/2010/main" val="0"/>
                        </a:ext>
                      </a:extLst>
                    </a:blip>
                    <a:srcRect l="10075" t="6931" r="10347" b="4945"/>
                    <a:stretch>
                      <a:fillRect/>
                    </a:stretch>
                  </pic:blipFill>
                  <pic:spPr>
                    <a:xfrm>
                      <a:off x="0" y="0"/>
                      <a:ext cx="5410200" cy="8477250"/>
                    </a:xfrm>
                    <a:prstGeom prst="rect">
                      <a:avLst/>
                    </a:prstGeom>
                    <a:noFill/>
                    <a:ln>
                      <a:noFill/>
                    </a:ln>
                  </pic:spPr>
                </pic:pic>
              </a:graphicData>
            </a:graphic>
          </wp:inline>
        </w:drawing>
      </w:r>
      <w:bookmarkEnd w:id="527"/>
      <w:bookmarkEnd w:id="528"/>
      <w:bookmarkEnd w:id="529"/>
      <w:bookmarkEnd w:id="530"/>
      <w:bookmarkEnd w:id="531"/>
    </w:p>
    <w:p>
      <w:pPr>
        <w:rPr>
          <w:rFonts w:ascii="Tahoma" w:hAnsi="Tahoma" w:cs="Tahoma"/>
          <w:sz w:val="24"/>
          <w:szCs w:val="24"/>
        </w:rPr>
      </w:pPr>
    </w:p>
    <w:p>
      <w:pPr>
        <w:pStyle w:val="4"/>
      </w:pPr>
      <w:r>
        <w:br w:type="page"/>
      </w:r>
      <w:bookmarkStart w:id="533" w:name="_Toc90934918"/>
      <w:r>
        <w:rPr>
          <w:rFonts w:hint="eastAsia"/>
        </w:rPr>
        <w:t>3  《陆河县人民政府关于印发广东陆河抽水蓄能电站项目建设征地实物指标调查细则的通知》(陆河府函〔2021〕172号)</w:t>
      </w:r>
      <w:bookmarkEnd w:id="533"/>
    </w:p>
    <w:p>
      <w:pPr>
        <w:overflowPunct w:val="0"/>
        <w:autoSpaceDE w:val="0"/>
        <w:autoSpaceDN w:val="0"/>
        <w:snapToGrid w:val="0"/>
        <w:spacing w:line="360" w:lineRule="auto"/>
        <w:ind w:firstLine="420"/>
      </w:pPr>
      <w:r>
        <w:drawing>
          <wp:inline distT="0" distB="0" distL="0" distR="0">
            <wp:extent cx="5200650" cy="7829550"/>
            <wp:effectExtent l="0" t="0" r="0" b="0"/>
            <wp:docPr id="65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00650" cy="7829550"/>
                    </a:xfrm>
                    <a:prstGeom prst="rect">
                      <a:avLst/>
                    </a:prstGeom>
                    <a:noFill/>
                    <a:ln>
                      <a:noFill/>
                    </a:ln>
                    <a:effectLst/>
                  </pic:spPr>
                </pic:pic>
              </a:graphicData>
            </a:graphic>
          </wp:inline>
        </w:drawing>
      </w:r>
    </w:p>
    <w:p>
      <w:pPr>
        <w:overflowPunct w:val="0"/>
        <w:autoSpaceDE w:val="0"/>
        <w:autoSpaceDN w:val="0"/>
        <w:snapToGrid w:val="0"/>
        <w:spacing w:line="360" w:lineRule="auto"/>
        <w:ind w:firstLine="420"/>
      </w:pPr>
    </w:p>
    <w:p>
      <w:r>
        <w:rPr>
          <w:rFonts w:ascii="Tahoma" w:hAnsi="Tahoma" w:cs="Tahoma"/>
          <w:sz w:val="24"/>
          <w:szCs w:val="24"/>
        </w:rPr>
        <w:drawing>
          <wp:inline distT="0" distB="0" distL="0" distR="0">
            <wp:extent cx="5514975" cy="8105775"/>
            <wp:effectExtent l="0" t="0" r="0" b="0"/>
            <wp:docPr id="6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514975" cy="8105775"/>
                    </a:xfrm>
                    <a:prstGeom prst="rect">
                      <a:avLst/>
                    </a:prstGeom>
                    <a:noFill/>
                    <a:ln>
                      <a:noFill/>
                    </a:ln>
                    <a:effectLst/>
                  </pic:spPr>
                </pic:pic>
              </a:graphicData>
            </a:graphic>
          </wp:inline>
        </w:drawing>
      </w:r>
    </w:p>
    <w:p>
      <w:pPr>
        <w:rPr>
          <w:rFonts w:ascii="Tahoma" w:hAnsi="Tahoma" w:cs="Tahoma"/>
          <w:sz w:val="24"/>
          <w:szCs w:val="24"/>
        </w:rPr>
      </w:pPr>
    </w:p>
    <w:p>
      <w:pPr>
        <w:pStyle w:val="4"/>
      </w:pPr>
      <w:r>
        <w:br w:type="page"/>
      </w:r>
      <w:bookmarkStart w:id="534" w:name="_Toc85487815"/>
      <w:bookmarkStart w:id="535" w:name="_Toc85660351"/>
      <w:bookmarkStart w:id="536" w:name="_Toc5304"/>
      <w:bookmarkStart w:id="537" w:name="_Toc86265128"/>
      <w:bookmarkStart w:id="538" w:name="_Toc1365"/>
      <w:bookmarkStart w:id="539" w:name="_Toc90934919"/>
      <w:r>
        <w:rPr>
          <w:rFonts w:hint="eastAsia"/>
        </w:rPr>
        <w:t>4</w:t>
      </w:r>
      <w:r>
        <w:t xml:space="preserve">  </w:t>
      </w:r>
      <w:bookmarkEnd w:id="534"/>
      <w:bookmarkEnd w:id="535"/>
      <w:bookmarkEnd w:id="536"/>
      <w:bookmarkEnd w:id="537"/>
      <w:bookmarkEnd w:id="538"/>
      <w:r>
        <w:rPr>
          <w:rFonts w:hint="eastAsia"/>
        </w:rPr>
        <w:t>《广东省人民政府关于禁止在广东陆河抽水蓄能电站项目工程占地及淹没区新增建设项目和迁入人口的通告》(粤府函〔2021〕368号)</w:t>
      </w:r>
      <w:bookmarkEnd w:id="539"/>
    </w:p>
    <w:p>
      <w:pPr>
        <w:jc w:val="center"/>
        <w:rPr>
          <w:rFonts w:ascii="Tahoma" w:hAnsi="Tahoma" w:cs="Tahoma"/>
          <w:sz w:val="24"/>
          <w:szCs w:val="24"/>
        </w:rPr>
      </w:pPr>
      <w:r>
        <w:rPr>
          <w:rFonts w:ascii="Tahoma" w:hAnsi="Tahoma" w:cs="Tahoma"/>
          <w:sz w:val="24"/>
          <w:szCs w:val="24"/>
        </w:rPr>
        <w:drawing>
          <wp:inline distT="0" distB="0" distL="0" distR="0">
            <wp:extent cx="5524500" cy="7772400"/>
            <wp:effectExtent l="0" t="0" r="0" b="0"/>
            <wp:docPr id="660"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341"/>
                    <pic:cNvPicPr>
                      <a:picLocks noChangeAspect="1" noChangeArrowheads="1"/>
                    </pic:cNvPicPr>
                  </pic:nvPicPr>
                  <pic:blipFill>
                    <a:blip r:embed="rId76" cstate="print">
                      <a:extLst>
                        <a:ext uri="{28A0092B-C50C-407E-A947-70E740481C1C}">
                          <a14:useLocalDpi xmlns:a14="http://schemas.microsoft.com/office/drawing/2010/main" val="0"/>
                        </a:ext>
                      </a:extLst>
                    </a:blip>
                    <a:srcRect l="3389" t="4213" r="3412" b="3003"/>
                    <a:stretch>
                      <a:fillRect/>
                    </a:stretch>
                  </pic:blipFill>
                  <pic:spPr>
                    <a:xfrm>
                      <a:off x="0" y="0"/>
                      <a:ext cx="5524500" cy="7772400"/>
                    </a:xfrm>
                    <a:prstGeom prst="rect">
                      <a:avLst/>
                    </a:prstGeom>
                    <a:noFill/>
                    <a:ln>
                      <a:noFill/>
                    </a:ln>
                  </pic:spPr>
                </pic:pic>
              </a:graphicData>
            </a:graphic>
          </wp:inline>
        </w:drawing>
      </w:r>
      <w:r>
        <w:rPr>
          <w:rFonts w:ascii="Tahoma" w:hAnsi="Tahoma" w:cs="Tahoma"/>
          <w:sz w:val="24"/>
          <w:szCs w:val="24"/>
        </w:rPr>
        <w:drawing>
          <wp:inline distT="0" distB="0" distL="0" distR="0">
            <wp:extent cx="5581650" cy="8048625"/>
            <wp:effectExtent l="0" t="0" r="0" b="0"/>
            <wp:docPr id="661"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342"/>
                    <pic:cNvPicPr>
                      <a:picLocks noChangeAspect="1" noChangeArrowheads="1"/>
                    </pic:cNvPicPr>
                  </pic:nvPicPr>
                  <pic:blipFill>
                    <a:blip r:embed="rId77" cstate="print">
                      <a:extLst>
                        <a:ext uri="{28A0092B-C50C-407E-A947-70E740481C1C}">
                          <a14:useLocalDpi xmlns:a14="http://schemas.microsoft.com/office/drawing/2010/main" val="0"/>
                        </a:ext>
                      </a:extLst>
                    </a:blip>
                    <a:srcRect l="7086" t="7611" r="9334" b="7014"/>
                    <a:stretch>
                      <a:fillRect/>
                    </a:stretch>
                  </pic:blipFill>
                  <pic:spPr>
                    <a:xfrm>
                      <a:off x="0" y="0"/>
                      <a:ext cx="5581650" cy="8048625"/>
                    </a:xfrm>
                    <a:prstGeom prst="rect">
                      <a:avLst/>
                    </a:prstGeom>
                    <a:noFill/>
                    <a:ln>
                      <a:noFill/>
                    </a:ln>
                  </pic:spPr>
                </pic:pic>
              </a:graphicData>
            </a:graphic>
          </wp:inline>
        </w:drawing>
      </w:r>
      <w:r>
        <w:rPr>
          <w:rFonts w:ascii="Tahoma" w:hAnsi="Tahoma" w:cs="Tahoma"/>
          <w:sz w:val="24"/>
          <w:szCs w:val="24"/>
        </w:rPr>
        <w:drawing>
          <wp:inline distT="0" distB="0" distL="0" distR="0">
            <wp:extent cx="5524500" cy="8105775"/>
            <wp:effectExtent l="0" t="0" r="0" b="0"/>
            <wp:docPr id="662"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343"/>
                    <pic:cNvPicPr>
                      <a:picLocks noChangeAspect="1" noChangeArrowheads="1"/>
                    </pic:cNvPicPr>
                  </pic:nvPicPr>
                  <pic:blipFill>
                    <a:blip r:embed="rId78" cstate="print">
                      <a:extLst>
                        <a:ext uri="{28A0092B-C50C-407E-A947-70E740481C1C}">
                          <a14:useLocalDpi xmlns:a14="http://schemas.microsoft.com/office/drawing/2010/main" val="0"/>
                        </a:ext>
                      </a:extLst>
                    </a:blip>
                    <a:srcRect l="6516" t="7417" r="9357" b="5223"/>
                    <a:stretch>
                      <a:fillRect/>
                    </a:stretch>
                  </pic:blipFill>
                  <pic:spPr>
                    <a:xfrm>
                      <a:off x="0" y="0"/>
                      <a:ext cx="5524500" cy="8105775"/>
                    </a:xfrm>
                    <a:prstGeom prst="rect">
                      <a:avLst/>
                    </a:prstGeom>
                    <a:noFill/>
                    <a:ln>
                      <a:noFill/>
                    </a:ln>
                  </pic:spPr>
                </pic:pic>
              </a:graphicData>
            </a:graphic>
          </wp:inline>
        </w:drawing>
      </w:r>
      <w:r>
        <w:rPr>
          <w:rFonts w:ascii="Tahoma" w:hAnsi="Tahoma" w:cs="Tahoma"/>
          <w:sz w:val="24"/>
          <w:szCs w:val="24"/>
        </w:rPr>
        <w:drawing>
          <wp:inline distT="0" distB="0" distL="0" distR="0">
            <wp:extent cx="5048250" cy="8553450"/>
            <wp:effectExtent l="0" t="0" r="0" b="0"/>
            <wp:docPr id="663"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344"/>
                    <pic:cNvPicPr>
                      <a:picLocks noChangeAspect="1" noChangeArrowheads="1"/>
                    </pic:cNvPicPr>
                  </pic:nvPicPr>
                  <pic:blipFill>
                    <a:blip r:embed="rId79" cstate="print">
                      <a:extLst>
                        <a:ext uri="{28A0092B-C50C-407E-A947-70E740481C1C}">
                          <a14:useLocalDpi xmlns:a14="http://schemas.microsoft.com/office/drawing/2010/main" val="0"/>
                        </a:ext>
                      </a:extLst>
                    </a:blip>
                    <a:srcRect l="6789" t="1396" r="12747" b="2002"/>
                    <a:stretch>
                      <a:fillRect/>
                    </a:stretch>
                  </pic:blipFill>
                  <pic:spPr>
                    <a:xfrm>
                      <a:off x="0" y="0"/>
                      <a:ext cx="5048250" cy="8553450"/>
                    </a:xfrm>
                    <a:prstGeom prst="rect">
                      <a:avLst/>
                    </a:prstGeom>
                    <a:noFill/>
                    <a:ln>
                      <a:noFill/>
                    </a:ln>
                  </pic:spPr>
                </pic:pic>
              </a:graphicData>
            </a:graphic>
          </wp:inline>
        </w:drawing>
      </w:r>
      <w:r>
        <w:rPr>
          <w:rFonts w:ascii="Tahoma" w:hAnsi="Tahoma" w:cs="Tahoma"/>
          <w:sz w:val="24"/>
          <w:szCs w:val="24"/>
        </w:rPr>
        <w:drawing>
          <wp:inline distT="0" distB="0" distL="0" distR="0">
            <wp:extent cx="5543550" cy="8315325"/>
            <wp:effectExtent l="0" t="0" r="0" b="0"/>
            <wp:docPr id="664"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345"/>
                    <pic:cNvPicPr>
                      <a:picLocks noChangeAspect="1" noChangeArrowheads="1"/>
                    </pic:cNvPicPr>
                  </pic:nvPicPr>
                  <pic:blipFill>
                    <a:blip r:embed="rId80" cstate="print">
                      <a:extLst>
                        <a:ext uri="{28A0092B-C50C-407E-A947-70E740481C1C}">
                          <a14:useLocalDpi xmlns:a14="http://schemas.microsoft.com/office/drawing/2010/main" val="0"/>
                        </a:ext>
                      </a:extLst>
                    </a:blip>
                    <a:srcRect l="6789" t="7611" r="10214" b="4205"/>
                    <a:stretch>
                      <a:fillRect/>
                    </a:stretch>
                  </pic:blipFill>
                  <pic:spPr>
                    <a:xfrm>
                      <a:off x="0" y="0"/>
                      <a:ext cx="5543550" cy="8315325"/>
                    </a:xfrm>
                    <a:prstGeom prst="rect">
                      <a:avLst/>
                    </a:prstGeom>
                    <a:noFill/>
                    <a:ln>
                      <a:noFill/>
                    </a:ln>
                  </pic:spPr>
                </pic:pic>
              </a:graphicData>
            </a:graphic>
          </wp:inline>
        </w:drawing>
      </w:r>
    </w:p>
    <w:p>
      <w:pPr>
        <w:rPr>
          <w:rFonts w:ascii="Tahoma" w:hAnsi="Tahoma" w:cs="Tahoma"/>
          <w:sz w:val="24"/>
          <w:szCs w:val="24"/>
        </w:rPr>
      </w:pPr>
    </w:p>
    <w:p>
      <w:pPr>
        <w:pStyle w:val="4"/>
      </w:pPr>
      <w:r>
        <w:br w:type="page"/>
      </w:r>
      <w:bookmarkStart w:id="540" w:name="_Toc12195"/>
      <w:bookmarkStart w:id="541" w:name="_Toc85487818"/>
      <w:bookmarkStart w:id="542" w:name="_Toc85660354"/>
      <w:bookmarkStart w:id="543" w:name="_Toc86265129"/>
      <w:bookmarkStart w:id="544" w:name="_Toc13776"/>
      <w:bookmarkStart w:id="545" w:name="_Toc90934920"/>
      <w:r>
        <w:rPr>
          <w:rFonts w:hint="eastAsia"/>
        </w:rPr>
        <w:t>5</w:t>
      </w:r>
      <w:r>
        <w:t xml:space="preserve">  </w:t>
      </w:r>
      <w:r>
        <w:rPr>
          <w:rFonts w:hint="eastAsia"/>
        </w:rPr>
        <w:t>关于广东陆河抽水蓄能电站项目用地范围文物考古调查勘探已完成的通知</w:t>
      </w:r>
      <w:bookmarkEnd w:id="540"/>
      <w:bookmarkEnd w:id="541"/>
      <w:bookmarkEnd w:id="542"/>
      <w:bookmarkEnd w:id="543"/>
      <w:bookmarkEnd w:id="544"/>
      <w:bookmarkEnd w:id="545"/>
    </w:p>
    <w:p>
      <w:pPr>
        <w:rPr>
          <w:rFonts w:ascii="Tahoma" w:hAnsi="Tahoma" w:cs="Tahoma"/>
          <w:sz w:val="24"/>
          <w:szCs w:val="24"/>
        </w:rPr>
      </w:pPr>
      <w:r>
        <w:rPr>
          <w:rFonts w:hint="eastAsia" w:ascii="Tahoma" w:hAnsi="Tahoma" w:cs="Tahoma"/>
          <w:sz w:val="24"/>
          <w:szCs w:val="24"/>
        </w:rPr>
        <w:drawing>
          <wp:inline distT="0" distB="0" distL="0" distR="0">
            <wp:extent cx="5534025" cy="7572375"/>
            <wp:effectExtent l="0" t="0" r="0" b="0"/>
            <wp:docPr id="665"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346"/>
                    <pic:cNvPicPr>
                      <a:picLocks noChangeAspect="1" noChangeArrowheads="1"/>
                    </pic:cNvPicPr>
                  </pic:nvPicPr>
                  <pic:blipFill>
                    <a:blip r:embed="rId81" cstate="print">
                      <a:extLst>
                        <a:ext uri="{28A0092B-C50C-407E-A947-70E740481C1C}">
                          <a14:useLocalDpi xmlns:a14="http://schemas.microsoft.com/office/drawing/2010/main" val="0"/>
                        </a:ext>
                      </a:extLst>
                    </a:blip>
                    <a:srcRect l="7086" t="9888" r="10475" b="8229"/>
                    <a:stretch>
                      <a:fillRect/>
                    </a:stretch>
                  </pic:blipFill>
                  <pic:spPr>
                    <a:xfrm>
                      <a:off x="0" y="0"/>
                      <a:ext cx="5534025" cy="7572375"/>
                    </a:xfrm>
                    <a:prstGeom prst="rect">
                      <a:avLst/>
                    </a:prstGeom>
                    <a:noFill/>
                    <a:ln>
                      <a:noFill/>
                    </a:ln>
                  </pic:spPr>
                </pic:pic>
              </a:graphicData>
            </a:graphic>
          </wp:inline>
        </w:drawing>
      </w:r>
      <w:r>
        <w:rPr>
          <w:rFonts w:hint="eastAsia" w:ascii="Tahoma" w:hAnsi="Tahoma" w:cs="Tahoma"/>
          <w:sz w:val="24"/>
          <w:szCs w:val="24"/>
        </w:rPr>
        <w:drawing>
          <wp:inline distT="0" distB="0" distL="0" distR="0">
            <wp:extent cx="5486400" cy="7962900"/>
            <wp:effectExtent l="0" t="0" r="0" b="0"/>
            <wp:docPr id="666"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347"/>
                    <pic:cNvPicPr>
                      <a:picLocks noChangeAspect="1" noChangeArrowheads="1"/>
                    </pic:cNvPicPr>
                  </pic:nvPicPr>
                  <pic:blipFill>
                    <a:blip r:embed="rId82" cstate="print">
                      <a:extLst>
                        <a:ext uri="{28A0092B-C50C-407E-A947-70E740481C1C}">
                          <a14:useLocalDpi xmlns:a14="http://schemas.microsoft.com/office/drawing/2010/main" val="0"/>
                        </a:ext>
                      </a:extLst>
                    </a:blip>
                    <a:srcRect l="10486" t="8446" r="10211" b="8031"/>
                    <a:stretch>
                      <a:fillRect/>
                    </a:stretch>
                  </pic:blipFill>
                  <pic:spPr>
                    <a:xfrm>
                      <a:off x="0" y="0"/>
                      <a:ext cx="5486400" cy="7962900"/>
                    </a:xfrm>
                    <a:prstGeom prst="rect">
                      <a:avLst/>
                    </a:prstGeom>
                    <a:noFill/>
                    <a:ln>
                      <a:noFill/>
                    </a:ln>
                  </pic:spPr>
                </pic:pic>
              </a:graphicData>
            </a:graphic>
          </wp:inline>
        </w:drawing>
      </w:r>
    </w:p>
    <w:p>
      <w:pPr>
        <w:rPr>
          <w:rFonts w:ascii="Tahoma" w:hAnsi="Tahoma" w:cs="Tahoma"/>
          <w:sz w:val="24"/>
          <w:szCs w:val="24"/>
        </w:rPr>
      </w:pPr>
    </w:p>
    <w:p>
      <w:pPr>
        <w:pStyle w:val="915"/>
        <w:sectPr>
          <w:footerReference r:id="rId23" w:type="default"/>
          <w:pgSz w:w="11906" w:h="16838"/>
          <w:pgMar w:top="1588" w:right="1565" w:bottom="1531" w:left="1565" w:header="1134" w:footer="1247" w:gutter="0"/>
          <w:cols w:space="720" w:num="1"/>
          <w:docGrid w:linePitch="312" w:charSpace="0"/>
        </w:sectPr>
      </w:pPr>
    </w:p>
    <w:p>
      <w:pPr>
        <w:pStyle w:val="4"/>
      </w:pPr>
      <w:bookmarkStart w:id="546" w:name="_Toc90934921"/>
      <w:bookmarkStart w:id="547" w:name="_Toc28745"/>
      <w:bookmarkStart w:id="548" w:name="_Toc7668"/>
      <w:r>
        <w:rPr>
          <w:rFonts w:hint="eastAsia"/>
        </w:rPr>
        <w:t>6</w:t>
      </w:r>
      <w:r>
        <w:t xml:space="preserve"> </w:t>
      </w:r>
      <w:r>
        <w:rPr>
          <w:rFonts w:hint="eastAsia"/>
        </w:rPr>
        <w:t xml:space="preserve"> 关于广东陆河抽水蓄能电站项目用地是否压覆矿产资源的复函</w:t>
      </w:r>
      <w:bookmarkEnd w:id="546"/>
    </w:p>
    <w:p>
      <w:pPr>
        <w:rPr>
          <w:rFonts w:ascii="Tahoma" w:hAnsi="Tahoma" w:cs="Tahoma"/>
          <w:sz w:val="24"/>
          <w:szCs w:val="24"/>
        </w:rPr>
      </w:pPr>
      <w:r>
        <w:rPr>
          <w:rFonts w:ascii="Tahoma" w:hAnsi="Tahoma" w:cs="Tahoma"/>
          <w:sz w:val="24"/>
          <w:szCs w:val="24"/>
        </w:rPr>
        <w:drawing>
          <wp:inline distT="0" distB="0" distL="0" distR="0">
            <wp:extent cx="5514975" cy="7905750"/>
            <wp:effectExtent l="0" t="0" r="0" b="0"/>
            <wp:docPr id="667"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348"/>
                    <pic:cNvPicPr>
                      <a:picLocks noChangeAspect="1" noChangeArrowheads="1"/>
                    </pic:cNvPicPr>
                  </pic:nvPicPr>
                  <pic:blipFill>
                    <a:blip r:embed="rId83" cstate="print">
                      <a:extLst>
                        <a:ext uri="{28A0092B-C50C-407E-A947-70E740481C1C}">
                          <a14:useLocalDpi xmlns:a14="http://schemas.microsoft.com/office/drawing/2010/main" val="0"/>
                        </a:ext>
                      </a:extLst>
                    </a:blip>
                    <a:srcRect l="6516" t="7001" r="3400" b="1997"/>
                    <a:stretch>
                      <a:fillRect/>
                    </a:stretch>
                  </pic:blipFill>
                  <pic:spPr>
                    <a:xfrm>
                      <a:off x="0" y="0"/>
                      <a:ext cx="5514975" cy="7905750"/>
                    </a:xfrm>
                    <a:prstGeom prst="rect">
                      <a:avLst/>
                    </a:prstGeom>
                    <a:noFill/>
                    <a:ln>
                      <a:noFill/>
                    </a:ln>
                  </pic:spPr>
                </pic:pic>
              </a:graphicData>
            </a:graphic>
          </wp:inline>
        </w:drawing>
      </w:r>
      <w:bookmarkEnd w:id="547"/>
      <w:bookmarkEnd w:id="548"/>
    </w:p>
    <w:p>
      <w:pPr>
        <w:rPr>
          <w:rFonts w:ascii="Tahoma" w:hAnsi="Tahoma" w:cs="Tahoma"/>
          <w:sz w:val="24"/>
          <w:szCs w:val="24"/>
        </w:rPr>
      </w:pPr>
    </w:p>
    <w:p>
      <w:pPr>
        <w:overflowPunct w:val="0"/>
        <w:autoSpaceDE w:val="0"/>
        <w:autoSpaceDN w:val="0"/>
        <w:adjustRightInd w:val="0"/>
        <w:snapToGrid w:val="0"/>
        <w:spacing w:line="480" w:lineRule="exact"/>
        <w:jc w:val="left"/>
        <w:rPr>
          <w:rFonts w:hint="eastAsia" w:hAnsi="宋体"/>
          <w:sz w:val="24"/>
        </w:rPr>
      </w:pPr>
      <w:r>
        <w:rPr>
          <w:rFonts w:hint="eastAsia" w:hAnsi="宋体"/>
          <w:sz w:val="24"/>
        </w:rPr>
        <w:t>附件1</w:t>
      </w:r>
    </w:p>
    <w:p>
      <w:pPr>
        <w:overflowPunct w:val="0"/>
        <w:autoSpaceDE w:val="0"/>
        <w:autoSpaceDN w:val="0"/>
        <w:snapToGrid w:val="0"/>
        <w:rPr>
          <w:rFonts w:cs="Times New Roman"/>
          <w:color w:val="000000"/>
          <w:sz w:val="24"/>
          <w:szCs w:val="48"/>
        </w:rPr>
      </w:pPr>
      <w:r>
        <w:rPr>
          <w:rFonts w:hint="eastAsia" w:cs="Times New Roman"/>
          <w:color w:val="000000"/>
          <w:szCs w:val="22"/>
        </w:rPr>
        <w:drawing>
          <wp:inline distT="0" distB="0" distL="114300" distR="114300">
            <wp:extent cx="1981835" cy="724535"/>
            <wp:effectExtent l="0" t="0" r="0" b="0"/>
            <wp:docPr id="3" name="图片 3" descr="1.横式首选组合-墨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横式首选组合-墨稿"/>
                    <pic:cNvPicPr>
                      <a:picLocks noChangeAspect="1"/>
                    </pic:cNvPicPr>
                  </pic:nvPicPr>
                  <pic:blipFill>
                    <a:blip r:embed="rId84"/>
                    <a:srcRect l="5354" t="7933" r="5930" b="6158"/>
                    <a:stretch>
                      <a:fillRect/>
                    </a:stretch>
                  </pic:blipFill>
                  <pic:spPr>
                    <a:xfrm>
                      <a:off x="0" y="0"/>
                      <a:ext cx="1981835" cy="724535"/>
                    </a:xfrm>
                    <a:prstGeom prst="rect">
                      <a:avLst/>
                    </a:prstGeom>
                    <a:noFill/>
                    <a:ln>
                      <a:noFill/>
                    </a:ln>
                  </pic:spPr>
                </pic:pic>
              </a:graphicData>
            </a:graphic>
          </wp:inline>
        </w:drawing>
      </w:r>
    </w:p>
    <w:p>
      <w:pPr>
        <w:rPr>
          <w:rFonts w:hint="eastAsia" w:cs="Times New Roman"/>
          <w:color w:val="000000"/>
          <w:szCs w:val="22"/>
        </w:rPr>
      </w:pPr>
    </w:p>
    <w:p>
      <w:pPr>
        <w:rPr>
          <w:rFonts w:hint="eastAsia" w:cs="Times New Roman"/>
          <w:color w:val="000000"/>
          <w:szCs w:val="22"/>
        </w:rPr>
      </w:pPr>
    </w:p>
    <w:p>
      <w:pPr>
        <w:rPr>
          <w:rFonts w:hint="eastAsia" w:cs="Times New Roman"/>
          <w:color w:val="000000"/>
          <w:szCs w:val="22"/>
        </w:rPr>
      </w:pPr>
    </w:p>
    <w:p>
      <w:pPr>
        <w:jc w:val="center"/>
        <w:rPr>
          <w:rFonts w:eastAsia="隶书" w:cs="Times New Roman"/>
          <w:bCs/>
          <w:color w:val="000000"/>
          <w:sz w:val="48"/>
          <w:szCs w:val="48"/>
        </w:rPr>
      </w:pPr>
      <w:r>
        <w:rPr>
          <w:rFonts w:hint="eastAsia" w:eastAsia="隶书" w:cs="Times New Roman"/>
          <w:bCs/>
          <w:color w:val="000000"/>
          <w:sz w:val="48"/>
          <w:szCs w:val="48"/>
        </w:rPr>
        <w:t>广东陆河</w:t>
      </w:r>
      <w:r>
        <w:rPr>
          <w:rFonts w:eastAsia="隶书" w:cs="Times New Roman"/>
          <w:bCs/>
          <w:color w:val="000000"/>
          <w:sz w:val="48"/>
          <w:szCs w:val="48"/>
        </w:rPr>
        <w:t>抽水蓄能电站</w:t>
      </w:r>
    </w:p>
    <w:p>
      <w:pPr>
        <w:snapToGrid w:val="0"/>
        <w:spacing w:before="240" w:beforeLines="100"/>
        <w:jc w:val="center"/>
        <w:rPr>
          <w:rFonts w:eastAsia="微软雅黑" w:cs="Times New Roman"/>
          <w:b/>
          <w:color w:val="000000"/>
          <w:sz w:val="52"/>
          <w:szCs w:val="52"/>
        </w:rPr>
      </w:pPr>
      <w:r>
        <w:rPr>
          <w:rFonts w:hint="eastAsia" w:eastAsia="微软雅黑" w:cs="Times New Roman"/>
          <w:b/>
          <w:color w:val="000000"/>
          <w:sz w:val="52"/>
          <w:szCs w:val="52"/>
        </w:rPr>
        <w:t>建设征地实物指标调查报告</w:t>
      </w:r>
    </w:p>
    <w:p>
      <w:pPr>
        <w:rPr>
          <w:rFonts w:hint="eastAsia" w:cs="Times New Roman"/>
          <w:color w:val="000000"/>
          <w:szCs w:val="22"/>
        </w:rPr>
      </w:pPr>
    </w:p>
    <w:p>
      <w:pPr>
        <w:rPr>
          <w:rFonts w:hint="eastAsia" w:cs="Times New Roman"/>
          <w:color w:val="000000"/>
          <w:szCs w:val="22"/>
        </w:rPr>
      </w:pPr>
    </w:p>
    <w:p>
      <w:pPr>
        <w:rPr>
          <w:rFonts w:hint="eastAsia" w:cs="Times New Roman"/>
          <w:color w:val="000000"/>
          <w:szCs w:val="2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hint="eastAsia" w:cs="Times New Roman"/>
          <w:bCs/>
          <w:color w:val="000000"/>
          <w:sz w:val="24"/>
          <w:szCs w:val="52"/>
        </w:rPr>
      </w:pPr>
    </w:p>
    <w:p>
      <w:pPr>
        <w:overflowPunct w:val="0"/>
        <w:autoSpaceDE w:val="0"/>
        <w:autoSpaceDN w:val="0"/>
        <w:snapToGrid w:val="0"/>
        <w:spacing w:line="360" w:lineRule="auto"/>
        <w:ind w:firstLine="420"/>
        <w:jc w:val="center"/>
        <w:rPr>
          <w:rFonts w:hint="eastAsia" w:cs="Times New Roman"/>
          <w:bCs/>
          <w:color w:val="000000"/>
          <w:sz w:val="24"/>
          <w:szCs w:val="52"/>
        </w:rPr>
      </w:pPr>
    </w:p>
    <w:p>
      <w:pPr>
        <w:overflowPunct w:val="0"/>
        <w:autoSpaceDE w:val="0"/>
        <w:autoSpaceDN w:val="0"/>
        <w:snapToGrid w:val="0"/>
        <w:spacing w:line="360" w:lineRule="auto"/>
        <w:ind w:firstLine="420"/>
        <w:jc w:val="center"/>
        <w:rPr>
          <w:rFonts w:hint="eastAsia"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ind w:firstLine="420"/>
        <w:jc w:val="center"/>
        <w:rPr>
          <w:rFonts w:cs="Times New Roman"/>
          <w:bCs/>
          <w:color w:val="000000"/>
          <w:sz w:val="24"/>
          <w:szCs w:val="52"/>
        </w:rPr>
      </w:pPr>
    </w:p>
    <w:p>
      <w:pPr>
        <w:overflowPunct w:val="0"/>
        <w:autoSpaceDE w:val="0"/>
        <w:autoSpaceDN w:val="0"/>
        <w:snapToGrid w:val="0"/>
        <w:spacing w:line="360" w:lineRule="auto"/>
        <w:jc w:val="center"/>
        <w:rPr>
          <w:rFonts w:hint="eastAsia" w:cs="Times New Roman"/>
          <w:bCs/>
          <w:color w:val="000000"/>
          <w:sz w:val="24"/>
          <w:szCs w:val="52"/>
        </w:rPr>
      </w:pPr>
      <w:r>
        <w:rPr>
          <w:rFonts w:hint="eastAsia" w:cs="Times New Roman"/>
          <w:bCs/>
          <w:color w:val="000000"/>
          <w:sz w:val="24"/>
          <w:szCs w:val="52"/>
        </w:rPr>
        <w:t xml:space="preserve"> </w:t>
      </w:r>
      <w:r>
        <w:rPr>
          <w:rFonts w:cs="Times New Roman"/>
          <w:bCs/>
          <w:color w:val="000000"/>
          <w:sz w:val="24"/>
          <w:szCs w:val="52"/>
        </w:rPr>
        <w:t xml:space="preserve"> </w:t>
      </w:r>
    </w:p>
    <w:p>
      <w:pPr>
        <w:overflowPunct w:val="0"/>
        <w:autoSpaceDE w:val="0"/>
        <w:autoSpaceDN w:val="0"/>
        <w:snapToGrid w:val="0"/>
        <w:spacing w:line="360" w:lineRule="auto"/>
        <w:ind w:firstLine="420"/>
        <w:jc w:val="center"/>
        <w:rPr>
          <w:rFonts w:cs="Times New Roman"/>
          <w:bCs/>
          <w:color w:val="000000"/>
          <w:sz w:val="24"/>
          <w:szCs w:val="52"/>
        </w:rPr>
      </w:pPr>
    </w:p>
    <w:p>
      <w:pPr>
        <w:snapToGrid w:val="0"/>
        <w:jc w:val="center"/>
        <w:rPr>
          <w:rFonts w:eastAsia="微软雅黑" w:cs="Times New Roman"/>
          <w:color w:val="000000"/>
          <w:sz w:val="14"/>
          <w:szCs w:val="14"/>
        </w:rPr>
      </w:pPr>
      <w:r>
        <w:rPr>
          <w:rFonts w:hint="eastAsia" w:ascii="微软雅黑" w:hAnsi="微软雅黑" w:eastAsia="微软雅黑" w:cs="微软雅黑"/>
          <w:color w:val="000000"/>
          <w:sz w:val="32"/>
          <w:szCs w:val="32"/>
        </w:rPr>
        <w:drawing>
          <wp:inline distT="0" distB="0" distL="114300" distR="114300">
            <wp:extent cx="4027170" cy="341630"/>
            <wp:effectExtent l="0" t="0" r="11430" b="1270"/>
            <wp:docPr id="4" name="图片 4" descr="中南院商号-横版（标准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南院商号-横版（标准色）"/>
                    <pic:cNvPicPr>
                      <a:picLocks noChangeAspect="1"/>
                    </pic:cNvPicPr>
                  </pic:nvPicPr>
                  <pic:blipFill>
                    <a:blip r:embed="rId85">
                      <a:biLevel thresh="50000"/>
                      <a:grayscl/>
                    </a:blip>
                    <a:stretch>
                      <a:fillRect/>
                    </a:stretch>
                  </pic:blipFill>
                  <pic:spPr>
                    <a:xfrm>
                      <a:off x="0" y="0"/>
                      <a:ext cx="4027170" cy="341630"/>
                    </a:xfrm>
                    <a:prstGeom prst="rect">
                      <a:avLst/>
                    </a:prstGeom>
                    <a:noFill/>
                    <a:ln>
                      <a:noFill/>
                    </a:ln>
                  </pic:spPr>
                </pic:pic>
              </a:graphicData>
            </a:graphic>
          </wp:inline>
        </w:drawing>
      </w:r>
    </w:p>
    <w:p>
      <w:pPr>
        <w:snapToGrid w:val="0"/>
        <w:spacing w:before="187" w:line="520" w:lineRule="exact"/>
        <w:jc w:val="center"/>
        <w:rPr>
          <w:rFonts w:eastAsia="黑体" w:cs="Times New Roman"/>
          <w:color w:val="000000"/>
          <w:sz w:val="32"/>
          <w:szCs w:val="32"/>
        </w:rPr>
      </w:pPr>
      <w:r>
        <w:rPr>
          <w:rFonts w:eastAsia="黑体" w:cs="Times New Roman"/>
          <w:color w:val="000000"/>
          <w:sz w:val="32"/>
          <w:szCs w:val="32"/>
        </w:rPr>
        <w:t xml:space="preserve">2 0 2 2 </w:t>
      </w:r>
      <w:r>
        <w:rPr>
          <w:rFonts w:hAnsi="黑体" w:eastAsia="黑体" w:cs="Times New Roman"/>
          <w:color w:val="000000"/>
          <w:sz w:val="32"/>
          <w:szCs w:val="32"/>
        </w:rPr>
        <w:t>年</w:t>
      </w:r>
      <w:r>
        <w:rPr>
          <w:rFonts w:eastAsia="黑体" w:cs="Times New Roman"/>
          <w:color w:val="000000"/>
          <w:sz w:val="32"/>
          <w:szCs w:val="32"/>
        </w:rPr>
        <w:t xml:space="preserve"> 1 </w:t>
      </w:r>
      <w:r>
        <w:rPr>
          <w:rFonts w:hAnsi="黑体" w:eastAsia="黑体" w:cs="Times New Roman"/>
          <w:color w:val="000000"/>
          <w:sz w:val="32"/>
          <w:szCs w:val="32"/>
        </w:rPr>
        <w:t>月</w:t>
      </w:r>
    </w:p>
    <w:p>
      <w:pPr>
        <w:widowControl/>
        <w:jc w:val="left"/>
        <w:rPr>
          <w:color w:val="000000"/>
          <w:sz w:val="24"/>
          <w:szCs w:val="21"/>
        </w:rPr>
        <w:sectPr>
          <w:footerReference r:id="rId24" w:type="default"/>
          <w:pgSz w:w="11906" w:h="16838"/>
          <w:pgMar w:top="1588" w:right="1559" w:bottom="1531" w:left="1559" w:header="1134" w:footer="1247" w:gutter="0"/>
          <w:cols w:space="720" w:num="1"/>
          <w:docGrid w:linePitch="326" w:charSpace="0"/>
        </w:sectPr>
      </w:pPr>
    </w:p>
    <w:p>
      <w:pPr>
        <w:widowControl/>
        <w:jc w:val="left"/>
        <w:rPr>
          <w:rFonts w:cs="Times New Roman"/>
          <w:color w:val="000000"/>
          <w:sz w:val="24"/>
          <w:szCs w:val="21"/>
        </w:rPr>
      </w:pPr>
    </w:p>
    <w:p>
      <w:pPr>
        <w:widowControl/>
        <w:jc w:val="left"/>
        <w:rPr>
          <w:rFonts w:cs="Times New Roman"/>
          <w:color w:val="000000"/>
          <w:sz w:val="24"/>
          <w:szCs w:val="21"/>
        </w:rPr>
      </w:pPr>
    </w:p>
    <w:p>
      <w:pPr>
        <w:widowControl/>
        <w:jc w:val="left"/>
        <w:rPr>
          <w:rFonts w:cs="Times New Roman"/>
          <w:color w:val="000000"/>
          <w:sz w:val="24"/>
          <w:szCs w:val="21"/>
        </w:rPr>
      </w:pPr>
    </w:p>
    <w:p>
      <w:pPr>
        <w:widowControl/>
        <w:jc w:val="left"/>
        <w:rPr>
          <w:rFonts w:hint="eastAsia" w:cs="Times New Roman"/>
          <w:color w:val="000000"/>
          <w:sz w:val="24"/>
          <w:szCs w:val="21"/>
        </w:rPr>
      </w:pPr>
    </w:p>
    <w:p>
      <w:pPr>
        <w:widowControl/>
        <w:jc w:val="left"/>
        <w:rPr>
          <w:rFonts w:hint="eastAsia" w:cs="Times New Roman"/>
          <w:color w:val="000000"/>
          <w:sz w:val="24"/>
          <w:szCs w:val="21"/>
        </w:rPr>
      </w:pPr>
    </w:p>
    <w:p>
      <w:pPr>
        <w:widowControl/>
        <w:jc w:val="left"/>
        <w:rPr>
          <w:rFonts w:hint="eastAsia" w:cs="Times New Roman"/>
          <w:color w:val="000000"/>
          <w:sz w:val="24"/>
          <w:szCs w:val="21"/>
        </w:rPr>
      </w:pPr>
    </w:p>
    <w:p>
      <w:pPr>
        <w:widowControl/>
        <w:jc w:val="left"/>
        <w:rPr>
          <w:rFonts w:hint="eastAsia" w:cs="Times New Roman"/>
          <w:color w:val="000000"/>
          <w:sz w:val="24"/>
          <w:szCs w:val="21"/>
        </w:rPr>
      </w:pPr>
    </w:p>
    <w:p>
      <w:pPr>
        <w:widowControl/>
        <w:jc w:val="left"/>
        <w:rPr>
          <w:rFonts w:cs="Times New Roman"/>
          <w:color w:val="000000"/>
          <w:sz w:val="24"/>
          <w:szCs w:val="21"/>
        </w:rPr>
      </w:pPr>
    </w:p>
    <w:p>
      <w:pPr>
        <w:widowControl/>
        <w:jc w:val="left"/>
        <w:rPr>
          <w:rFonts w:cs="Times New Roman"/>
          <w:color w:val="000000"/>
          <w:sz w:val="24"/>
          <w:szCs w:val="21"/>
        </w:rPr>
      </w:pPr>
    </w:p>
    <w:p>
      <w:pPr>
        <w:widowControl/>
        <w:jc w:val="left"/>
        <w:rPr>
          <w:rFonts w:cs="Times New Roman"/>
          <w:color w:val="000000"/>
          <w:sz w:val="24"/>
          <w:szCs w:val="21"/>
        </w:rPr>
      </w:pPr>
    </w:p>
    <w:tbl>
      <w:tblPr>
        <w:tblStyle w:val="79"/>
        <w:tblW w:w="6354" w:type="dxa"/>
        <w:jc w:val="center"/>
        <w:tblLayout w:type="fixed"/>
        <w:tblCellMar>
          <w:top w:w="0" w:type="dxa"/>
          <w:left w:w="108" w:type="dxa"/>
          <w:bottom w:w="0" w:type="dxa"/>
          <w:right w:w="108" w:type="dxa"/>
        </w:tblCellMar>
      </w:tblPr>
      <w:tblGrid>
        <w:gridCol w:w="1984"/>
        <w:gridCol w:w="1456"/>
        <w:gridCol w:w="1457"/>
        <w:gridCol w:w="1457"/>
      </w:tblGrid>
      <w:tr>
        <w:tblPrEx>
          <w:tblCellMar>
            <w:top w:w="0" w:type="dxa"/>
            <w:left w:w="108" w:type="dxa"/>
            <w:bottom w:w="0" w:type="dxa"/>
            <w:right w:w="108" w:type="dxa"/>
          </w:tblCellMar>
        </w:tblPrEx>
        <w:trPr>
          <w:trHeight w:val="567" w:hRule="atLeast"/>
          <w:jc w:val="center"/>
        </w:trPr>
        <w:tc>
          <w:tcPr>
            <w:tcW w:w="1984" w:type="dxa"/>
            <w:noWrap w:val="0"/>
            <w:vAlign w:val="top"/>
          </w:tcPr>
          <w:p>
            <w:pPr>
              <w:snapToGrid w:val="0"/>
              <w:ind w:right="-304" w:rightChars="-145"/>
              <w:jc w:val="left"/>
              <w:rPr>
                <w:rFonts w:eastAsia="黑体" w:cs="Times New Roman"/>
                <w:color w:val="000000"/>
                <w:sz w:val="28"/>
                <w:szCs w:val="28"/>
              </w:rPr>
            </w:pPr>
            <w:r>
              <w:rPr>
                <w:rFonts w:hAnsi="黑体" w:eastAsia="黑体" w:cs="Times New Roman"/>
                <w:color w:val="000000"/>
                <w:sz w:val="28"/>
                <w:szCs w:val="28"/>
              </w:rPr>
              <w:t>核</w:t>
            </w:r>
            <w:r>
              <w:rPr>
                <w:rFonts w:eastAsia="黑体" w:cs="Times New Roman"/>
                <w:color w:val="000000"/>
                <w:sz w:val="28"/>
                <w:szCs w:val="28"/>
              </w:rPr>
              <w:t xml:space="preserve">        </w:t>
            </w:r>
            <w:r>
              <w:rPr>
                <w:rFonts w:hAnsi="黑体" w:eastAsia="黑体" w:cs="Times New Roman"/>
                <w:color w:val="000000"/>
                <w:sz w:val="28"/>
                <w:szCs w:val="28"/>
              </w:rPr>
              <w:t>定：</w:t>
            </w:r>
          </w:p>
        </w:tc>
        <w:tc>
          <w:tcPr>
            <w:tcW w:w="1456" w:type="dxa"/>
            <w:noWrap w:val="0"/>
            <w:vAlign w:val="top"/>
          </w:tcPr>
          <w:p>
            <w:pPr>
              <w:snapToGrid w:val="0"/>
              <w:rPr>
                <w:rFonts w:hint="eastAsia" w:eastAsia="黑体" w:cs="Times New Roman"/>
                <w:color w:val="000000"/>
                <w:sz w:val="28"/>
                <w:szCs w:val="28"/>
              </w:rPr>
            </w:pPr>
            <w:r>
              <w:rPr>
                <w:rFonts w:hint="eastAsia" w:eastAsia="黑体" w:cs="Times New Roman"/>
                <w:color w:val="000000"/>
                <w:sz w:val="28"/>
                <w:szCs w:val="28"/>
              </w:rPr>
              <w:t>刘  昊</w:t>
            </w:r>
          </w:p>
        </w:tc>
        <w:tc>
          <w:tcPr>
            <w:tcW w:w="1457" w:type="dxa"/>
            <w:noWrap w:val="0"/>
            <w:vAlign w:val="top"/>
          </w:tcPr>
          <w:p>
            <w:pPr>
              <w:snapToGrid w:val="0"/>
              <w:rPr>
                <w:rFonts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r>
      <w:tr>
        <w:tblPrEx>
          <w:tblCellMar>
            <w:top w:w="0" w:type="dxa"/>
            <w:left w:w="108" w:type="dxa"/>
            <w:bottom w:w="0" w:type="dxa"/>
            <w:right w:w="108" w:type="dxa"/>
          </w:tblCellMar>
        </w:tblPrEx>
        <w:trPr>
          <w:trHeight w:val="284" w:hRule="atLeast"/>
          <w:jc w:val="center"/>
        </w:trPr>
        <w:tc>
          <w:tcPr>
            <w:tcW w:w="1984" w:type="dxa"/>
            <w:noWrap w:val="0"/>
            <w:vAlign w:val="top"/>
          </w:tcPr>
          <w:p>
            <w:pPr>
              <w:snapToGrid w:val="0"/>
              <w:ind w:right="-304" w:rightChars="-145"/>
              <w:jc w:val="left"/>
              <w:rPr>
                <w:rFonts w:hAnsi="黑体" w:eastAsia="黑体" w:cs="Times New Roman"/>
                <w:color w:val="000000"/>
                <w:sz w:val="28"/>
                <w:szCs w:val="28"/>
              </w:rPr>
            </w:pPr>
          </w:p>
        </w:tc>
        <w:tc>
          <w:tcPr>
            <w:tcW w:w="1456" w:type="dxa"/>
            <w:noWrap w:val="0"/>
            <w:vAlign w:val="top"/>
          </w:tcPr>
          <w:p>
            <w:pPr>
              <w:snapToGrid w:val="0"/>
              <w:rPr>
                <w:rFonts w:hint="eastAsia"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r>
      <w:tr>
        <w:tblPrEx>
          <w:tblCellMar>
            <w:top w:w="0" w:type="dxa"/>
            <w:left w:w="108" w:type="dxa"/>
            <w:bottom w:w="0" w:type="dxa"/>
            <w:right w:w="108" w:type="dxa"/>
          </w:tblCellMar>
        </w:tblPrEx>
        <w:trPr>
          <w:trHeight w:val="567" w:hRule="atLeast"/>
          <w:jc w:val="center"/>
        </w:trPr>
        <w:tc>
          <w:tcPr>
            <w:tcW w:w="1984" w:type="dxa"/>
            <w:noWrap w:val="0"/>
            <w:vAlign w:val="top"/>
          </w:tcPr>
          <w:p>
            <w:pPr>
              <w:snapToGrid w:val="0"/>
              <w:ind w:right="-304" w:rightChars="-145"/>
              <w:jc w:val="left"/>
              <w:rPr>
                <w:rFonts w:eastAsia="黑体" w:cs="Times New Roman"/>
                <w:color w:val="000000"/>
                <w:sz w:val="28"/>
                <w:szCs w:val="28"/>
              </w:rPr>
            </w:pPr>
            <w:r>
              <w:rPr>
                <w:rFonts w:hAnsi="黑体" w:eastAsia="黑体" w:cs="Times New Roman"/>
                <w:color w:val="000000"/>
                <w:sz w:val="28"/>
                <w:szCs w:val="28"/>
              </w:rPr>
              <w:t>审</w:t>
            </w:r>
            <w:r>
              <w:rPr>
                <w:rFonts w:eastAsia="黑体" w:cs="Times New Roman"/>
                <w:color w:val="000000"/>
                <w:sz w:val="28"/>
                <w:szCs w:val="28"/>
              </w:rPr>
              <w:t xml:space="preserve">        </w:t>
            </w:r>
            <w:r>
              <w:rPr>
                <w:rFonts w:hAnsi="黑体" w:eastAsia="黑体" w:cs="Times New Roman"/>
                <w:color w:val="000000"/>
                <w:sz w:val="28"/>
                <w:szCs w:val="28"/>
              </w:rPr>
              <w:t>查：</w:t>
            </w:r>
          </w:p>
        </w:tc>
        <w:tc>
          <w:tcPr>
            <w:tcW w:w="1456" w:type="dxa"/>
            <w:noWrap w:val="0"/>
            <w:vAlign w:val="top"/>
          </w:tcPr>
          <w:p>
            <w:pPr>
              <w:snapToGrid w:val="0"/>
              <w:rPr>
                <w:rFonts w:hint="eastAsia" w:eastAsia="黑体" w:cs="Times New Roman"/>
                <w:color w:val="000000"/>
                <w:sz w:val="28"/>
                <w:szCs w:val="28"/>
              </w:rPr>
            </w:pPr>
            <w:r>
              <w:rPr>
                <w:rFonts w:hint="eastAsia" w:eastAsia="黑体" w:cs="Times New Roman"/>
                <w:color w:val="000000"/>
                <w:sz w:val="28"/>
                <w:szCs w:val="28"/>
              </w:rPr>
              <w:t>段小芳</w:t>
            </w:r>
          </w:p>
        </w:tc>
        <w:tc>
          <w:tcPr>
            <w:tcW w:w="1457" w:type="dxa"/>
            <w:noWrap w:val="0"/>
            <w:vAlign w:val="top"/>
          </w:tcPr>
          <w:p>
            <w:pPr>
              <w:snapToGrid w:val="0"/>
              <w:rPr>
                <w:rFonts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r>
      <w:tr>
        <w:tblPrEx>
          <w:tblCellMar>
            <w:top w:w="0" w:type="dxa"/>
            <w:left w:w="108" w:type="dxa"/>
            <w:bottom w:w="0" w:type="dxa"/>
            <w:right w:w="108" w:type="dxa"/>
          </w:tblCellMar>
        </w:tblPrEx>
        <w:trPr>
          <w:trHeight w:val="284" w:hRule="atLeast"/>
          <w:jc w:val="center"/>
        </w:trPr>
        <w:tc>
          <w:tcPr>
            <w:tcW w:w="1984" w:type="dxa"/>
            <w:noWrap w:val="0"/>
            <w:vAlign w:val="top"/>
          </w:tcPr>
          <w:p>
            <w:pPr>
              <w:snapToGrid w:val="0"/>
              <w:ind w:right="-304" w:rightChars="-145"/>
              <w:jc w:val="left"/>
              <w:rPr>
                <w:rFonts w:hAnsi="黑体" w:eastAsia="黑体" w:cs="Times New Roman"/>
                <w:color w:val="000000"/>
                <w:sz w:val="28"/>
                <w:szCs w:val="28"/>
              </w:rPr>
            </w:pPr>
          </w:p>
        </w:tc>
        <w:tc>
          <w:tcPr>
            <w:tcW w:w="1456" w:type="dxa"/>
            <w:noWrap w:val="0"/>
            <w:vAlign w:val="top"/>
          </w:tcPr>
          <w:p>
            <w:pPr>
              <w:snapToGrid w:val="0"/>
              <w:rPr>
                <w:rFonts w:hint="eastAsia"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r>
      <w:tr>
        <w:tblPrEx>
          <w:tblCellMar>
            <w:top w:w="0" w:type="dxa"/>
            <w:left w:w="108" w:type="dxa"/>
            <w:bottom w:w="0" w:type="dxa"/>
            <w:right w:w="108" w:type="dxa"/>
          </w:tblCellMar>
        </w:tblPrEx>
        <w:trPr>
          <w:trHeight w:val="567" w:hRule="atLeast"/>
          <w:jc w:val="center"/>
        </w:trPr>
        <w:tc>
          <w:tcPr>
            <w:tcW w:w="1984" w:type="dxa"/>
            <w:noWrap w:val="0"/>
            <w:vAlign w:val="top"/>
          </w:tcPr>
          <w:p>
            <w:pPr>
              <w:snapToGrid w:val="0"/>
              <w:ind w:right="-304" w:rightChars="-145"/>
              <w:jc w:val="left"/>
              <w:rPr>
                <w:rFonts w:eastAsia="黑体" w:cs="Times New Roman"/>
                <w:color w:val="000000"/>
                <w:sz w:val="28"/>
                <w:szCs w:val="28"/>
              </w:rPr>
            </w:pPr>
            <w:r>
              <w:rPr>
                <w:rFonts w:hAnsi="黑体" w:eastAsia="黑体" w:cs="Times New Roman"/>
                <w:color w:val="000000"/>
                <w:sz w:val="28"/>
                <w:szCs w:val="28"/>
              </w:rPr>
              <w:t>校</w:t>
            </w:r>
            <w:r>
              <w:rPr>
                <w:rFonts w:eastAsia="黑体" w:cs="Times New Roman"/>
                <w:color w:val="000000"/>
                <w:sz w:val="28"/>
                <w:szCs w:val="28"/>
              </w:rPr>
              <w:t xml:space="preserve">        </w:t>
            </w:r>
            <w:r>
              <w:rPr>
                <w:rFonts w:hAnsi="黑体" w:eastAsia="黑体" w:cs="Times New Roman"/>
                <w:color w:val="000000"/>
                <w:sz w:val="28"/>
                <w:szCs w:val="28"/>
              </w:rPr>
              <w:t>核：</w:t>
            </w:r>
          </w:p>
        </w:tc>
        <w:tc>
          <w:tcPr>
            <w:tcW w:w="1456" w:type="dxa"/>
            <w:noWrap w:val="0"/>
            <w:vAlign w:val="top"/>
          </w:tcPr>
          <w:p>
            <w:pPr>
              <w:snapToGrid w:val="0"/>
              <w:rPr>
                <w:rFonts w:hint="eastAsia" w:eastAsia="黑体" w:cs="Times New Roman"/>
                <w:color w:val="000000"/>
                <w:sz w:val="28"/>
                <w:szCs w:val="28"/>
              </w:rPr>
            </w:pPr>
            <w:r>
              <w:rPr>
                <w:rFonts w:hint="eastAsia" w:eastAsia="黑体" w:cs="Times New Roman"/>
                <w:color w:val="000000"/>
                <w:sz w:val="28"/>
                <w:szCs w:val="28"/>
              </w:rPr>
              <w:t>陶国通</w:t>
            </w:r>
          </w:p>
        </w:tc>
        <w:tc>
          <w:tcPr>
            <w:tcW w:w="1457" w:type="dxa"/>
            <w:noWrap w:val="0"/>
            <w:vAlign w:val="top"/>
          </w:tcPr>
          <w:p>
            <w:pPr>
              <w:snapToGrid w:val="0"/>
              <w:rPr>
                <w:rFonts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r>
      <w:tr>
        <w:tblPrEx>
          <w:tblCellMar>
            <w:top w:w="0" w:type="dxa"/>
            <w:left w:w="108" w:type="dxa"/>
            <w:bottom w:w="0" w:type="dxa"/>
            <w:right w:w="108" w:type="dxa"/>
          </w:tblCellMar>
        </w:tblPrEx>
        <w:trPr>
          <w:trHeight w:val="284" w:hRule="atLeast"/>
          <w:jc w:val="center"/>
        </w:trPr>
        <w:tc>
          <w:tcPr>
            <w:tcW w:w="1984" w:type="dxa"/>
            <w:noWrap w:val="0"/>
            <w:vAlign w:val="top"/>
          </w:tcPr>
          <w:p>
            <w:pPr>
              <w:snapToGrid w:val="0"/>
              <w:ind w:right="-304" w:rightChars="-145"/>
              <w:jc w:val="left"/>
              <w:rPr>
                <w:rFonts w:hAnsi="黑体" w:eastAsia="黑体" w:cs="Times New Roman"/>
                <w:color w:val="000000"/>
                <w:sz w:val="28"/>
                <w:szCs w:val="28"/>
              </w:rPr>
            </w:pPr>
          </w:p>
        </w:tc>
        <w:tc>
          <w:tcPr>
            <w:tcW w:w="1456" w:type="dxa"/>
            <w:noWrap w:val="0"/>
            <w:vAlign w:val="top"/>
          </w:tcPr>
          <w:p>
            <w:pPr>
              <w:snapToGrid w:val="0"/>
              <w:rPr>
                <w:rFonts w:hint="eastAsia"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r>
      <w:tr>
        <w:tblPrEx>
          <w:tblCellMar>
            <w:top w:w="0" w:type="dxa"/>
            <w:left w:w="108" w:type="dxa"/>
            <w:bottom w:w="0" w:type="dxa"/>
            <w:right w:w="108" w:type="dxa"/>
          </w:tblCellMar>
        </w:tblPrEx>
        <w:trPr>
          <w:trHeight w:val="567" w:hRule="atLeast"/>
          <w:jc w:val="center"/>
        </w:trPr>
        <w:tc>
          <w:tcPr>
            <w:tcW w:w="1984" w:type="dxa"/>
            <w:noWrap w:val="0"/>
            <w:vAlign w:val="top"/>
          </w:tcPr>
          <w:p>
            <w:pPr>
              <w:snapToGrid w:val="0"/>
              <w:ind w:right="-304" w:rightChars="-145"/>
              <w:jc w:val="left"/>
              <w:rPr>
                <w:rFonts w:eastAsia="黑体" w:cs="Times New Roman"/>
                <w:color w:val="000000"/>
                <w:sz w:val="28"/>
                <w:szCs w:val="28"/>
              </w:rPr>
            </w:pPr>
            <w:r>
              <w:rPr>
                <w:rFonts w:hAnsi="黑体" w:eastAsia="黑体" w:cs="Times New Roman"/>
                <w:color w:val="000000"/>
                <w:sz w:val="28"/>
                <w:szCs w:val="28"/>
              </w:rPr>
              <w:t>编</w:t>
            </w:r>
            <w:r>
              <w:rPr>
                <w:rFonts w:eastAsia="黑体" w:cs="Times New Roman"/>
                <w:color w:val="000000"/>
                <w:sz w:val="28"/>
                <w:szCs w:val="28"/>
              </w:rPr>
              <w:t xml:space="preserve">        </w:t>
            </w:r>
            <w:r>
              <w:rPr>
                <w:rFonts w:hAnsi="黑体" w:eastAsia="黑体" w:cs="Times New Roman"/>
                <w:color w:val="000000"/>
                <w:sz w:val="28"/>
                <w:szCs w:val="28"/>
              </w:rPr>
              <w:t>写：</w:t>
            </w:r>
          </w:p>
        </w:tc>
        <w:tc>
          <w:tcPr>
            <w:tcW w:w="1456" w:type="dxa"/>
            <w:noWrap w:val="0"/>
            <w:vAlign w:val="top"/>
          </w:tcPr>
          <w:p>
            <w:pPr>
              <w:snapToGrid w:val="0"/>
              <w:rPr>
                <w:rFonts w:hint="eastAsia" w:eastAsia="黑体" w:cs="Times New Roman"/>
                <w:color w:val="000000"/>
                <w:sz w:val="28"/>
                <w:szCs w:val="28"/>
              </w:rPr>
            </w:pPr>
            <w:r>
              <w:rPr>
                <w:rFonts w:hint="eastAsia" w:eastAsia="黑体" w:cs="Times New Roman"/>
                <w:color w:val="000000"/>
                <w:sz w:val="28"/>
                <w:szCs w:val="28"/>
              </w:rPr>
              <w:t>罗成波</w:t>
            </w:r>
          </w:p>
        </w:tc>
        <w:tc>
          <w:tcPr>
            <w:tcW w:w="1457" w:type="dxa"/>
            <w:noWrap w:val="0"/>
            <w:vAlign w:val="top"/>
          </w:tcPr>
          <w:p>
            <w:pPr>
              <w:snapToGrid w:val="0"/>
              <w:rPr>
                <w:rFonts w:eastAsia="黑体" w:cs="Times New Roman"/>
                <w:color w:val="000000"/>
                <w:sz w:val="28"/>
                <w:szCs w:val="28"/>
              </w:rPr>
            </w:pPr>
            <w:r>
              <w:rPr>
                <w:rFonts w:hint="eastAsia" w:eastAsia="黑体" w:cs="Times New Roman"/>
                <w:color w:val="000000"/>
                <w:sz w:val="28"/>
                <w:szCs w:val="28"/>
              </w:rPr>
              <w:t>佘  鑫</w:t>
            </w:r>
          </w:p>
        </w:tc>
        <w:tc>
          <w:tcPr>
            <w:tcW w:w="1457" w:type="dxa"/>
            <w:noWrap w:val="0"/>
            <w:vAlign w:val="top"/>
          </w:tcPr>
          <w:p>
            <w:pPr>
              <w:snapToGrid w:val="0"/>
              <w:rPr>
                <w:rFonts w:eastAsia="黑体" w:cs="Times New Roman"/>
                <w:color w:val="000000"/>
                <w:sz w:val="28"/>
                <w:szCs w:val="28"/>
              </w:rPr>
            </w:pPr>
            <w:r>
              <w:rPr>
                <w:rFonts w:hint="eastAsia" w:eastAsia="黑体" w:cs="Times New Roman"/>
                <w:color w:val="000000"/>
                <w:sz w:val="28"/>
                <w:szCs w:val="28"/>
              </w:rPr>
              <w:t>朱君杰</w:t>
            </w:r>
          </w:p>
        </w:tc>
      </w:tr>
      <w:tr>
        <w:tblPrEx>
          <w:tblCellMar>
            <w:top w:w="0" w:type="dxa"/>
            <w:left w:w="108" w:type="dxa"/>
            <w:bottom w:w="0" w:type="dxa"/>
            <w:right w:w="108" w:type="dxa"/>
          </w:tblCellMar>
        </w:tblPrEx>
        <w:trPr>
          <w:trHeight w:val="567" w:hRule="atLeast"/>
          <w:jc w:val="center"/>
        </w:trPr>
        <w:tc>
          <w:tcPr>
            <w:tcW w:w="1984" w:type="dxa"/>
            <w:noWrap w:val="0"/>
            <w:vAlign w:val="top"/>
          </w:tcPr>
          <w:p>
            <w:pPr>
              <w:snapToGrid w:val="0"/>
              <w:ind w:right="-304" w:rightChars="-145"/>
              <w:jc w:val="left"/>
              <w:rPr>
                <w:rFonts w:eastAsia="黑体" w:cs="Times New Roman"/>
                <w:color w:val="000000"/>
                <w:sz w:val="28"/>
                <w:szCs w:val="28"/>
              </w:rPr>
            </w:pPr>
          </w:p>
        </w:tc>
        <w:tc>
          <w:tcPr>
            <w:tcW w:w="1456" w:type="dxa"/>
            <w:noWrap w:val="0"/>
            <w:vAlign w:val="top"/>
          </w:tcPr>
          <w:p>
            <w:pPr>
              <w:snapToGrid w:val="0"/>
              <w:rPr>
                <w:rFonts w:eastAsia="黑体" w:cs="Times New Roman"/>
                <w:color w:val="000000"/>
                <w:sz w:val="28"/>
                <w:szCs w:val="28"/>
              </w:rPr>
            </w:pPr>
            <w:r>
              <w:rPr>
                <w:rFonts w:hint="eastAsia" w:eastAsia="黑体" w:cs="Times New Roman"/>
                <w:color w:val="000000"/>
                <w:sz w:val="28"/>
                <w:szCs w:val="28"/>
              </w:rPr>
              <w:t>钟  伟</w:t>
            </w:r>
          </w:p>
        </w:tc>
        <w:tc>
          <w:tcPr>
            <w:tcW w:w="1457" w:type="dxa"/>
            <w:noWrap w:val="0"/>
            <w:vAlign w:val="top"/>
          </w:tcPr>
          <w:p>
            <w:pPr>
              <w:snapToGrid w:val="0"/>
              <w:rPr>
                <w:rFonts w:hint="eastAsia" w:eastAsia="黑体" w:cs="Times New Roman"/>
                <w:color w:val="000000"/>
                <w:sz w:val="28"/>
                <w:szCs w:val="28"/>
              </w:rPr>
            </w:pPr>
            <w:r>
              <w:rPr>
                <w:rFonts w:hint="eastAsia" w:eastAsia="黑体" w:cs="Times New Roman"/>
                <w:color w:val="000000"/>
                <w:sz w:val="28"/>
                <w:szCs w:val="28"/>
              </w:rPr>
              <w:t xml:space="preserve">张 </w:t>
            </w:r>
            <w:r>
              <w:rPr>
                <w:rFonts w:eastAsia="黑体" w:cs="Times New Roman"/>
                <w:color w:val="000000"/>
                <w:sz w:val="28"/>
                <w:szCs w:val="28"/>
              </w:rPr>
              <w:t xml:space="preserve"> </w:t>
            </w:r>
            <w:r>
              <w:rPr>
                <w:rFonts w:hint="eastAsia" w:eastAsia="黑体" w:cs="Times New Roman"/>
                <w:color w:val="000000"/>
                <w:sz w:val="28"/>
                <w:szCs w:val="28"/>
              </w:rPr>
              <w:t>翔</w:t>
            </w:r>
          </w:p>
        </w:tc>
        <w:tc>
          <w:tcPr>
            <w:tcW w:w="1457" w:type="dxa"/>
            <w:noWrap w:val="0"/>
            <w:vAlign w:val="top"/>
          </w:tcPr>
          <w:p>
            <w:pPr>
              <w:snapToGrid w:val="0"/>
              <w:rPr>
                <w:rFonts w:eastAsia="黑体" w:cs="Times New Roman"/>
                <w:color w:val="000000"/>
                <w:sz w:val="28"/>
                <w:szCs w:val="28"/>
              </w:rPr>
            </w:pPr>
          </w:p>
        </w:tc>
      </w:tr>
      <w:tr>
        <w:tblPrEx>
          <w:tblCellMar>
            <w:top w:w="0" w:type="dxa"/>
            <w:left w:w="108" w:type="dxa"/>
            <w:bottom w:w="0" w:type="dxa"/>
            <w:right w:w="108" w:type="dxa"/>
          </w:tblCellMar>
        </w:tblPrEx>
        <w:trPr>
          <w:trHeight w:val="284" w:hRule="atLeast"/>
          <w:jc w:val="center"/>
        </w:trPr>
        <w:tc>
          <w:tcPr>
            <w:tcW w:w="1984" w:type="dxa"/>
            <w:noWrap w:val="0"/>
            <w:vAlign w:val="top"/>
          </w:tcPr>
          <w:p>
            <w:pPr>
              <w:snapToGrid w:val="0"/>
              <w:ind w:right="-304" w:rightChars="-145"/>
              <w:jc w:val="left"/>
              <w:rPr>
                <w:rFonts w:eastAsia="黑体" w:cs="Times New Roman"/>
                <w:color w:val="000000"/>
                <w:sz w:val="28"/>
                <w:szCs w:val="28"/>
              </w:rPr>
            </w:pPr>
          </w:p>
        </w:tc>
        <w:tc>
          <w:tcPr>
            <w:tcW w:w="1456" w:type="dxa"/>
            <w:noWrap w:val="0"/>
            <w:vAlign w:val="top"/>
          </w:tcPr>
          <w:p>
            <w:pPr>
              <w:snapToGrid w:val="0"/>
              <w:rPr>
                <w:rFonts w:hint="eastAsia" w:eastAsia="黑体" w:cs="Times New Roman"/>
                <w:color w:val="000000"/>
                <w:sz w:val="28"/>
                <w:szCs w:val="28"/>
              </w:rPr>
            </w:pPr>
          </w:p>
        </w:tc>
        <w:tc>
          <w:tcPr>
            <w:tcW w:w="1457" w:type="dxa"/>
            <w:noWrap w:val="0"/>
            <w:vAlign w:val="top"/>
          </w:tcPr>
          <w:p>
            <w:pPr>
              <w:snapToGrid w:val="0"/>
              <w:rPr>
                <w:rFonts w:hint="eastAsia" w:eastAsia="黑体" w:cs="Times New Roman"/>
                <w:color w:val="000000"/>
                <w:sz w:val="28"/>
                <w:szCs w:val="28"/>
              </w:rPr>
            </w:pPr>
          </w:p>
        </w:tc>
        <w:tc>
          <w:tcPr>
            <w:tcW w:w="1457" w:type="dxa"/>
            <w:noWrap w:val="0"/>
            <w:vAlign w:val="top"/>
          </w:tcPr>
          <w:p>
            <w:pPr>
              <w:snapToGrid w:val="0"/>
              <w:rPr>
                <w:rFonts w:eastAsia="黑体" w:cs="Times New Roman"/>
                <w:color w:val="000000"/>
                <w:sz w:val="28"/>
                <w:szCs w:val="28"/>
              </w:rPr>
            </w:pPr>
          </w:p>
        </w:tc>
      </w:tr>
      <w:tr>
        <w:tblPrEx>
          <w:tblCellMar>
            <w:top w:w="0" w:type="dxa"/>
            <w:left w:w="108" w:type="dxa"/>
            <w:bottom w:w="0" w:type="dxa"/>
            <w:right w:w="108" w:type="dxa"/>
          </w:tblCellMar>
        </w:tblPrEx>
        <w:trPr>
          <w:trHeight w:val="567" w:hRule="atLeast"/>
          <w:jc w:val="center"/>
        </w:trPr>
        <w:tc>
          <w:tcPr>
            <w:tcW w:w="1984" w:type="dxa"/>
            <w:noWrap w:val="0"/>
            <w:vAlign w:val="top"/>
          </w:tcPr>
          <w:p>
            <w:pPr>
              <w:snapToGrid w:val="0"/>
              <w:ind w:right="-304" w:rightChars="-145"/>
              <w:jc w:val="left"/>
              <w:rPr>
                <w:rFonts w:eastAsia="黑体" w:cs="Times New Roman"/>
                <w:color w:val="000000"/>
                <w:sz w:val="28"/>
                <w:szCs w:val="28"/>
              </w:rPr>
            </w:pPr>
            <w:r>
              <w:rPr>
                <w:rFonts w:hAnsi="黑体" w:eastAsia="黑体" w:cs="Times New Roman"/>
                <w:color w:val="000000"/>
                <w:sz w:val="28"/>
                <w:szCs w:val="28"/>
              </w:rPr>
              <w:t>参加工作人员：</w:t>
            </w:r>
          </w:p>
        </w:tc>
        <w:tc>
          <w:tcPr>
            <w:tcW w:w="1456" w:type="dxa"/>
            <w:noWrap w:val="0"/>
            <w:vAlign w:val="top"/>
          </w:tcPr>
          <w:p>
            <w:pPr>
              <w:snapToGrid w:val="0"/>
              <w:rPr>
                <w:rFonts w:hint="eastAsia" w:eastAsia="黑体" w:cs="Times New Roman"/>
                <w:color w:val="000000"/>
                <w:sz w:val="28"/>
                <w:szCs w:val="28"/>
              </w:rPr>
            </w:pPr>
            <w:r>
              <w:rPr>
                <w:rFonts w:hint="eastAsia" w:eastAsia="黑体" w:cs="Times New Roman"/>
                <w:color w:val="000000"/>
                <w:sz w:val="28"/>
                <w:szCs w:val="28"/>
              </w:rPr>
              <w:t xml:space="preserve">刘 </w:t>
            </w:r>
            <w:r>
              <w:rPr>
                <w:rFonts w:eastAsia="黑体" w:cs="Times New Roman"/>
                <w:color w:val="000000"/>
                <w:sz w:val="28"/>
                <w:szCs w:val="28"/>
              </w:rPr>
              <w:t xml:space="preserve"> </w:t>
            </w:r>
            <w:r>
              <w:rPr>
                <w:rFonts w:hint="eastAsia" w:eastAsia="黑体" w:cs="Times New Roman"/>
                <w:color w:val="000000"/>
                <w:sz w:val="28"/>
                <w:szCs w:val="28"/>
              </w:rPr>
              <w:t>轶</w:t>
            </w:r>
          </w:p>
        </w:tc>
        <w:tc>
          <w:tcPr>
            <w:tcW w:w="1457" w:type="dxa"/>
            <w:noWrap w:val="0"/>
            <w:vAlign w:val="top"/>
          </w:tcPr>
          <w:p>
            <w:pPr>
              <w:snapToGrid w:val="0"/>
              <w:rPr>
                <w:rFonts w:eastAsia="黑体" w:cs="Times New Roman"/>
                <w:color w:val="000000"/>
                <w:sz w:val="28"/>
                <w:szCs w:val="28"/>
              </w:rPr>
            </w:pPr>
            <w:r>
              <w:rPr>
                <w:rFonts w:hint="eastAsia" w:eastAsia="黑体" w:cs="Times New Roman"/>
                <w:color w:val="000000"/>
                <w:sz w:val="28"/>
                <w:szCs w:val="28"/>
              </w:rPr>
              <w:t>覃正华</w:t>
            </w:r>
          </w:p>
        </w:tc>
        <w:tc>
          <w:tcPr>
            <w:tcW w:w="1457" w:type="dxa"/>
            <w:noWrap w:val="0"/>
            <w:vAlign w:val="top"/>
          </w:tcPr>
          <w:p>
            <w:pPr>
              <w:snapToGrid w:val="0"/>
              <w:rPr>
                <w:rFonts w:hint="eastAsia" w:eastAsia="黑体" w:cs="Times New Roman"/>
                <w:color w:val="000000"/>
                <w:sz w:val="28"/>
                <w:szCs w:val="28"/>
              </w:rPr>
            </w:pPr>
            <w:r>
              <w:rPr>
                <w:rFonts w:hint="eastAsia" w:eastAsia="黑体" w:cs="Times New Roman"/>
                <w:color w:val="000000"/>
                <w:sz w:val="28"/>
                <w:szCs w:val="28"/>
              </w:rPr>
              <w:t>朱  瑾</w:t>
            </w:r>
          </w:p>
        </w:tc>
      </w:tr>
      <w:tr>
        <w:tblPrEx>
          <w:tblCellMar>
            <w:top w:w="0" w:type="dxa"/>
            <w:left w:w="108" w:type="dxa"/>
            <w:bottom w:w="0" w:type="dxa"/>
            <w:right w:w="108" w:type="dxa"/>
          </w:tblCellMar>
        </w:tblPrEx>
        <w:trPr>
          <w:trHeight w:val="567" w:hRule="atLeast"/>
          <w:jc w:val="center"/>
        </w:trPr>
        <w:tc>
          <w:tcPr>
            <w:tcW w:w="1984" w:type="dxa"/>
            <w:noWrap w:val="0"/>
            <w:vAlign w:val="top"/>
          </w:tcPr>
          <w:p>
            <w:pPr>
              <w:snapToGrid w:val="0"/>
              <w:ind w:right="-304" w:rightChars="-145"/>
              <w:jc w:val="left"/>
              <w:rPr>
                <w:rFonts w:eastAsia="黑体" w:cs="Times New Roman"/>
                <w:color w:val="000000"/>
                <w:sz w:val="28"/>
                <w:szCs w:val="28"/>
              </w:rPr>
            </w:pPr>
          </w:p>
        </w:tc>
        <w:tc>
          <w:tcPr>
            <w:tcW w:w="1456" w:type="dxa"/>
            <w:noWrap w:val="0"/>
            <w:vAlign w:val="top"/>
          </w:tcPr>
          <w:p>
            <w:pPr>
              <w:snapToGrid w:val="0"/>
              <w:rPr>
                <w:rFonts w:eastAsia="黑体" w:cs="Times New Roman"/>
                <w:color w:val="000000"/>
                <w:sz w:val="28"/>
                <w:szCs w:val="28"/>
              </w:rPr>
            </w:pPr>
            <w:r>
              <w:rPr>
                <w:rFonts w:hint="eastAsia" w:eastAsia="黑体" w:cs="Times New Roman"/>
                <w:color w:val="000000"/>
                <w:sz w:val="28"/>
                <w:szCs w:val="28"/>
              </w:rPr>
              <w:t>刘  逵</w:t>
            </w:r>
          </w:p>
        </w:tc>
        <w:tc>
          <w:tcPr>
            <w:tcW w:w="1457" w:type="dxa"/>
            <w:noWrap w:val="0"/>
            <w:vAlign w:val="top"/>
          </w:tcPr>
          <w:p>
            <w:pPr>
              <w:snapToGrid w:val="0"/>
              <w:rPr>
                <w:rFonts w:eastAsia="黑体" w:cs="Times New Roman"/>
                <w:color w:val="000000"/>
                <w:sz w:val="28"/>
                <w:szCs w:val="28"/>
              </w:rPr>
            </w:pPr>
            <w:r>
              <w:rPr>
                <w:rFonts w:hint="eastAsia" w:eastAsia="黑体" w:cs="Times New Roman"/>
                <w:color w:val="000000"/>
                <w:sz w:val="28"/>
                <w:szCs w:val="28"/>
              </w:rPr>
              <w:t>谭志锋</w:t>
            </w:r>
          </w:p>
        </w:tc>
        <w:tc>
          <w:tcPr>
            <w:tcW w:w="1457" w:type="dxa"/>
            <w:noWrap w:val="0"/>
            <w:vAlign w:val="top"/>
          </w:tcPr>
          <w:p>
            <w:pPr>
              <w:snapToGrid w:val="0"/>
              <w:rPr>
                <w:rFonts w:eastAsia="黑体" w:cs="Times New Roman"/>
                <w:color w:val="000000"/>
                <w:sz w:val="28"/>
                <w:szCs w:val="28"/>
              </w:rPr>
            </w:pPr>
          </w:p>
        </w:tc>
      </w:tr>
    </w:tbl>
    <w:p>
      <w:pPr>
        <w:widowControl/>
        <w:jc w:val="left"/>
        <w:rPr>
          <w:rFonts w:cs="Times New Roman"/>
          <w:color w:val="000000"/>
          <w:sz w:val="24"/>
          <w:szCs w:val="21"/>
        </w:rPr>
      </w:pPr>
    </w:p>
    <w:p>
      <w:pPr>
        <w:widowControl/>
        <w:jc w:val="left"/>
        <w:rPr>
          <w:color w:val="000000"/>
          <w:sz w:val="24"/>
          <w:szCs w:val="21"/>
        </w:rPr>
        <w:sectPr>
          <w:footerReference r:id="rId25" w:type="default"/>
          <w:pgSz w:w="11906" w:h="16838"/>
          <w:pgMar w:top="1588" w:right="1559" w:bottom="1531" w:left="1559" w:header="1134" w:footer="1247" w:gutter="0"/>
          <w:cols w:space="720" w:num="1"/>
          <w:docGrid w:linePitch="326" w:charSpace="0"/>
        </w:sectPr>
      </w:pPr>
    </w:p>
    <w:p>
      <w:pPr>
        <w:rPr>
          <w:rFonts w:hint="eastAsia" w:cs="Times New Roman"/>
          <w:color w:val="000000"/>
          <w:szCs w:val="22"/>
        </w:rPr>
      </w:pPr>
    </w:p>
    <w:p>
      <w:pPr>
        <w:snapToGrid w:val="0"/>
        <w:spacing w:before="120" w:beforeLines="50" w:after="120" w:afterLines="50"/>
        <w:jc w:val="center"/>
        <w:rPr>
          <w:rFonts w:hint="eastAsia" w:ascii="黑体" w:hAnsi="黑体" w:eastAsia="黑体" w:cs="Tahoma"/>
          <w:bCs/>
          <w:color w:val="000000"/>
          <w:sz w:val="30"/>
          <w:szCs w:val="28"/>
        </w:rPr>
      </w:pPr>
      <w:r>
        <w:rPr>
          <w:rFonts w:ascii="黑体" w:hAnsi="黑体" w:eastAsia="黑体" w:cs="Tahoma"/>
          <w:bCs/>
          <w:color w:val="000000"/>
          <w:sz w:val="30"/>
          <w:szCs w:val="28"/>
        </w:rPr>
        <w:t>目</w:t>
      </w:r>
      <w:r>
        <w:rPr>
          <w:rFonts w:hint="eastAsia" w:ascii="黑体" w:hAnsi="黑体" w:eastAsia="黑体" w:cs="Tahoma"/>
          <w:bCs/>
          <w:color w:val="000000"/>
          <w:sz w:val="30"/>
          <w:szCs w:val="28"/>
        </w:rPr>
        <w:t xml:space="preserve">    </w:t>
      </w:r>
      <w:r>
        <w:rPr>
          <w:rFonts w:ascii="黑体" w:hAnsi="黑体" w:eastAsia="黑体" w:cs="Tahoma"/>
          <w:bCs/>
          <w:color w:val="000000"/>
          <w:sz w:val="30"/>
          <w:szCs w:val="28"/>
        </w:rPr>
        <w:t>录</w:t>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Fonts w:ascii="Times New Roman" w:hAnsi="Times New Roman" w:eastAsia="宋体" w:cs="Times New Roman"/>
          <w:b w:val="0"/>
          <w:bCs/>
          <w:caps/>
          <w:color w:val="000000"/>
          <w:kern w:val="2"/>
          <w:sz w:val="25"/>
          <w:szCs w:val="25"/>
          <w:lang w:val="en-US" w:eastAsia="zh-CN" w:bidi="ar-SA"/>
        </w:rPr>
        <w:fldChar w:fldCharType="begin"/>
      </w:r>
      <w:r>
        <w:rPr>
          <w:rFonts w:ascii="Times New Roman" w:hAnsi="Times New Roman" w:eastAsia="宋体" w:cs="Times New Roman"/>
          <w:b w:val="0"/>
          <w:bCs/>
          <w:caps/>
          <w:color w:val="000000"/>
          <w:kern w:val="2"/>
          <w:sz w:val="25"/>
          <w:szCs w:val="25"/>
          <w:lang w:val="en-US" w:eastAsia="zh-CN" w:bidi="ar-SA"/>
        </w:rPr>
        <w:instrText xml:space="preserve"> TOC \o "1-2" \h \z \u </w:instrText>
      </w:r>
      <w:r>
        <w:rPr>
          <w:rFonts w:ascii="Times New Roman" w:hAnsi="Times New Roman" w:eastAsia="宋体" w:cs="Times New Roman"/>
          <w:b w:val="0"/>
          <w:bCs/>
          <w:caps/>
          <w:color w:val="000000"/>
          <w:kern w:val="2"/>
          <w:sz w:val="25"/>
          <w:szCs w:val="25"/>
          <w:lang w:val="en-US" w:eastAsia="zh-CN" w:bidi="ar-SA"/>
        </w:rPr>
        <w:fldChar w:fldCharType="separate"/>
      </w: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"_Toc90945231"</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napToGrid w:val="0"/>
          <w:spacing w:val="4"/>
          <w:sz w:val="25"/>
          <w:szCs w:val="25"/>
          <w:lang w:val="zh-CN"/>
        </w:rPr>
        <w:t xml:space="preserve">1  </w:t>
      </w:r>
      <w:r>
        <w:rPr>
          <w:rStyle w:val="93"/>
          <w:rFonts w:ascii="Times New Roman" w:hAnsi="黑体" w:eastAsia="黑体" w:cs="Times New Roman"/>
          <w:b w:val="0"/>
          <w:bCs/>
          <w:caps/>
          <w:snapToGrid w:val="0"/>
          <w:spacing w:val="4"/>
          <w:sz w:val="25"/>
          <w:szCs w:val="25"/>
          <w:lang w:val="zh-CN"/>
        </w:rPr>
        <w:t>概述</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_Toc90945231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1</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"_Toc90945232"</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1.1  </w:t>
      </w:r>
      <w:r>
        <w:rPr>
          <w:rStyle w:val="93"/>
          <w:rFonts w:ascii="Times New Roman" w:cs="Times New Roman"/>
          <w:smallCaps/>
          <w:snapToGrid w:val="0"/>
          <w:kern w:val="0"/>
          <w:sz w:val="25"/>
          <w:szCs w:val="25"/>
        </w:rPr>
        <w:t>枢纽工程概况</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_Toc90945232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1</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"_Toc90945233"</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z w:val="25"/>
          <w:szCs w:val="25"/>
        </w:rPr>
        <w:t xml:space="preserve">1.2  </w:t>
      </w:r>
      <w:r>
        <w:rPr>
          <w:rStyle w:val="93"/>
          <w:rFonts w:ascii="Times New Roman" w:hAnsi="Times New Roman" w:cs="Times New Roman"/>
          <w:smallCaps/>
          <w:snapToGrid w:val="0"/>
          <w:spacing w:val="4"/>
          <w:kern w:val="0"/>
          <w:sz w:val="25"/>
          <w:szCs w:val="25"/>
        </w:rPr>
        <w:t>建设征地区概况</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_Toc90945233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2</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"_Toc90945234"</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2  </w:t>
      </w:r>
      <w:r>
        <w:rPr>
          <w:rStyle w:val="93"/>
          <w:rFonts w:ascii="Times New Roman" w:hAnsi="黑体" w:eastAsia="黑体" w:cs="Times New Roman"/>
          <w:b w:val="0"/>
          <w:bCs/>
          <w:caps/>
          <w:snapToGrid w:val="0"/>
          <w:sz w:val="25"/>
          <w:szCs w:val="25"/>
          <w:lang w:val="zh-CN"/>
        </w:rPr>
        <w:t>主要工作过程和成果</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_Toc90945234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5</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"_Toc90945235"</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2.1  工作过程</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_Toc90945235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5</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"_Toc90945236"</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z w:val="25"/>
          <w:szCs w:val="25"/>
        </w:rPr>
        <w:t>2.2  主要工作成果</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_Toc90945236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6</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"_Toc90945237"</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3  </w:t>
      </w:r>
      <w:r>
        <w:rPr>
          <w:rStyle w:val="93"/>
          <w:rFonts w:ascii="Times New Roman" w:hAnsi="黑体" w:eastAsia="黑体" w:cs="Times New Roman"/>
          <w:b w:val="0"/>
          <w:bCs/>
          <w:caps/>
          <w:sz w:val="25"/>
          <w:szCs w:val="25"/>
        </w:rPr>
        <w:t>调查依据、原则、目的</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_Toc90945237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8</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"_Toc90945238"</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3.1  调查依据</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_Toc90945238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8</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"_Toc90945239"</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4  </w:t>
      </w:r>
      <w:r>
        <w:rPr>
          <w:rStyle w:val="93"/>
          <w:rFonts w:ascii="Times New Roman" w:hAnsi="黑体" w:eastAsia="黑体" w:cs="Times New Roman"/>
          <w:b w:val="0"/>
          <w:bCs/>
          <w:caps/>
          <w:sz w:val="25"/>
          <w:szCs w:val="25"/>
        </w:rPr>
        <w:t>调查组织形式与分工</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_Toc90945239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11</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"_Toc90945240"</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4.1  </w:t>
      </w:r>
      <w:r>
        <w:rPr>
          <w:rStyle w:val="93"/>
          <w:rFonts w:ascii="Times New Roman" w:cs="Times New Roman"/>
          <w:smallCaps/>
          <w:snapToGrid w:val="0"/>
          <w:kern w:val="0"/>
          <w:sz w:val="25"/>
          <w:szCs w:val="25"/>
        </w:rPr>
        <w:t>实物指标调查组织</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_Toc90945240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11</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"_Toc90945241"</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4.2  </w:t>
      </w:r>
      <w:r>
        <w:rPr>
          <w:rStyle w:val="93"/>
          <w:rFonts w:ascii="Times New Roman" w:cs="Times New Roman"/>
          <w:smallCaps/>
          <w:snapToGrid w:val="0"/>
          <w:kern w:val="0"/>
          <w:sz w:val="25"/>
          <w:szCs w:val="25"/>
        </w:rPr>
        <w:t>实物指标调查工作各方的职责分工</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_Toc90945241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12</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"_Toc90945242"</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4.3  宣传动员工作</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_Toc90945242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15</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"_Toc90945243"</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5  </w:t>
      </w:r>
      <w:r>
        <w:rPr>
          <w:rStyle w:val="93"/>
          <w:rFonts w:ascii="Times New Roman" w:hAnsi="黑体" w:eastAsia="黑体" w:cs="Times New Roman"/>
          <w:b w:val="0"/>
          <w:bCs/>
          <w:caps/>
          <w:sz w:val="25"/>
          <w:szCs w:val="25"/>
        </w:rPr>
        <w:t>建设征地处理范围</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_Toc90945243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16</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"_Toc90945244"</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5.1  </w:t>
      </w:r>
      <w:r>
        <w:rPr>
          <w:rStyle w:val="93"/>
          <w:rFonts w:ascii="Times New Roman" w:cs="Times New Roman"/>
          <w:smallCaps/>
          <w:snapToGrid w:val="0"/>
          <w:kern w:val="0"/>
          <w:sz w:val="25"/>
          <w:szCs w:val="25"/>
        </w:rPr>
        <w:t>水库淹没影响区</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_Toc90945244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16</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"_Toc90945245"</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5.2  </w:t>
      </w:r>
      <w:r>
        <w:rPr>
          <w:rStyle w:val="93"/>
          <w:rFonts w:ascii="Times New Roman" w:cs="Times New Roman"/>
          <w:smallCaps/>
          <w:snapToGrid w:val="0"/>
          <w:kern w:val="0"/>
          <w:sz w:val="25"/>
          <w:szCs w:val="25"/>
        </w:rPr>
        <w:t>枢纽工程建设区</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_Toc90945245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21</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"_Toc90945246"</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6  </w:t>
      </w:r>
      <w:r>
        <w:rPr>
          <w:rStyle w:val="93"/>
          <w:rFonts w:ascii="Times New Roman" w:hAnsi="黑体" w:eastAsia="黑体" w:cs="Times New Roman"/>
          <w:b w:val="0"/>
          <w:bCs/>
          <w:caps/>
          <w:sz w:val="25"/>
          <w:szCs w:val="25"/>
        </w:rPr>
        <w:t>调查内容和方法</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_Toc90945246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27</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"_Toc90945247"</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6.1  农村调查</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_Toc90945247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27</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"_Toc90945248"</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6.2  专业项目调查</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_Toc90945248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29</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"_Toc90945249"</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6.3  </w:t>
      </w:r>
      <w:r>
        <w:rPr>
          <w:rStyle w:val="93"/>
          <w:rFonts w:ascii="Times New Roman" w:cs="Times New Roman"/>
          <w:smallCaps/>
          <w:snapToGrid w:val="0"/>
          <w:kern w:val="0"/>
          <w:sz w:val="25"/>
          <w:szCs w:val="25"/>
        </w:rPr>
        <w:t>企事业单位调查</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_Toc90945249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30</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"_Toc90945250"</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6.4  </w:t>
      </w:r>
      <w:r>
        <w:rPr>
          <w:rStyle w:val="93"/>
          <w:rFonts w:ascii="Times New Roman" w:cs="Times New Roman"/>
          <w:smallCaps/>
          <w:snapToGrid w:val="0"/>
          <w:kern w:val="0"/>
          <w:sz w:val="25"/>
          <w:szCs w:val="25"/>
        </w:rPr>
        <w:t>个体工商户调查</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_Toc90945250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31</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"_Toc90945251"</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6.5  经济社会调查</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_Toc90945251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31</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"_Toc90945252"</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6.6  </w:t>
      </w:r>
      <w:r>
        <w:rPr>
          <w:rStyle w:val="93"/>
          <w:rFonts w:ascii="Times New Roman" w:cs="Times New Roman"/>
          <w:smallCaps/>
          <w:snapToGrid w:val="0"/>
          <w:kern w:val="0"/>
          <w:sz w:val="25"/>
          <w:szCs w:val="25"/>
        </w:rPr>
        <w:t>实物指标公示、复核</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_Toc90945252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31</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"_Toc90945253"</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6.7  成果确认</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_Toc90945253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33</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"_Toc90945254"</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7  </w:t>
      </w:r>
      <w:r>
        <w:rPr>
          <w:rStyle w:val="93"/>
          <w:rFonts w:ascii="Times New Roman" w:hAnsi="黑体" w:eastAsia="黑体" w:cs="Times New Roman"/>
          <w:b w:val="0"/>
          <w:bCs/>
          <w:caps/>
          <w:sz w:val="25"/>
          <w:szCs w:val="25"/>
        </w:rPr>
        <w:t>经济社会调查</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_Toc90945254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34</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"_Toc90945255"</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7.1  收集资料</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_Toc90945255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34</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"_Toc90945256"</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7.2  社会经济概况</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_Toc90945256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34</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"_Toc90945257"</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8  </w:t>
      </w:r>
      <w:r>
        <w:rPr>
          <w:rStyle w:val="93"/>
          <w:rFonts w:ascii="Times New Roman" w:hAnsi="黑体" w:eastAsia="黑体" w:cs="Times New Roman"/>
          <w:b w:val="0"/>
          <w:bCs/>
          <w:caps/>
          <w:sz w:val="25"/>
          <w:szCs w:val="25"/>
        </w:rPr>
        <w:t>实物指标调查成果</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_Toc90945257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36</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"_Toc90945258"</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8.1  土地</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_Toc90945258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50</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"_Toc90945259"</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8.2  搬迁人口</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_Toc90945259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53</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"_Toc90945260"</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8.3  </w:t>
      </w:r>
      <w:r>
        <w:rPr>
          <w:rStyle w:val="93"/>
          <w:rFonts w:ascii="Times New Roman" w:cs="Times New Roman"/>
          <w:smallCaps/>
          <w:snapToGrid w:val="0"/>
          <w:kern w:val="0"/>
          <w:sz w:val="25"/>
          <w:szCs w:val="25"/>
        </w:rPr>
        <w:t>房屋、附属设施及装修</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_Toc90945260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53</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"_Toc90945261"</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8.4  零星树木</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_Toc90945261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54</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"_Toc90945262"</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8.5  坟墓</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_Toc90945262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58</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"_Toc90945263"</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8.6  </w:t>
      </w:r>
      <w:r>
        <w:rPr>
          <w:rStyle w:val="93"/>
          <w:rFonts w:ascii="Times New Roman" w:cs="Times New Roman"/>
          <w:smallCaps/>
          <w:snapToGrid w:val="0"/>
          <w:kern w:val="0"/>
          <w:sz w:val="25"/>
          <w:szCs w:val="25"/>
        </w:rPr>
        <w:t>农村小型专项</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_Toc90945263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58</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"_Toc90945264"</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8.7  专项设施</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_Toc90945264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59</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"_Toc90945265"</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8.8  文物古迹</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_Toc90945265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67</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"_Toc90945266"</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z w:val="25"/>
          <w:szCs w:val="25"/>
        </w:rPr>
        <w:t xml:space="preserve">8.9  </w:t>
      </w:r>
      <w:r>
        <w:rPr>
          <w:rStyle w:val="93"/>
          <w:rFonts w:ascii="Times New Roman" w:cs="Times New Roman"/>
          <w:smallCaps/>
          <w:sz w:val="25"/>
          <w:szCs w:val="25"/>
        </w:rPr>
        <w:t>压覆矿产资源</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_Toc90945266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67</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"_Toc90945267"</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8.10  </w:t>
      </w:r>
      <w:r>
        <w:rPr>
          <w:rStyle w:val="93"/>
          <w:rFonts w:ascii="Times New Roman" w:cs="Times New Roman"/>
          <w:smallCaps/>
          <w:snapToGrid w:val="0"/>
          <w:kern w:val="0"/>
          <w:sz w:val="25"/>
          <w:szCs w:val="25"/>
        </w:rPr>
        <w:t>永久基本农田和公益林</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_Toc90945267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67</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"_Toc90945268"</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9  </w:t>
      </w:r>
      <w:r>
        <w:rPr>
          <w:rStyle w:val="93"/>
          <w:rFonts w:ascii="Times New Roman" w:hAnsi="黑体" w:eastAsia="黑体" w:cs="Times New Roman"/>
          <w:b w:val="0"/>
          <w:bCs/>
          <w:caps/>
          <w:sz w:val="25"/>
          <w:szCs w:val="25"/>
        </w:rPr>
        <w:t>实物指标特点分析</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_Toc90945268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68</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"_Toc90945269"</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9.1  人口</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_Toc90945269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68</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"_Toc90945270"</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9.2  土地</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_Toc90945270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68</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"_Toc90945271"</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 xml:space="preserve">9.3  </w:t>
      </w:r>
      <w:r>
        <w:rPr>
          <w:rStyle w:val="93"/>
          <w:rFonts w:ascii="Times New Roman" w:cs="Times New Roman"/>
          <w:smallCaps/>
          <w:snapToGrid w:val="0"/>
          <w:kern w:val="0"/>
          <w:sz w:val="25"/>
          <w:szCs w:val="25"/>
        </w:rPr>
        <w:t>房屋</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_Toc90945271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71</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"_Toc90945272"</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napToGrid w:val="0"/>
          <w:kern w:val="0"/>
          <w:sz w:val="25"/>
          <w:szCs w:val="25"/>
        </w:rPr>
        <w:t>9.4  专业项目</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_Toc90945272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73</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before="0" w:after="0" w:line="480" w:lineRule="exact"/>
        <w:jc w:val="both"/>
        <w:rPr>
          <w:rFonts w:ascii="Times New Roman" w:hAnsi="Times New Roman" w:eastAsia="黑体" w:cs="Times New Roman"/>
          <w:b w:val="0"/>
          <w:bCs w:val="0"/>
          <w:caps w:val="0"/>
          <w:kern w:val="2"/>
          <w:sz w:val="25"/>
          <w:szCs w:val="25"/>
          <w:lang w:val="en-US" w:eastAsia="zh-CN" w:bidi="ar-SA"/>
        </w:rPr>
      </w:pPr>
      <w:r>
        <w:rPr>
          <w:rStyle w:val="93"/>
          <w:rFonts w:ascii="Times New Roman" w:hAnsi="Times New Roman" w:eastAsia="黑体" w:cs="Times New Roman"/>
          <w:b w:val="0"/>
          <w:bCs/>
          <w:caps/>
          <w:sz w:val="25"/>
          <w:szCs w:val="25"/>
        </w:rPr>
        <w:fldChar w:fldCharType="begin"/>
      </w:r>
      <w:r>
        <w:rPr>
          <w:rStyle w:val="93"/>
          <w:rFonts w:ascii="Times New Roman" w:hAnsi="Times New Roman" w:eastAsia="黑体" w:cs="Times New Roman"/>
          <w:b w:val="0"/>
          <w:bCs/>
          <w:caps/>
          <w:sz w:val="25"/>
          <w:szCs w:val="25"/>
        </w:rPr>
        <w:instrText xml:space="preserve"> </w:instrText>
      </w:r>
      <w:r>
        <w:rPr>
          <w:rFonts w:ascii="Times New Roman" w:hAnsi="Times New Roman" w:eastAsia="黑体" w:cs="Times New Roman"/>
          <w:b w:val="0"/>
          <w:bCs/>
          <w:caps/>
          <w:kern w:val="2"/>
          <w:sz w:val="25"/>
          <w:szCs w:val="25"/>
          <w:lang w:val="en-US" w:eastAsia="zh-CN" w:bidi="ar-SA"/>
        </w:rPr>
        <w:instrText xml:space="preserve">HYPERLINK \l "_Toc90945273"</w:instrText>
      </w:r>
      <w:r>
        <w:rPr>
          <w:rStyle w:val="93"/>
          <w:rFonts w:ascii="Times New Roman" w:hAnsi="Times New Roman" w:eastAsia="黑体" w:cs="Times New Roman"/>
          <w:b w:val="0"/>
          <w:bCs/>
          <w:caps/>
          <w:sz w:val="25"/>
          <w:szCs w:val="25"/>
        </w:rPr>
        <w:instrText xml:space="preserve"> </w:instrText>
      </w:r>
      <w:r>
        <w:rPr>
          <w:rStyle w:val="93"/>
          <w:rFonts w:ascii="Times New Roman" w:hAnsi="Times New Roman" w:eastAsia="黑体" w:cs="Times New Roman"/>
          <w:b w:val="0"/>
          <w:bCs/>
          <w:caps/>
          <w:sz w:val="25"/>
          <w:szCs w:val="25"/>
        </w:rPr>
        <w:fldChar w:fldCharType="separate"/>
      </w:r>
      <w:r>
        <w:rPr>
          <w:rStyle w:val="93"/>
          <w:rFonts w:ascii="Times New Roman" w:hAnsi="Times New Roman" w:eastAsia="黑体" w:cs="Times New Roman"/>
          <w:b w:val="0"/>
          <w:bCs/>
          <w:caps/>
          <w:sz w:val="25"/>
          <w:szCs w:val="25"/>
        </w:rPr>
        <w:t xml:space="preserve">10  </w:t>
      </w:r>
      <w:r>
        <w:rPr>
          <w:rStyle w:val="93"/>
          <w:rFonts w:ascii="Times New Roman" w:hAnsi="黑体" w:eastAsia="黑体" w:cs="Times New Roman"/>
          <w:b w:val="0"/>
          <w:bCs/>
          <w:caps/>
          <w:sz w:val="25"/>
          <w:szCs w:val="25"/>
        </w:rPr>
        <w:t>建设征地区影响情况分析</w:t>
      </w:r>
      <w:r>
        <w:rPr>
          <w:rFonts w:ascii="Times New Roman" w:hAnsi="Times New Roman" w:eastAsia="黑体" w:cs="Times New Roman"/>
          <w:b w:val="0"/>
          <w:bCs/>
          <w:caps/>
          <w:kern w:val="2"/>
          <w:sz w:val="25"/>
          <w:szCs w:val="25"/>
          <w:lang w:val="en-US" w:eastAsia="zh-CN" w:bidi="ar-SA"/>
        </w:rPr>
        <w:tab/>
      </w:r>
      <w:r>
        <w:rPr>
          <w:rFonts w:ascii="Times New Roman" w:hAnsi="Times New Roman" w:eastAsia="黑体" w:cs="Times New Roman"/>
          <w:b w:val="0"/>
          <w:bCs/>
          <w:caps/>
          <w:kern w:val="2"/>
          <w:sz w:val="25"/>
          <w:szCs w:val="25"/>
          <w:lang w:val="en-US" w:eastAsia="zh-CN" w:bidi="ar-SA"/>
        </w:rPr>
        <w:fldChar w:fldCharType="begin"/>
      </w:r>
      <w:r>
        <w:rPr>
          <w:rFonts w:ascii="Times New Roman" w:hAnsi="Times New Roman" w:eastAsia="黑体" w:cs="Times New Roman"/>
          <w:b w:val="0"/>
          <w:bCs/>
          <w:caps/>
          <w:kern w:val="2"/>
          <w:sz w:val="25"/>
          <w:szCs w:val="25"/>
          <w:lang w:val="en-US" w:eastAsia="zh-CN" w:bidi="ar-SA"/>
        </w:rPr>
        <w:instrText xml:space="preserve"> PAGEREF _Toc90945273 \h </w:instrText>
      </w:r>
      <w:r>
        <w:rPr>
          <w:rFonts w:ascii="Times New Roman" w:hAnsi="Times New Roman" w:eastAsia="黑体" w:cs="Times New Roman"/>
          <w:b w:val="0"/>
          <w:bCs/>
          <w:caps/>
          <w:kern w:val="2"/>
          <w:sz w:val="25"/>
          <w:szCs w:val="25"/>
          <w:lang w:val="en-US" w:eastAsia="zh-CN" w:bidi="ar-SA"/>
        </w:rPr>
        <w:fldChar w:fldCharType="separate"/>
      </w:r>
      <w:r>
        <w:rPr>
          <w:rFonts w:ascii="Times New Roman" w:hAnsi="Times New Roman" w:eastAsia="黑体" w:cs="Times New Roman"/>
          <w:b w:val="0"/>
          <w:bCs/>
          <w:caps/>
          <w:kern w:val="2"/>
          <w:sz w:val="25"/>
          <w:szCs w:val="25"/>
          <w:lang w:val="en-US" w:eastAsia="zh-CN" w:bidi="ar-SA"/>
        </w:rPr>
        <w:t>75</w:t>
      </w:r>
      <w:r>
        <w:rPr>
          <w:rFonts w:ascii="Times New Roman" w:hAnsi="Times New Roman" w:eastAsia="黑体" w:cs="Times New Roman"/>
          <w:b w:val="0"/>
          <w:bCs/>
          <w:caps/>
          <w:kern w:val="2"/>
          <w:sz w:val="25"/>
          <w:szCs w:val="25"/>
          <w:lang w:val="en-US" w:eastAsia="zh-CN" w:bidi="ar-SA"/>
        </w:rPr>
        <w:fldChar w:fldCharType="end"/>
      </w:r>
      <w:r>
        <w:rPr>
          <w:rStyle w:val="93"/>
          <w:rFonts w:ascii="Times New Roman" w:hAnsi="Times New Roman" w:eastAsia="黑体" w:cs="Times New Roman"/>
          <w:b w:val="0"/>
          <w:bCs/>
          <w:caps/>
          <w:sz w:val="25"/>
          <w:szCs w:val="25"/>
        </w:rPr>
        <w:fldChar w:fldCharType="end"/>
      </w:r>
    </w:p>
    <w:p>
      <w:pPr>
        <w:widowControl w:val="0"/>
        <w:tabs>
          <w:tab w:val="right" w:leader="dot" w:pos="8778"/>
        </w:tabs>
        <w:spacing w:line="480" w:lineRule="exact"/>
        <w:ind w:left="0"/>
        <w:jc w:val="both"/>
        <w:rPr>
          <w:rFonts w:ascii="Times New Roman" w:hAnsi="Times New Roman" w:eastAsia="黑体" w:cs="Times New Roman"/>
          <w:smallCaps w:val="0"/>
          <w:kern w:val="2"/>
          <w:sz w:val="25"/>
          <w:szCs w:val="25"/>
          <w:lang w:val="en-US" w:eastAsia="zh-CN" w:bidi="ar-SA"/>
        </w:rPr>
      </w:pPr>
      <w:r>
        <w:rPr>
          <w:rStyle w:val="93"/>
          <w:rFonts w:ascii="Times New Roman" w:hAnsi="Times New Roman" w:eastAsia="黑体" w:cs="Times New Roman"/>
          <w:smallCaps/>
          <w:sz w:val="25"/>
          <w:szCs w:val="25"/>
        </w:rPr>
        <w:fldChar w:fldCharType="begin"/>
      </w:r>
      <w:r>
        <w:rPr>
          <w:rStyle w:val="93"/>
          <w:rFonts w:ascii="Times New Roman" w:hAnsi="Times New Roman" w:eastAsia="黑体" w:cs="Times New Roman"/>
          <w:smallCaps/>
          <w:sz w:val="25"/>
          <w:szCs w:val="25"/>
        </w:rPr>
        <w:instrText xml:space="preserve"> </w:instrText>
      </w:r>
      <w:r>
        <w:rPr>
          <w:rFonts w:ascii="Times New Roman" w:hAnsi="Times New Roman" w:eastAsia="黑体" w:cs="Times New Roman"/>
          <w:smallCaps/>
          <w:kern w:val="2"/>
          <w:sz w:val="25"/>
          <w:szCs w:val="25"/>
          <w:lang w:val="en-US" w:eastAsia="zh-CN" w:bidi="ar-SA"/>
        </w:rPr>
        <w:instrText xml:space="preserve">HYPERLINK \l "_Toc90945274"</w:instrText>
      </w:r>
      <w:r>
        <w:rPr>
          <w:rStyle w:val="93"/>
          <w:rFonts w:ascii="Times New Roman" w:hAnsi="Times New Roman" w:eastAsia="黑体" w:cs="Times New Roman"/>
          <w:smallCaps/>
          <w:sz w:val="25"/>
          <w:szCs w:val="25"/>
        </w:rPr>
        <w:instrText xml:space="preserve"> </w:instrText>
      </w:r>
      <w:r>
        <w:rPr>
          <w:rStyle w:val="93"/>
          <w:rFonts w:ascii="Times New Roman" w:hAnsi="Times New Roman" w:eastAsia="黑体" w:cs="Times New Roman"/>
          <w:smallCaps/>
          <w:sz w:val="25"/>
          <w:szCs w:val="25"/>
        </w:rPr>
        <w:fldChar w:fldCharType="separate"/>
      </w:r>
      <w:r>
        <w:rPr>
          <w:rStyle w:val="93"/>
          <w:rFonts w:ascii="Times New Roman" w:hAnsi="黑体" w:eastAsia="黑体" w:cs="Times New Roman"/>
          <w:smallCaps/>
          <w:sz w:val="25"/>
          <w:szCs w:val="25"/>
        </w:rPr>
        <w:t>附件：</w:t>
      </w:r>
      <w:r>
        <w:rPr>
          <w:rFonts w:ascii="Times New Roman" w:hAnsi="Times New Roman" w:eastAsia="黑体" w:cs="Times New Roman"/>
          <w:smallCaps/>
          <w:kern w:val="2"/>
          <w:sz w:val="25"/>
          <w:szCs w:val="25"/>
          <w:lang w:val="en-US" w:eastAsia="zh-CN" w:bidi="ar-SA"/>
        </w:rPr>
        <w:tab/>
      </w:r>
      <w:r>
        <w:rPr>
          <w:rFonts w:ascii="Times New Roman" w:hAnsi="Times New Roman" w:eastAsia="黑体" w:cs="Times New Roman"/>
          <w:smallCaps/>
          <w:kern w:val="2"/>
          <w:sz w:val="25"/>
          <w:szCs w:val="25"/>
          <w:lang w:val="en-US" w:eastAsia="zh-CN" w:bidi="ar-SA"/>
        </w:rPr>
        <w:fldChar w:fldCharType="begin"/>
      </w:r>
      <w:r>
        <w:rPr>
          <w:rFonts w:ascii="Times New Roman" w:hAnsi="Times New Roman" w:eastAsia="黑体" w:cs="Times New Roman"/>
          <w:smallCaps/>
          <w:kern w:val="2"/>
          <w:sz w:val="25"/>
          <w:szCs w:val="25"/>
          <w:lang w:val="en-US" w:eastAsia="zh-CN" w:bidi="ar-SA"/>
        </w:rPr>
        <w:instrText xml:space="preserve"> PAGEREF _Toc90945274 \h </w:instrText>
      </w:r>
      <w:r>
        <w:rPr>
          <w:rFonts w:ascii="Times New Roman" w:hAnsi="Times New Roman" w:eastAsia="黑体" w:cs="Times New Roman"/>
          <w:smallCaps/>
          <w:kern w:val="2"/>
          <w:sz w:val="25"/>
          <w:szCs w:val="25"/>
          <w:lang w:val="en-US" w:eastAsia="zh-CN" w:bidi="ar-SA"/>
        </w:rPr>
        <w:fldChar w:fldCharType="separate"/>
      </w:r>
      <w:r>
        <w:rPr>
          <w:rFonts w:ascii="Times New Roman" w:hAnsi="Times New Roman" w:eastAsia="黑体" w:cs="Times New Roman"/>
          <w:smallCaps/>
          <w:kern w:val="2"/>
          <w:sz w:val="25"/>
          <w:szCs w:val="25"/>
          <w:lang w:val="en-US" w:eastAsia="zh-CN" w:bidi="ar-SA"/>
        </w:rPr>
        <w:t>76</w:t>
      </w:r>
      <w:r>
        <w:rPr>
          <w:rFonts w:ascii="Times New Roman" w:hAnsi="Times New Roman" w:eastAsia="黑体" w:cs="Times New Roman"/>
          <w:smallCaps/>
          <w:kern w:val="2"/>
          <w:sz w:val="25"/>
          <w:szCs w:val="25"/>
          <w:lang w:val="en-US" w:eastAsia="zh-CN" w:bidi="ar-SA"/>
        </w:rPr>
        <w:fldChar w:fldCharType="end"/>
      </w:r>
      <w:r>
        <w:rPr>
          <w:rStyle w:val="93"/>
          <w:rFonts w:ascii="Times New Roman" w:hAnsi="Times New Roman" w:eastAsia="黑体"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rPr>
        <w:fldChar w:fldCharType="begin"/>
      </w:r>
      <w:r>
        <w:rPr>
          <w:rStyle w:val="93"/>
          <w:rFonts w:ascii="Times New Roman" w:hAnsi="Times New Roman" w:cs="Times New Roman"/>
          <w:smallCaps/>
          <w:sz w:val="25"/>
          <w:szCs w:val="25"/>
        </w:rPr>
        <w:instrText xml:space="preserve"> </w:instrText>
      </w:r>
      <w:r>
        <w:rPr>
          <w:rFonts w:ascii="Times New Roman" w:hAnsi="Times New Roman" w:eastAsia="宋体" w:cs="Times New Roman"/>
          <w:smallCaps/>
          <w:kern w:val="2"/>
          <w:sz w:val="25"/>
          <w:szCs w:val="25"/>
          <w:lang w:val="en-US" w:eastAsia="zh-CN" w:bidi="ar-SA"/>
        </w:rPr>
        <w:instrText xml:space="preserve">HYPERLINK \l "_Toc90945275"</w:instrText>
      </w:r>
      <w:r>
        <w:rPr>
          <w:rStyle w:val="93"/>
          <w:rFonts w:ascii="Times New Roman" w:hAnsi="Times New Roman" w:cs="Times New Roman"/>
          <w:smallCaps/>
          <w:sz w:val="25"/>
          <w:szCs w:val="25"/>
        </w:rPr>
        <w:instrText xml:space="preserve"> </w:instrText>
      </w:r>
      <w:r>
        <w:rPr>
          <w:rStyle w:val="93"/>
          <w:rFonts w:ascii="Times New Roman" w:hAnsi="Times New Roman" w:cs="Times New Roman"/>
          <w:smallCaps/>
          <w:sz w:val="25"/>
          <w:szCs w:val="25"/>
        </w:rPr>
        <w:fldChar w:fldCharType="separate"/>
      </w:r>
      <w:r>
        <w:rPr>
          <w:rStyle w:val="93"/>
          <w:rFonts w:ascii="Times New Roman" w:hAnsi="Times New Roman" w:cs="Times New Roman"/>
          <w:smallCaps/>
          <w:sz w:val="25"/>
          <w:szCs w:val="25"/>
        </w:rPr>
        <w:t xml:space="preserve">1  </w:t>
      </w:r>
      <w:r>
        <w:rPr>
          <w:rStyle w:val="93"/>
          <w:rFonts w:ascii="Times New Roman" w:cs="Times New Roman"/>
          <w:smallCaps/>
          <w:sz w:val="25"/>
          <w:szCs w:val="25"/>
        </w:rPr>
        <w:t>《陆河县人民政府关于印发广东陆河抽水蓄能电站项目建设征地实物指标调查细则的通知》</w:t>
      </w:r>
      <w:r>
        <w:rPr>
          <w:rStyle w:val="93"/>
          <w:rFonts w:ascii="Times New Roman" w:hAnsi="Times New Roman" w:cs="Times New Roman"/>
          <w:smallCaps/>
          <w:sz w:val="25"/>
          <w:szCs w:val="25"/>
        </w:rPr>
        <w:t>(</w:t>
      </w:r>
      <w:r>
        <w:rPr>
          <w:rStyle w:val="93"/>
          <w:rFonts w:ascii="Times New Roman" w:cs="Times New Roman"/>
          <w:smallCaps/>
          <w:sz w:val="25"/>
          <w:szCs w:val="25"/>
        </w:rPr>
        <w:t>陆河府函〔</w:t>
      </w:r>
      <w:r>
        <w:rPr>
          <w:rStyle w:val="93"/>
          <w:rFonts w:ascii="Times New Roman" w:hAnsi="Times New Roman" w:cs="Times New Roman"/>
          <w:smallCaps/>
          <w:sz w:val="25"/>
          <w:szCs w:val="25"/>
        </w:rPr>
        <w:t>2021</w:t>
      </w:r>
      <w:r>
        <w:rPr>
          <w:rStyle w:val="93"/>
          <w:rFonts w:ascii="Times New Roman" w:cs="Times New Roman"/>
          <w:smallCaps/>
          <w:sz w:val="25"/>
          <w:szCs w:val="25"/>
        </w:rPr>
        <w:t>〕</w:t>
      </w:r>
      <w:r>
        <w:rPr>
          <w:rStyle w:val="93"/>
          <w:rFonts w:ascii="Times New Roman" w:hAnsi="Times New Roman" w:cs="Times New Roman"/>
          <w:smallCaps/>
          <w:sz w:val="25"/>
          <w:szCs w:val="25"/>
        </w:rPr>
        <w:t xml:space="preserve">172 </w:t>
      </w:r>
      <w:r>
        <w:rPr>
          <w:rStyle w:val="93"/>
          <w:rFonts w:ascii="Times New Roman" w:cs="Times New Roman"/>
          <w:smallCaps/>
          <w:sz w:val="25"/>
          <w:szCs w:val="25"/>
        </w:rPr>
        <w:t>号</w:t>
      </w:r>
      <w:r>
        <w:rPr>
          <w:rStyle w:val="93"/>
          <w:rFonts w:ascii="Times New Roman" w:hAnsi="Times New Roman" w:cs="Times New Roman"/>
          <w:smallCaps/>
          <w:sz w:val="25"/>
          <w:szCs w:val="25"/>
        </w:rPr>
        <w:t>)</w:t>
      </w:r>
      <w:r>
        <w:rPr>
          <w:rFonts w:ascii="Times New Roman" w:hAnsi="Times New Roman" w:eastAsia="宋体" w:cs="Times New Roman"/>
          <w:smallCaps/>
          <w:kern w:val="2"/>
          <w:sz w:val="25"/>
          <w:szCs w:val="25"/>
          <w:lang w:val="en-US" w:eastAsia="zh-CN" w:bidi="ar-SA"/>
        </w:rPr>
        <w:tab/>
      </w:r>
      <w:r>
        <w:rPr>
          <w:rFonts w:ascii="Times New Roman" w:hAnsi="Times New Roman" w:eastAsia="宋体" w:cs="Times New Roman"/>
          <w:smallCaps/>
          <w:kern w:val="2"/>
          <w:sz w:val="25"/>
          <w:szCs w:val="25"/>
          <w:lang w:val="en-US" w:eastAsia="zh-CN" w:bidi="ar-SA"/>
        </w:rPr>
        <w:fldChar w:fldCharType="begin"/>
      </w:r>
      <w:r>
        <w:rPr>
          <w:rFonts w:ascii="Times New Roman" w:hAnsi="Times New Roman" w:eastAsia="宋体" w:cs="Times New Roman"/>
          <w:smallCaps/>
          <w:kern w:val="2"/>
          <w:sz w:val="25"/>
          <w:szCs w:val="25"/>
          <w:lang w:val="en-US" w:eastAsia="zh-CN" w:bidi="ar-SA"/>
        </w:rPr>
        <w:instrText xml:space="preserve"> PAGEREF _Toc90945275 \h </w:instrText>
      </w:r>
      <w:r>
        <w:rPr>
          <w:rFonts w:ascii="Times New Roman" w:hAnsi="Times New Roman" w:eastAsia="宋体" w:cs="Times New Roman"/>
          <w:smallCaps/>
          <w:kern w:val="2"/>
          <w:sz w:val="25"/>
          <w:szCs w:val="25"/>
          <w:lang w:val="en-US" w:eastAsia="zh-CN" w:bidi="ar-SA"/>
        </w:rPr>
        <w:fldChar w:fldCharType="separate"/>
      </w:r>
      <w:r>
        <w:rPr>
          <w:rFonts w:ascii="Times New Roman" w:hAnsi="Times New Roman" w:eastAsia="宋体" w:cs="Times New Roman"/>
          <w:smallCaps/>
          <w:kern w:val="2"/>
          <w:sz w:val="25"/>
          <w:szCs w:val="25"/>
          <w:lang w:val="en-US" w:eastAsia="zh-CN" w:bidi="ar-SA"/>
        </w:rPr>
        <w:t>76</w:t>
      </w:r>
      <w:r>
        <w:rPr>
          <w:rFonts w:ascii="Times New Roman" w:hAnsi="Times New Roman" w:eastAsia="宋体" w:cs="Times New Roman"/>
          <w:smallCaps/>
          <w:kern w:val="2"/>
          <w:sz w:val="25"/>
          <w:szCs w:val="25"/>
          <w:lang w:val="en-US" w:eastAsia="zh-CN" w:bidi="ar-SA"/>
        </w:rPr>
        <w:fldChar w:fldCharType="end"/>
      </w:r>
      <w:r>
        <w:rPr>
          <w:rStyle w:val="93"/>
          <w:rFonts w:ascii="Times New Roman" w:hAnsi="Times New Roman" w:cs="Times New Roman"/>
          <w:smallCaps/>
          <w:sz w:val="25"/>
          <w:szCs w:val="25"/>
        </w:rPr>
        <w:fldChar w:fldCharType="end"/>
      </w:r>
    </w:p>
    <w:p>
      <w:pPr>
        <w:widowControl w:val="0"/>
        <w:tabs>
          <w:tab w:val="right" w:leader="dot" w:pos="8778"/>
        </w:tabs>
        <w:spacing w:line="480" w:lineRule="exact"/>
        <w:ind w:left="0" w:firstLine="375" w:firstLineChars="150"/>
        <w:jc w:val="both"/>
        <w:rPr>
          <w:rFonts w:ascii="Times New Roman" w:hAnsi="Times New Roman" w:eastAsia="宋体" w:cs="Times New Roman"/>
          <w:smallCaps w:val="0"/>
          <w:kern w:val="2"/>
          <w:sz w:val="25"/>
          <w:szCs w:val="25"/>
          <w:lang w:val="en-US" w:eastAsia="zh-CN" w:bidi="ar-SA"/>
        </w:rPr>
      </w:pPr>
      <w:r>
        <w:rPr>
          <w:rStyle w:val="93"/>
          <w:rFonts w:ascii="Times New Roman" w:hAnsi="Times New Roman" w:cs="Times New Roman"/>
          <w:smallCaps/>
          <w:sz w:val="25"/>
          <w:szCs w:val="25"/>
          <w:highlight w:val="yellow"/>
        </w:rPr>
        <w:fldChar w:fldCharType="begin"/>
      </w:r>
      <w:r>
        <w:rPr>
          <w:rStyle w:val="93"/>
          <w:rFonts w:ascii="Times New Roman" w:hAnsi="Times New Roman" w:cs="Times New Roman"/>
          <w:smallCaps/>
          <w:sz w:val="25"/>
          <w:szCs w:val="25"/>
          <w:highlight w:val="yellow"/>
        </w:rPr>
        <w:instrText xml:space="preserve"> </w:instrText>
      </w:r>
      <w:r>
        <w:rPr>
          <w:rFonts w:ascii="Times New Roman" w:hAnsi="Times New Roman" w:eastAsia="宋体" w:cs="Times New Roman"/>
          <w:smallCaps/>
          <w:kern w:val="2"/>
          <w:sz w:val="25"/>
          <w:szCs w:val="25"/>
          <w:highlight w:val="yellow"/>
          <w:lang w:val="en-US" w:eastAsia="zh-CN" w:bidi="ar-SA"/>
        </w:rPr>
        <w:instrText xml:space="preserve">HYPERLINK \l "_Toc90945276"</w:instrText>
      </w:r>
      <w:r>
        <w:rPr>
          <w:rStyle w:val="93"/>
          <w:rFonts w:ascii="Times New Roman" w:hAnsi="Times New Roman" w:cs="Times New Roman"/>
          <w:smallCaps/>
          <w:sz w:val="25"/>
          <w:szCs w:val="25"/>
          <w:highlight w:val="yellow"/>
        </w:rPr>
        <w:instrText xml:space="preserve"> </w:instrText>
      </w:r>
      <w:r>
        <w:rPr>
          <w:rStyle w:val="93"/>
          <w:rFonts w:ascii="Times New Roman" w:hAnsi="Times New Roman" w:cs="Times New Roman"/>
          <w:smallCaps/>
          <w:sz w:val="25"/>
          <w:szCs w:val="25"/>
          <w:highlight w:val="yellow"/>
        </w:rPr>
        <w:fldChar w:fldCharType="separate"/>
      </w:r>
      <w:r>
        <w:rPr>
          <w:rStyle w:val="93"/>
          <w:rFonts w:ascii="Times New Roman" w:hAnsi="Times New Roman" w:cs="Times New Roman"/>
          <w:smallCaps/>
          <w:snapToGrid w:val="0"/>
          <w:kern w:val="0"/>
          <w:sz w:val="25"/>
          <w:szCs w:val="25"/>
          <w:highlight w:val="yellow"/>
        </w:rPr>
        <w:t xml:space="preserve">2  </w:t>
      </w:r>
      <w:r>
        <w:rPr>
          <w:rStyle w:val="93"/>
          <w:rFonts w:ascii="Times New Roman" w:cs="Times New Roman"/>
          <w:smallCaps/>
          <w:snapToGrid w:val="0"/>
          <w:kern w:val="0"/>
          <w:sz w:val="25"/>
          <w:szCs w:val="25"/>
          <w:highlight w:val="yellow"/>
        </w:rPr>
        <w:t>陆河县人民政府关于确认陆河抽水蓄能电站建设征地实物指标调查成果的函</w:t>
      </w:r>
      <w:r>
        <w:rPr>
          <w:rStyle w:val="93"/>
          <w:rFonts w:ascii="Times New Roman" w:hAnsi="Times New Roman" w:cs="Times New Roman"/>
          <w:smallCaps/>
          <w:snapToGrid w:val="0"/>
          <w:kern w:val="0"/>
          <w:sz w:val="25"/>
          <w:szCs w:val="25"/>
          <w:highlight w:val="yellow"/>
        </w:rPr>
        <w:t>(</w:t>
      </w:r>
      <w:r>
        <w:rPr>
          <w:rStyle w:val="93"/>
          <w:rFonts w:ascii="Times New Roman" w:cs="Times New Roman"/>
          <w:smallCaps/>
          <w:snapToGrid w:val="0"/>
          <w:kern w:val="0"/>
          <w:sz w:val="25"/>
          <w:szCs w:val="25"/>
          <w:highlight w:val="yellow"/>
        </w:rPr>
        <w:t>待办</w:t>
      </w:r>
      <w:r>
        <w:rPr>
          <w:rStyle w:val="93"/>
          <w:rFonts w:ascii="Times New Roman" w:hAnsi="Times New Roman" w:cs="Times New Roman"/>
          <w:smallCaps/>
          <w:snapToGrid w:val="0"/>
          <w:kern w:val="0"/>
          <w:sz w:val="25"/>
          <w:szCs w:val="25"/>
          <w:highlight w:val="yellow"/>
        </w:rPr>
        <w:t>)</w:t>
      </w:r>
      <w:r>
        <w:rPr>
          <w:rFonts w:ascii="Times New Roman" w:hAnsi="Times New Roman" w:eastAsia="宋体" w:cs="Times New Roman"/>
          <w:smallCaps/>
          <w:kern w:val="2"/>
          <w:sz w:val="25"/>
          <w:szCs w:val="25"/>
          <w:highlight w:val="yellow"/>
          <w:lang w:val="en-US" w:eastAsia="zh-CN" w:bidi="ar-SA"/>
        </w:rPr>
        <w:tab/>
      </w:r>
      <w:r>
        <w:rPr>
          <w:rFonts w:ascii="Times New Roman" w:hAnsi="Times New Roman" w:eastAsia="宋体" w:cs="Times New Roman"/>
          <w:smallCaps/>
          <w:kern w:val="2"/>
          <w:sz w:val="25"/>
          <w:szCs w:val="25"/>
          <w:highlight w:val="yellow"/>
          <w:lang w:val="en-US" w:eastAsia="zh-CN" w:bidi="ar-SA"/>
        </w:rPr>
        <w:fldChar w:fldCharType="begin"/>
      </w:r>
      <w:r>
        <w:rPr>
          <w:rFonts w:ascii="Times New Roman" w:hAnsi="Times New Roman" w:eastAsia="宋体" w:cs="Times New Roman"/>
          <w:smallCaps/>
          <w:kern w:val="2"/>
          <w:sz w:val="25"/>
          <w:szCs w:val="25"/>
          <w:highlight w:val="yellow"/>
          <w:lang w:val="en-US" w:eastAsia="zh-CN" w:bidi="ar-SA"/>
        </w:rPr>
        <w:instrText xml:space="preserve"> PAGEREF _Toc90945276 \h </w:instrText>
      </w:r>
      <w:r>
        <w:rPr>
          <w:rFonts w:ascii="Times New Roman" w:hAnsi="Times New Roman" w:eastAsia="宋体" w:cs="Times New Roman"/>
          <w:smallCaps/>
          <w:kern w:val="2"/>
          <w:sz w:val="25"/>
          <w:szCs w:val="25"/>
          <w:highlight w:val="yellow"/>
          <w:lang w:val="en-US" w:eastAsia="zh-CN" w:bidi="ar-SA"/>
        </w:rPr>
        <w:fldChar w:fldCharType="separate"/>
      </w:r>
      <w:r>
        <w:rPr>
          <w:rFonts w:ascii="Times New Roman" w:hAnsi="Times New Roman" w:eastAsia="宋体" w:cs="Times New Roman"/>
          <w:smallCaps/>
          <w:kern w:val="2"/>
          <w:sz w:val="25"/>
          <w:szCs w:val="25"/>
          <w:highlight w:val="yellow"/>
          <w:lang w:val="en-US" w:eastAsia="zh-CN" w:bidi="ar-SA"/>
        </w:rPr>
        <w:t>78</w:t>
      </w:r>
      <w:r>
        <w:rPr>
          <w:rFonts w:ascii="Times New Roman" w:hAnsi="Times New Roman" w:eastAsia="宋体" w:cs="Times New Roman"/>
          <w:smallCaps/>
          <w:kern w:val="2"/>
          <w:sz w:val="25"/>
          <w:szCs w:val="25"/>
          <w:highlight w:val="yellow"/>
          <w:lang w:val="en-US" w:eastAsia="zh-CN" w:bidi="ar-SA"/>
        </w:rPr>
        <w:fldChar w:fldCharType="end"/>
      </w:r>
      <w:r>
        <w:rPr>
          <w:rStyle w:val="93"/>
          <w:rFonts w:ascii="Times New Roman" w:hAnsi="Times New Roman" w:cs="Times New Roman"/>
          <w:smallCaps/>
          <w:sz w:val="25"/>
          <w:szCs w:val="25"/>
          <w:highlight w:val="yellow"/>
        </w:rPr>
        <w:fldChar w:fldCharType="end"/>
      </w:r>
    </w:p>
    <w:p>
      <w:pPr>
        <w:spacing w:line="480" w:lineRule="exact"/>
        <w:ind w:firstLine="375" w:firstLineChars="150"/>
        <w:rPr>
          <w:rFonts w:cs="Times New Roman"/>
          <w:color w:val="000000"/>
          <w:sz w:val="25"/>
          <w:szCs w:val="25"/>
        </w:rPr>
      </w:pPr>
      <w:r>
        <w:rPr>
          <w:rFonts w:cs="Times New Roman"/>
          <w:color w:val="000000"/>
          <w:sz w:val="25"/>
          <w:szCs w:val="25"/>
        </w:rPr>
        <w:fldChar w:fldCharType="end"/>
      </w:r>
      <w:r>
        <w:rPr>
          <w:rFonts w:cs="Times New Roman"/>
          <w:color w:val="000000"/>
          <w:sz w:val="25"/>
          <w:szCs w:val="25"/>
        </w:rPr>
        <w:fldChar w:fldCharType="begin"/>
      </w:r>
      <w:r>
        <w:rPr>
          <w:rFonts w:cs="Times New Roman"/>
          <w:color w:val="000000"/>
          <w:sz w:val="25"/>
          <w:szCs w:val="25"/>
        </w:rPr>
        <w:instrText xml:space="preserve"> TOC \o "1-2" \h \z \u </w:instrText>
      </w:r>
      <w:r>
        <w:rPr>
          <w:rFonts w:cs="Times New Roman"/>
          <w:color w:val="000000"/>
          <w:sz w:val="25"/>
          <w:szCs w:val="25"/>
        </w:rPr>
        <w:fldChar w:fldCharType="separate"/>
      </w:r>
    </w:p>
    <w:p>
      <w:pPr>
        <w:spacing w:line="480" w:lineRule="exact"/>
        <w:ind w:firstLine="375" w:firstLineChars="150"/>
        <w:rPr>
          <w:rFonts w:cs="Times New Roman"/>
          <w:color w:val="000000"/>
          <w:sz w:val="25"/>
          <w:szCs w:val="25"/>
        </w:rPr>
      </w:pPr>
    </w:p>
    <w:p>
      <w:pPr>
        <w:widowControl w:val="0"/>
        <w:overflowPunct w:val="0"/>
        <w:autoSpaceDE w:val="0"/>
        <w:autoSpaceDN w:val="0"/>
        <w:adjustRightInd w:val="0"/>
        <w:snapToGrid w:val="0"/>
        <w:spacing w:line="480" w:lineRule="exact"/>
        <w:ind w:firstLine="375" w:firstLineChars="150"/>
        <w:jc w:val="both"/>
        <w:rPr>
          <w:rFonts w:ascii="黑体" w:hAnsi="黑体" w:eastAsia="黑体" w:cs="Times New Roman"/>
          <w:color w:val="000000"/>
          <w:kern w:val="2"/>
          <w:sz w:val="28"/>
          <w:szCs w:val="28"/>
          <w:shd w:val="clear" w:color="auto" w:fill="FFFFFF"/>
          <w:lang w:val="en-US" w:eastAsia="zh-CN" w:bidi="ar-SA"/>
        </w:rPr>
      </w:pPr>
      <w:r>
        <w:rPr>
          <w:rFonts w:ascii="Times New Roman" w:hAnsi="Times New Roman" w:eastAsia="宋体" w:cs="Times New Roman"/>
          <w:color w:val="000000"/>
          <w:kern w:val="2"/>
          <w:sz w:val="25"/>
          <w:szCs w:val="25"/>
          <w:shd w:val="clear" w:color="auto" w:fill="FFFFFF"/>
          <w:lang w:val="en-US" w:eastAsia="zh-CN" w:bidi="ar-SA"/>
        </w:rPr>
        <w:fldChar w:fldCharType="end"/>
      </w:r>
    </w:p>
    <w:p>
      <w:pPr>
        <w:rPr>
          <w:rFonts w:cs="Times New Roman"/>
          <w:color w:val="000000"/>
          <w:sz w:val="24"/>
          <w:szCs w:val="21"/>
        </w:rPr>
      </w:pPr>
    </w:p>
    <w:p>
      <w:pPr>
        <w:rPr>
          <w:rFonts w:cs="Times New Roman"/>
          <w:color w:val="000000"/>
          <w:sz w:val="24"/>
          <w:szCs w:val="21"/>
        </w:rPr>
      </w:pPr>
    </w:p>
    <w:p>
      <w:pPr>
        <w:rPr>
          <w:rFonts w:cs="Times New Roman"/>
          <w:color w:val="000000"/>
          <w:sz w:val="24"/>
          <w:szCs w:val="21"/>
        </w:rPr>
      </w:pPr>
    </w:p>
    <w:p>
      <w:pPr>
        <w:rPr>
          <w:rFonts w:cs="Times New Roman"/>
          <w:color w:val="000000"/>
          <w:sz w:val="24"/>
          <w:szCs w:val="21"/>
        </w:rPr>
      </w:pPr>
    </w:p>
    <w:p>
      <w:pPr>
        <w:tabs>
          <w:tab w:val="center" w:pos="4388"/>
        </w:tabs>
        <w:rPr>
          <w:color w:val="000000"/>
          <w:sz w:val="24"/>
          <w:szCs w:val="21"/>
        </w:rPr>
        <w:sectPr>
          <w:footerReference r:id="rId26" w:type="default"/>
          <w:pgSz w:w="11906" w:h="16838"/>
          <w:pgMar w:top="1588" w:right="1559" w:bottom="1531" w:left="1559" w:header="1134" w:footer="1247" w:gutter="0"/>
          <w:pgNumType w:fmt="upperRoman" w:start="1"/>
          <w:cols w:space="720" w:num="1"/>
          <w:docGrid w:linePitch="326" w:charSpace="0"/>
        </w:sectPr>
      </w:pPr>
    </w:p>
    <w:p>
      <w:pPr>
        <w:keepNext/>
        <w:keepLines/>
        <w:adjustRightInd w:val="0"/>
        <w:snapToGrid w:val="0"/>
        <w:spacing w:before="300" w:after="120" w:line="460" w:lineRule="exact"/>
        <w:outlineLvl w:val="0"/>
        <w:rPr>
          <w:rFonts w:eastAsia="黑体" w:cs="Times New Roman"/>
          <w:bCs/>
          <w:snapToGrid w:val="0"/>
          <w:color w:val="000000"/>
          <w:spacing w:val="4"/>
          <w:sz w:val="32"/>
          <w:szCs w:val="32"/>
          <w:lang w:val="zh-CN"/>
        </w:rPr>
      </w:pPr>
      <w:bookmarkStart w:id="549" w:name="_Toc85662848"/>
      <w:bookmarkEnd w:id="549"/>
      <w:bookmarkStart w:id="550" w:name="_Toc85662742"/>
      <w:bookmarkEnd w:id="550"/>
      <w:bookmarkStart w:id="551" w:name="_Toc90945231"/>
      <w:bookmarkStart w:id="552" w:name="_Toc86257939"/>
      <w:r>
        <w:rPr>
          <w:rFonts w:eastAsia="黑体" w:cs="Times New Roman"/>
          <w:bCs/>
          <w:snapToGrid w:val="0"/>
          <w:color w:val="000000"/>
          <w:spacing w:val="4"/>
          <w:sz w:val="32"/>
          <w:szCs w:val="32"/>
          <w:lang w:val="zh-CN"/>
        </w:rPr>
        <w:t>1</w:t>
      </w:r>
      <w:bookmarkStart w:id="553" w:name="_Toc85662851"/>
      <w:bookmarkEnd w:id="553"/>
      <w:bookmarkStart w:id="554" w:name="_Toc85662850"/>
      <w:bookmarkEnd w:id="554"/>
      <w:bookmarkStart w:id="555" w:name="_Toc85662747"/>
      <w:bookmarkEnd w:id="555"/>
      <w:bookmarkStart w:id="556" w:name="_Toc85662849"/>
      <w:bookmarkEnd w:id="556"/>
      <w:bookmarkStart w:id="557" w:name="_Toc85662743"/>
      <w:bookmarkEnd w:id="557"/>
      <w:bookmarkStart w:id="558" w:name="_Toc85662744"/>
      <w:bookmarkEnd w:id="558"/>
      <w:bookmarkStart w:id="559" w:name="_Toc85662746"/>
      <w:bookmarkEnd w:id="559"/>
      <w:bookmarkStart w:id="560" w:name="_Toc85662745"/>
      <w:bookmarkEnd w:id="560"/>
      <w:bookmarkStart w:id="561" w:name="_Toc85662852"/>
      <w:bookmarkEnd w:id="561"/>
      <w:bookmarkStart w:id="562" w:name="_Toc85662853"/>
      <w:bookmarkEnd w:id="562"/>
      <w:r>
        <w:rPr>
          <w:rFonts w:hint="eastAsia" w:eastAsia="黑体" w:cs="Times New Roman"/>
          <w:bCs/>
          <w:snapToGrid w:val="0"/>
          <w:color w:val="000000"/>
          <w:spacing w:val="4"/>
          <w:sz w:val="32"/>
          <w:szCs w:val="32"/>
          <w:lang w:val="zh-CN"/>
        </w:rPr>
        <w:t xml:space="preserve">  概述</w:t>
      </w:r>
      <w:bookmarkEnd w:id="551"/>
      <w:bookmarkEnd w:id="552"/>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63" w:name="_Toc86257940"/>
      <w:bookmarkStart w:id="564" w:name="_Toc90945232"/>
      <w:r>
        <w:rPr>
          <w:rFonts w:hint="eastAsia" w:ascii="Times New Roman" w:hAnsi="Times New Roman" w:eastAsia="黑体" w:cs="Times New Roman"/>
          <w:bCs/>
          <w:snapToGrid w:val="0"/>
          <w:color w:val="000000"/>
          <w:kern w:val="0"/>
          <w:sz w:val="28"/>
          <w:szCs w:val="28"/>
          <w:lang w:val="en-US" w:eastAsia="zh-CN" w:bidi="ar-SA"/>
        </w:rPr>
        <w:t>1</w:t>
      </w:r>
      <w:r>
        <w:rPr>
          <w:rFonts w:ascii="Times New Roman" w:hAnsi="Times New Roman" w:eastAsia="黑体" w:cs="Times New Roman"/>
          <w:bCs/>
          <w:snapToGrid w:val="0"/>
          <w:color w:val="000000"/>
          <w:kern w:val="0"/>
          <w:sz w:val="28"/>
          <w:szCs w:val="28"/>
          <w:lang w:val="en-US" w:eastAsia="zh-CN" w:bidi="ar-SA"/>
        </w:rPr>
        <w:t>.1  枢纽工程概况</w:t>
      </w:r>
      <w:bookmarkEnd w:id="563"/>
      <w:bookmarkEnd w:id="564"/>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广东陆河抽水蓄能电站位于汕尾市陆河县境内，陆河县地处沿海与兴梅山区结合部，站址距汕尾市区直线距离55km，距广州直线距离210km，靠近粤东海上风电基地，地理位置优越</w:t>
      </w:r>
      <w:r>
        <w:rPr>
          <w:rFonts w:ascii="Times New Roman" w:hAnsi="宋体" w:eastAsia="宋体" w:cs="Times New Roman"/>
          <w:color w:val="000000"/>
          <w:kern w:val="2"/>
          <w:sz w:val="24"/>
          <w:szCs w:val="24"/>
          <w:shd w:val="clear" w:color="auto" w:fill="FFFFFF"/>
          <w:lang w:val="en-US" w:eastAsia="zh-CN" w:bidi="ar-SA"/>
        </w:rPr>
        <w:t>。</w:t>
      </w:r>
      <w:r>
        <w:rPr>
          <w:rFonts w:hint="eastAsia" w:ascii="Times New Roman" w:hAnsi="宋体" w:eastAsia="宋体" w:cs="Times New Roman"/>
          <w:color w:val="000000"/>
          <w:kern w:val="2"/>
          <w:sz w:val="24"/>
          <w:szCs w:val="24"/>
          <w:shd w:val="clear" w:color="auto" w:fill="FFFFFF"/>
          <w:lang w:val="en-US" w:eastAsia="zh-CN" w:bidi="ar-SA"/>
        </w:rPr>
        <w:t>上、下水库均位于激石溪左岸支流上，上水库位于陆河县新田镇坪天栋西面的上坪田水库和下坪田水库所在位置山间凹地，集水面积为1.30km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，多年平</w:t>
      </w:r>
      <w:r>
        <w:rPr>
          <w:rFonts w:hint="eastAsia" w:ascii="Times New Roman" w:hAnsi="宋体" w:eastAsia="宋体" w:cs="Times New Roman"/>
          <w:color w:val="000000"/>
          <w:spacing w:val="4"/>
          <w:kern w:val="2"/>
          <w:sz w:val="24"/>
          <w:szCs w:val="24"/>
          <w:shd w:val="clear" w:color="auto" w:fill="FFFFFF"/>
          <w:lang w:val="en-US" w:eastAsia="zh-CN" w:bidi="ar-SA"/>
        </w:rPr>
        <w:t>均径流量为195万m</w:t>
      </w:r>
      <w:r>
        <w:rPr>
          <w:rFonts w:hint="eastAsia" w:ascii="Times New Roman" w:hAnsi="宋体" w:eastAsia="宋体" w:cs="Times New Roman"/>
          <w:color w:val="000000"/>
          <w:spacing w:val="4"/>
          <w:kern w:val="2"/>
          <w:sz w:val="24"/>
          <w:szCs w:val="24"/>
          <w:shd w:val="clear" w:color="auto" w:fill="FFFFFF"/>
          <w:vertAlign w:val="superscript"/>
          <w:lang w:val="en-US" w:eastAsia="zh-CN" w:bidi="ar-SA"/>
        </w:rPr>
        <w:t>3</w:t>
      </w:r>
      <w:r>
        <w:rPr>
          <w:rFonts w:hint="eastAsia" w:ascii="Times New Roman" w:hAnsi="宋体" w:eastAsia="宋体" w:cs="Times New Roman"/>
          <w:color w:val="000000"/>
          <w:spacing w:val="4"/>
          <w:kern w:val="2"/>
          <w:sz w:val="24"/>
          <w:szCs w:val="24"/>
          <w:shd w:val="clear" w:color="auto" w:fill="FFFFFF"/>
          <w:lang w:val="en-US" w:eastAsia="zh-CN" w:bidi="ar-SA"/>
        </w:rPr>
        <w:t>，正常蓄水位851.00m，相应库容为1049万m</w:t>
      </w:r>
      <w:r>
        <w:rPr>
          <w:rFonts w:hint="eastAsia" w:ascii="Times New Roman" w:hAnsi="宋体" w:eastAsia="宋体" w:cs="Times New Roman"/>
          <w:color w:val="000000"/>
          <w:spacing w:val="4"/>
          <w:kern w:val="2"/>
          <w:sz w:val="24"/>
          <w:szCs w:val="24"/>
          <w:shd w:val="clear" w:color="auto" w:fill="FFFFFF"/>
          <w:vertAlign w:val="superscript"/>
          <w:lang w:val="en-US" w:eastAsia="zh-CN" w:bidi="ar-SA"/>
        </w:rPr>
        <w:t>3</w:t>
      </w:r>
      <w:r>
        <w:rPr>
          <w:rFonts w:hint="eastAsia" w:ascii="Times New Roman" w:hAnsi="宋体" w:eastAsia="宋体" w:cs="Times New Roman"/>
          <w:color w:val="000000"/>
          <w:spacing w:val="4"/>
          <w:kern w:val="2"/>
          <w:sz w:val="24"/>
          <w:szCs w:val="24"/>
          <w:shd w:val="clear" w:color="auto" w:fill="FFFFFF"/>
          <w:lang w:val="en-US" w:eastAsia="zh-CN" w:bidi="ar-SA"/>
        </w:rPr>
        <w:t>，总库容1167.40万</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3</w:t>
      </w:r>
      <w:r>
        <w:rPr>
          <w:rFonts w:hint="eastAsia" w:ascii="Times New Roman" w:hAnsi="宋体" w:eastAsia="宋体" w:cs="Times New Roman"/>
          <w:color w:val="000000"/>
          <w:kern w:val="2"/>
          <w:sz w:val="24"/>
          <w:szCs w:val="24"/>
          <w:shd w:val="clear" w:color="auto" w:fill="FFFFFF"/>
          <w:lang w:val="en-US" w:eastAsia="zh-CN" w:bidi="ar-SA"/>
        </w:rPr>
        <w:t>，死水位828.00m，死库容为121万m</w:t>
      </w:r>
      <w:r>
        <w:rPr>
          <w:rFonts w:hint="eastAsia" w:ascii="Times New Roman" w:hAnsi="宋体" w:eastAsia="宋体" w:cs="Times New Roman"/>
          <w:color w:val="000000"/>
          <w:kern w:val="2"/>
          <w:sz w:val="24"/>
          <w:szCs w:val="24"/>
          <w:shd w:val="clear" w:color="auto" w:fill="FFFFFF"/>
          <w:vertAlign w:val="superscript"/>
          <w:lang w:val="en-US" w:eastAsia="zh-CN" w:bidi="ar-SA"/>
        </w:rPr>
        <w:t>3</w:t>
      </w:r>
      <w:r>
        <w:rPr>
          <w:rFonts w:hint="eastAsia" w:ascii="Times New Roman" w:hAnsi="宋体" w:eastAsia="宋体" w:cs="Times New Roman"/>
          <w:color w:val="000000"/>
          <w:kern w:val="2"/>
          <w:sz w:val="24"/>
          <w:szCs w:val="24"/>
          <w:shd w:val="clear" w:color="auto" w:fill="FFFFFF"/>
          <w:lang w:val="en-US" w:eastAsia="zh-CN" w:bidi="ar-SA"/>
        </w:rPr>
        <w:t>，水库调节库容928万m</w:t>
      </w:r>
      <w:r>
        <w:rPr>
          <w:rFonts w:hint="eastAsia" w:ascii="Times New Roman" w:hAnsi="宋体" w:eastAsia="宋体" w:cs="Times New Roman"/>
          <w:color w:val="000000"/>
          <w:kern w:val="2"/>
          <w:sz w:val="24"/>
          <w:szCs w:val="24"/>
          <w:shd w:val="clear" w:color="auto" w:fill="FFFFFF"/>
          <w:vertAlign w:val="superscript"/>
          <w:lang w:val="en-US" w:eastAsia="zh-CN" w:bidi="ar-SA"/>
        </w:rPr>
        <w:t>3</w:t>
      </w:r>
      <w:r>
        <w:rPr>
          <w:rFonts w:hint="eastAsia" w:ascii="Times New Roman" w:hAnsi="宋体" w:eastAsia="宋体" w:cs="Times New Roman"/>
          <w:color w:val="000000"/>
          <w:kern w:val="2"/>
          <w:sz w:val="24"/>
          <w:szCs w:val="24"/>
          <w:shd w:val="clear" w:color="auto" w:fill="FFFFFF"/>
          <w:lang w:val="en-US" w:eastAsia="zh-CN" w:bidi="ar-SA"/>
        </w:rPr>
        <w:t>。下水库位于吉溪林场山间谷地坣背，下水库坝址集水面积为15.30km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(不含上水库)，多年平均径流量为4488.00万m</w:t>
      </w:r>
      <w:r>
        <w:rPr>
          <w:rFonts w:hint="eastAsia" w:ascii="Times New Roman" w:hAnsi="宋体" w:eastAsia="宋体" w:cs="Times New Roman"/>
          <w:color w:val="000000"/>
          <w:kern w:val="2"/>
          <w:sz w:val="24"/>
          <w:szCs w:val="24"/>
          <w:shd w:val="clear" w:color="auto" w:fill="FFFFFF"/>
          <w:vertAlign w:val="superscript"/>
          <w:lang w:val="en-US" w:eastAsia="zh-CN" w:bidi="ar-SA"/>
        </w:rPr>
        <w:t>3</w:t>
      </w:r>
      <w:r>
        <w:rPr>
          <w:rFonts w:hint="eastAsia" w:ascii="Times New Roman" w:hAnsi="宋体" w:eastAsia="宋体" w:cs="Times New Roman"/>
          <w:color w:val="000000"/>
          <w:kern w:val="2"/>
          <w:sz w:val="24"/>
          <w:szCs w:val="24"/>
          <w:shd w:val="clear" w:color="auto" w:fill="FFFFFF"/>
          <w:lang w:val="en-US" w:eastAsia="zh-CN" w:bidi="ar-SA"/>
        </w:rPr>
        <w:t>。下水库正常蓄水位232.00m，相应正常蓄水位库容953万m</w:t>
      </w:r>
      <w:r>
        <w:rPr>
          <w:rFonts w:hint="eastAsia" w:ascii="Times New Roman" w:hAnsi="宋体" w:eastAsia="宋体" w:cs="Times New Roman"/>
          <w:color w:val="000000"/>
          <w:kern w:val="2"/>
          <w:sz w:val="24"/>
          <w:szCs w:val="24"/>
          <w:shd w:val="clear" w:color="auto" w:fill="FFFFFF"/>
          <w:vertAlign w:val="superscript"/>
          <w:lang w:val="en-US" w:eastAsia="zh-CN" w:bidi="ar-SA"/>
        </w:rPr>
        <w:t>3</w:t>
      </w:r>
      <w:r>
        <w:rPr>
          <w:rFonts w:hint="eastAsia" w:ascii="Times New Roman" w:hAnsi="宋体" w:eastAsia="宋体" w:cs="Times New Roman"/>
          <w:color w:val="000000"/>
          <w:kern w:val="2"/>
          <w:sz w:val="24"/>
          <w:szCs w:val="24"/>
          <w:shd w:val="clear" w:color="auto" w:fill="FFFFFF"/>
          <w:lang w:val="en-US" w:eastAsia="zh-CN" w:bidi="ar-SA"/>
        </w:rPr>
        <w:t>，总库容为1085.1万m</w:t>
      </w:r>
      <w:r>
        <w:rPr>
          <w:rFonts w:hint="eastAsia" w:ascii="Times New Roman" w:hAnsi="宋体" w:eastAsia="宋体" w:cs="Times New Roman"/>
          <w:color w:val="000000"/>
          <w:kern w:val="2"/>
          <w:sz w:val="24"/>
          <w:szCs w:val="24"/>
          <w:shd w:val="clear" w:color="auto" w:fill="FFFFFF"/>
          <w:vertAlign w:val="superscript"/>
          <w:lang w:val="en-US" w:eastAsia="zh-CN" w:bidi="ar-SA"/>
        </w:rPr>
        <w:t>3</w:t>
      </w:r>
      <w:r>
        <w:rPr>
          <w:rFonts w:hint="eastAsia" w:ascii="Times New Roman" w:hAnsi="宋体" w:eastAsia="宋体" w:cs="Times New Roman"/>
          <w:color w:val="000000"/>
          <w:kern w:val="2"/>
          <w:sz w:val="24"/>
          <w:szCs w:val="24"/>
          <w:shd w:val="clear" w:color="auto" w:fill="FFFFFF"/>
          <w:lang w:val="en-US" w:eastAsia="zh-CN" w:bidi="ar-SA"/>
        </w:rPr>
        <w:t>，死水位193.00m，死库容为106万m</w:t>
      </w:r>
      <w:r>
        <w:rPr>
          <w:rFonts w:hint="eastAsia" w:ascii="Times New Roman" w:hAnsi="宋体" w:eastAsia="宋体" w:cs="Times New Roman"/>
          <w:color w:val="000000"/>
          <w:kern w:val="2"/>
          <w:sz w:val="24"/>
          <w:szCs w:val="24"/>
          <w:shd w:val="clear" w:color="auto" w:fill="FFFFFF"/>
          <w:vertAlign w:val="superscript"/>
          <w:lang w:val="en-US" w:eastAsia="zh-CN" w:bidi="ar-SA"/>
        </w:rPr>
        <w:t>3</w:t>
      </w:r>
      <w:r>
        <w:rPr>
          <w:rFonts w:hint="eastAsia" w:ascii="Times New Roman" w:hAnsi="宋体" w:eastAsia="宋体" w:cs="Times New Roman"/>
          <w:color w:val="000000"/>
          <w:kern w:val="2"/>
          <w:sz w:val="24"/>
          <w:szCs w:val="24"/>
          <w:shd w:val="clear" w:color="auto" w:fill="FFFFFF"/>
          <w:lang w:val="en-US" w:eastAsia="zh-CN" w:bidi="ar-SA"/>
        </w:rPr>
        <w:t>，调节库容为848万m</w:t>
      </w:r>
      <w:r>
        <w:rPr>
          <w:rFonts w:hint="eastAsia" w:ascii="Times New Roman" w:hAnsi="宋体" w:eastAsia="宋体" w:cs="Times New Roman"/>
          <w:color w:val="000000"/>
          <w:kern w:val="2"/>
          <w:sz w:val="24"/>
          <w:szCs w:val="24"/>
          <w:shd w:val="clear" w:color="auto" w:fill="FFFFFF"/>
          <w:vertAlign w:val="superscript"/>
          <w:lang w:val="en-US" w:eastAsia="zh-CN" w:bidi="ar-SA"/>
        </w:rPr>
        <w:t>3</w:t>
      </w:r>
      <w:r>
        <w:rPr>
          <w:rFonts w:hint="eastAsia" w:ascii="Times New Roman" w:hAnsi="宋体" w:eastAsia="宋体" w:cs="Times New Roman"/>
          <w:color w:val="000000"/>
          <w:kern w:val="2"/>
          <w:sz w:val="24"/>
          <w:szCs w:val="24"/>
          <w:shd w:val="clear" w:color="auto" w:fill="FFFFFF"/>
          <w:lang w:val="en-US" w:eastAsia="zh-CN" w:bidi="ar-SA"/>
        </w:rPr>
        <w:t>。</w:t>
      </w:r>
    </w:p>
    <w:p>
      <w:pPr>
        <w:adjustRightInd w:val="0"/>
        <w:snapToGrid w:val="0"/>
        <w:spacing w:line="480" w:lineRule="exact"/>
        <w:ind w:firstLine="480" w:firstLineChars="200"/>
        <w:rPr>
          <w:rFonts w:hAnsi="宋体" w:cs="Times New Roman"/>
          <w:color w:val="000000"/>
          <w:sz w:val="24"/>
          <w:szCs w:val="24"/>
        </w:rPr>
      </w:pPr>
      <w:r>
        <w:rPr>
          <w:rFonts w:hint="eastAsia" w:hAnsi="宋体" w:cs="Times New Roman"/>
          <w:color w:val="000000"/>
          <w:sz w:val="24"/>
          <w:szCs w:val="24"/>
        </w:rPr>
        <w:t>根据《广东陆河抽水蓄能电站可行性研究阶段正常蓄水位专题研究报告》，陆河</w:t>
      </w:r>
      <w:r>
        <w:rPr>
          <w:rFonts w:hAnsi="宋体" w:cs="Times New Roman"/>
          <w:color w:val="000000"/>
          <w:sz w:val="24"/>
          <w:szCs w:val="24"/>
        </w:rPr>
        <w:t>抽水蓄能电站装机容量</w:t>
      </w:r>
      <w:r>
        <w:rPr>
          <w:rFonts w:cs="Times New Roman"/>
          <w:color w:val="000000"/>
          <w:sz w:val="24"/>
          <w:szCs w:val="24"/>
        </w:rPr>
        <w:t>1400MW</w:t>
      </w:r>
      <w:r>
        <w:rPr>
          <w:rFonts w:hAnsi="宋体" w:cs="Times New Roman"/>
          <w:color w:val="000000"/>
          <w:sz w:val="24"/>
          <w:szCs w:val="24"/>
        </w:rPr>
        <w:t>，装机</w:t>
      </w:r>
      <w:r>
        <w:rPr>
          <w:rFonts w:cs="Times New Roman"/>
          <w:color w:val="000000"/>
          <w:sz w:val="24"/>
          <w:szCs w:val="24"/>
        </w:rPr>
        <w:t>4</w:t>
      </w:r>
      <w:r>
        <w:rPr>
          <w:rFonts w:hAnsi="宋体" w:cs="Times New Roman"/>
          <w:color w:val="000000"/>
          <w:sz w:val="24"/>
          <w:szCs w:val="24"/>
        </w:rPr>
        <w:t>台单机容量</w:t>
      </w:r>
      <w:r>
        <w:rPr>
          <w:rFonts w:cs="Times New Roman"/>
          <w:color w:val="000000"/>
          <w:sz w:val="24"/>
          <w:szCs w:val="24"/>
        </w:rPr>
        <w:t>350MW</w:t>
      </w:r>
      <w:r>
        <w:rPr>
          <w:rFonts w:hint="eastAsia" w:hAnsi="宋体" w:cs="Times New Roman"/>
          <w:color w:val="000000"/>
          <w:sz w:val="24"/>
          <w:szCs w:val="24"/>
        </w:rPr>
        <w:t>立轴混流可逆式抽水蓄能机组，初拟额定水头618m，输水系统采用一洞四机、中部式地下厂房布置，输水线路水平距离约2755m，距高比4.46。</w:t>
      </w:r>
    </w:p>
    <w:p>
      <w:pPr>
        <w:adjustRightInd w:val="0"/>
        <w:snapToGrid w:val="0"/>
        <w:spacing w:line="480" w:lineRule="exact"/>
        <w:ind w:firstLine="480" w:firstLineChars="200"/>
        <w:rPr>
          <w:rFonts w:hint="eastAsia" w:cs="Times New Roman"/>
          <w:color w:val="000000"/>
          <w:sz w:val="24"/>
          <w:szCs w:val="24"/>
        </w:rPr>
      </w:pPr>
      <w:r>
        <w:rPr>
          <w:rFonts w:hint="eastAsia" w:cs="Times New Roman"/>
          <w:color w:val="000000"/>
          <w:sz w:val="24"/>
          <w:szCs w:val="24"/>
        </w:rPr>
        <w:t>电站对外交通条件较好，甬莞高速、S335省道等在站址附近通过，下水库距陆河县县城41km，其中S335省道23km，县道13km，简易道路(宽约5.0m)5km，省道及县道为双车道混凝土(或沥青混凝土)路面。工程距汕尾市、广州市公路里程分别为55km、210km。</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抽水蓄能电站为一等大</w:t>
      </w:r>
      <w:r>
        <w:rPr>
          <w:rFonts w:ascii="Times New Roman" w:hAnsi="Times New Roman" w:eastAsia="宋体" w:cs="Times New Roman"/>
          <w:color w:val="000000"/>
          <w:kern w:val="2"/>
          <w:sz w:val="24"/>
          <w:szCs w:val="24"/>
          <w:shd w:val="clear" w:color="auto" w:fill="FFFFFF"/>
          <w:lang w:val="en-US" w:eastAsia="zh-CN" w:bidi="ar-SA"/>
        </w:rPr>
        <w:t>(1)</w:t>
      </w:r>
      <w:r>
        <w:rPr>
          <w:rFonts w:ascii="Times New Roman" w:hAnsi="宋体" w:eastAsia="宋体" w:cs="Times New Roman"/>
          <w:color w:val="000000"/>
          <w:kern w:val="2"/>
          <w:sz w:val="24"/>
          <w:szCs w:val="24"/>
          <w:shd w:val="clear" w:color="auto" w:fill="FFFFFF"/>
          <w:lang w:val="en-US" w:eastAsia="zh-CN" w:bidi="ar-SA"/>
        </w:rPr>
        <w:t>型工程。主要建筑物按</w:t>
      </w:r>
      <w:r>
        <w:rPr>
          <w:rFonts w:ascii="Times New Roman" w:hAnsi="Times New Roman" w:eastAsia="宋体" w:cs="Times New Roman"/>
          <w:color w:val="000000"/>
          <w:kern w:val="2"/>
          <w:sz w:val="24"/>
          <w:szCs w:val="24"/>
          <w:shd w:val="clear" w:color="auto" w:fill="FFFFFF"/>
          <w:lang w:val="en-US" w:eastAsia="zh-CN" w:bidi="ar-SA"/>
        </w:rPr>
        <w:t>1</w:t>
      </w:r>
      <w:r>
        <w:rPr>
          <w:rFonts w:ascii="Times New Roman" w:hAnsi="宋体" w:eastAsia="宋体" w:cs="Times New Roman"/>
          <w:color w:val="000000"/>
          <w:kern w:val="2"/>
          <w:sz w:val="24"/>
          <w:szCs w:val="24"/>
          <w:shd w:val="clear" w:color="auto" w:fill="FFFFFF"/>
          <w:lang w:val="en-US" w:eastAsia="zh-CN" w:bidi="ar-SA"/>
        </w:rPr>
        <w:t>级建筑物设计；次要建筑物，按</w:t>
      </w:r>
      <w:r>
        <w:rPr>
          <w:rFonts w:ascii="Times New Roman" w:hAnsi="Times New Roman" w:eastAsia="宋体" w:cs="Times New Roman"/>
          <w:color w:val="000000"/>
          <w:kern w:val="2"/>
          <w:sz w:val="24"/>
          <w:szCs w:val="24"/>
          <w:shd w:val="clear" w:color="auto" w:fill="FFFFFF"/>
          <w:lang w:val="en-US" w:eastAsia="zh-CN" w:bidi="ar-SA"/>
        </w:rPr>
        <w:t>3</w:t>
      </w:r>
      <w:r>
        <w:rPr>
          <w:rFonts w:ascii="Times New Roman" w:hAnsi="宋体" w:eastAsia="宋体" w:cs="Times New Roman"/>
          <w:color w:val="000000"/>
          <w:kern w:val="2"/>
          <w:sz w:val="24"/>
          <w:szCs w:val="24"/>
          <w:shd w:val="clear" w:color="auto" w:fill="FFFFFF"/>
          <w:lang w:val="en-US" w:eastAsia="zh-CN" w:bidi="ar-SA"/>
        </w:rPr>
        <w:t>级建筑物设计；临时建筑物按</w:t>
      </w:r>
      <w:r>
        <w:rPr>
          <w:rFonts w:ascii="Times New Roman" w:hAnsi="Times New Roman" w:eastAsia="宋体" w:cs="Times New Roman"/>
          <w:color w:val="000000"/>
          <w:kern w:val="2"/>
          <w:sz w:val="24"/>
          <w:szCs w:val="24"/>
          <w:shd w:val="clear" w:color="auto" w:fill="FFFFFF"/>
          <w:lang w:val="en-US" w:eastAsia="zh-CN" w:bidi="ar-SA"/>
        </w:rPr>
        <w:t>4</w:t>
      </w:r>
      <w:r>
        <w:rPr>
          <w:rFonts w:ascii="Times New Roman" w:hAnsi="宋体" w:eastAsia="宋体" w:cs="Times New Roman"/>
          <w:color w:val="000000"/>
          <w:kern w:val="2"/>
          <w:sz w:val="24"/>
          <w:szCs w:val="24"/>
          <w:shd w:val="clear" w:color="auto" w:fill="FFFFFF"/>
          <w:lang w:val="en-US" w:eastAsia="zh-CN" w:bidi="ar-SA"/>
        </w:rPr>
        <w:t>级建筑物设计。</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上水库枢纽建</w:t>
      </w:r>
      <w:r>
        <w:rPr>
          <w:rFonts w:hint="eastAsia" w:ascii="Times New Roman" w:hAnsi="宋体" w:eastAsia="宋体" w:cs="Times New Roman"/>
          <w:color w:val="000000"/>
          <w:kern w:val="2"/>
          <w:sz w:val="24"/>
          <w:szCs w:val="24"/>
          <w:shd w:val="clear" w:color="auto" w:fill="FFFFFF"/>
          <w:lang w:val="en-US" w:eastAsia="zh-CN" w:bidi="ar-SA"/>
        </w:rPr>
        <w:t>枢纽主要挡水建筑物为1座主坝，5座副坝，主坝为混凝土面板堆石坝，副坝均为塑性混凝土心墙堆渣坝，无泄洪建筑物。混凝土面板堆石坝坝顶高程858.00m，坝顶宽度10.00m，最大坝高64.00m，坝顶轴线长414.00m，坝顶设U型防浪墙，上游墙高4.0m，下游墙高3.3m。拟定大坝上游坝坡为1:1.406，下游坝坡为1:1.4。</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塑性混凝土心墙堆渣坝坝顶高程858.00m，坝顶宽度10.00m，副坝一～副坝五的最大坝高分别为25、20、15、25、12m，坝顶长分别为124、60、59、172、48m。坝顶设L型防浪墙，墙高2.2m。大坝上游坝坡1∶2.2，大坝下游坝坡1∶2.5，坡脚设排水棱体，顶宽1.50m，上游坡比1∶1.3，下游坡比1∶2.5。</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下水库大坝采用碾压混凝土重力坝，坝顶高程245.00m，坝顶长456m，最大坝高98m，大坝建基面为弱风化岩体。从左至右依次布置左岸挡水坝段、泄水坝段、右岸挡水坝段。左岸挡水坝段长133m；泄水坝段由溢流表孔和泄洪放空底孔组成，泄洪放空底孔位于河床中间；右岸挡水坝段长255m。</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泄水坝段共设置</w:t>
      </w:r>
      <w:r>
        <w:rPr>
          <w:rFonts w:ascii="Times New Roman" w:hAnsi="宋体" w:eastAsia="宋体" w:cs="Times New Roman"/>
          <w:color w:val="000000"/>
          <w:kern w:val="2"/>
          <w:sz w:val="24"/>
          <w:szCs w:val="24"/>
          <w:shd w:val="clear" w:color="auto" w:fill="FFFFFF"/>
          <w:lang w:val="en-US" w:eastAsia="zh-CN" w:bidi="ar-SA"/>
        </w:rPr>
        <w:t>4</w:t>
      </w:r>
      <w:r>
        <w:rPr>
          <w:rFonts w:hint="eastAsia" w:ascii="Times New Roman" w:hAnsi="宋体" w:eastAsia="宋体" w:cs="Times New Roman"/>
          <w:color w:val="000000"/>
          <w:kern w:val="2"/>
          <w:sz w:val="24"/>
          <w:szCs w:val="24"/>
          <w:shd w:val="clear" w:color="auto" w:fill="FFFFFF"/>
          <w:lang w:val="en-US" w:eastAsia="zh-CN" w:bidi="ar-SA"/>
        </w:rPr>
        <w:t>个溢流表孔，单孔净宽</w:t>
      </w:r>
      <w:r>
        <w:rPr>
          <w:rFonts w:ascii="Times New Roman" w:hAnsi="宋体" w:eastAsia="宋体" w:cs="Times New Roman"/>
          <w:color w:val="000000"/>
          <w:kern w:val="2"/>
          <w:sz w:val="24"/>
          <w:szCs w:val="24"/>
          <w:shd w:val="clear" w:color="auto" w:fill="FFFFFF"/>
          <w:lang w:val="en-US" w:eastAsia="zh-CN" w:bidi="ar-SA"/>
        </w:rPr>
        <w:t>12m</w:t>
      </w:r>
      <w:r>
        <w:rPr>
          <w:rFonts w:hint="eastAsia" w:ascii="Times New Roman" w:hAnsi="宋体" w:eastAsia="宋体" w:cs="Times New Roman"/>
          <w:color w:val="000000"/>
          <w:kern w:val="2"/>
          <w:sz w:val="24"/>
          <w:szCs w:val="24"/>
          <w:shd w:val="clear" w:color="auto" w:fill="FFFFFF"/>
          <w:lang w:val="en-US" w:eastAsia="zh-CN" w:bidi="ar-SA"/>
        </w:rPr>
        <w:t>，采用</w:t>
      </w:r>
      <w:r>
        <w:rPr>
          <w:rFonts w:ascii="Times New Roman" w:hAnsi="宋体" w:eastAsia="宋体" w:cs="Times New Roman"/>
          <w:color w:val="000000"/>
          <w:kern w:val="2"/>
          <w:sz w:val="24"/>
          <w:szCs w:val="24"/>
          <w:shd w:val="clear" w:color="auto" w:fill="FFFFFF"/>
          <w:lang w:val="en-US" w:eastAsia="zh-CN" w:bidi="ar-SA"/>
        </w:rPr>
        <w:t>WES</w:t>
      </w:r>
      <w:r>
        <w:rPr>
          <w:rFonts w:hint="eastAsia" w:ascii="Times New Roman" w:hAnsi="宋体" w:eastAsia="宋体" w:cs="Times New Roman"/>
          <w:color w:val="000000"/>
          <w:kern w:val="2"/>
          <w:sz w:val="24"/>
          <w:szCs w:val="24"/>
          <w:shd w:val="clear" w:color="auto" w:fill="FFFFFF"/>
          <w:lang w:val="en-US" w:eastAsia="zh-CN" w:bidi="ar-SA"/>
        </w:rPr>
        <w:t>实用堰，无闸门控制，堰顶高程</w:t>
      </w:r>
      <w:r>
        <w:rPr>
          <w:rFonts w:ascii="Times New Roman" w:hAnsi="宋体" w:eastAsia="宋体" w:cs="Times New Roman"/>
          <w:color w:val="000000"/>
          <w:kern w:val="2"/>
          <w:sz w:val="24"/>
          <w:szCs w:val="24"/>
          <w:shd w:val="clear" w:color="auto" w:fill="FFFFFF"/>
          <w:lang w:val="en-US" w:eastAsia="zh-CN" w:bidi="ar-SA"/>
        </w:rPr>
        <w:t>232.00m</w:t>
      </w:r>
      <w:r>
        <w:rPr>
          <w:rFonts w:hint="eastAsia" w:ascii="Times New Roman" w:hAnsi="宋体" w:eastAsia="宋体" w:cs="Times New Roman"/>
          <w:color w:val="000000"/>
          <w:kern w:val="2"/>
          <w:sz w:val="24"/>
          <w:szCs w:val="24"/>
          <w:shd w:val="clear" w:color="auto" w:fill="FFFFFF"/>
          <w:lang w:val="en-US" w:eastAsia="zh-CN" w:bidi="ar-SA"/>
        </w:rPr>
        <w:t>。泄洪放空底孔布置在溢流表孔中间，采用无压坝身泄水孔，孔口尺寸</w:t>
      </w:r>
      <w:r>
        <w:rPr>
          <w:rFonts w:ascii="Times New Roman" w:hAnsi="宋体" w:eastAsia="宋体" w:cs="Times New Roman"/>
          <w:color w:val="000000"/>
          <w:kern w:val="2"/>
          <w:sz w:val="24"/>
          <w:szCs w:val="24"/>
          <w:shd w:val="clear" w:color="auto" w:fill="FFFFFF"/>
          <w:lang w:val="en-US" w:eastAsia="zh-CN" w:bidi="ar-SA"/>
        </w:rPr>
        <w:t>2.5m</w:t>
      </w:r>
      <w:r>
        <w:rPr>
          <w:rFonts w:hint="eastAsia"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3m</w:t>
      </w:r>
      <w:r>
        <w:rPr>
          <w:rFonts w:hint="eastAsia" w:ascii="Times New Roman" w:hAnsi="宋体" w:eastAsia="宋体" w:cs="Times New Roman"/>
          <w:color w:val="000000"/>
          <w:kern w:val="2"/>
          <w:sz w:val="24"/>
          <w:szCs w:val="24"/>
          <w:shd w:val="clear" w:color="auto" w:fill="FFFFFF"/>
          <w:lang w:val="en-US" w:eastAsia="zh-CN" w:bidi="ar-SA"/>
        </w:rPr>
        <w:t>，进口底板高程</w:t>
      </w:r>
      <w:r>
        <w:rPr>
          <w:rFonts w:ascii="Times New Roman" w:hAnsi="宋体" w:eastAsia="宋体" w:cs="Times New Roman"/>
          <w:color w:val="000000"/>
          <w:kern w:val="2"/>
          <w:sz w:val="24"/>
          <w:szCs w:val="24"/>
          <w:shd w:val="clear" w:color="auto" w:fill="FFFFFF"/>
          <w:lang w:val="en-US" w:eastAsia="zh-CN" w:bidi="ar-SA"/>
        </w:rPr>
        <w:t>181.00m</w:t>
      </w:r>
      <w:r>
        <w:rPr>
          <w:rFonts w:hint="eastAsia" w:ascii="Times New Roman" w:hAnsi="宋体" w:eastAsia="宋体" w:cs="Times New Roman"/>
          <w:color w:val="000000"/>
          <w:kern w:val="2"/>
          <w:sz w:val="24"/>
          <w:szCs w:val="24"/>
          <w:shd w:val="clear" w:color="auto" w:fill="FFFFFF"/>
          <w:lang w:val="en-US" w:eastAsia="zh-CN" w:bidi="ar-SA"/>
        </w:rPr>
        <w:t>。底孔右侧坝体混凝土埋设</w:t>
      </w:r>
      <w:r>
        <w:rPr>
          <w:rFonts w:ascii="Times New Roman" w:hAnsi="宋体" w:eastAsia="宋体" w:cs="Times New Roman"/>
          <w:color w:val="000000"/>
          <w:kern w:val="2"/>
          <w:sz w:val="24"/>
          <w:szCs w:val="24"/>
          <w:shd w:val="clear" w:color="auto" w:fill="FFFFFF"/>
          <w:lang w:val="en-US" w:eastAsia="zh-CN" w:bidi="ar-SA"/>
        </w:rPr>
        <w:t>1</w:t>
      </w:r>
      <w:r>
        <w:rPr>
          <w:rFonts w:hint="eastAsia" w:ascii="Times New Roman" w:hAnsi="宋体" w:eastAsia="宋体" w:cs="Times New Roman"/>
          <w:color w:val="000000"/>
          <w:kern w:val="2"/>
          <w:sz w:val="24"/>
          <w:szCs w:val="24"/>
          <w:shd w:val="clear" w:color="auto" w:fill="FFFFFF"/>
          <w:lang w:val="en-US" w:eastAsia="zh-CN" w:bidi="ar-SA"/>
        </w:rPr>
        <w:t>根生态泄放管，管径</w:t>
      </w:r>
      <w:r>
        <w:rPr>
          <w:rFonts w:ascii="Times New Roman" w:hAnsi="宋体" w:eastAsia="宋体" w:cs="Times New Roman"/>
          <w:color w:val="000000"/>
          <w:kern w:val="2"/>
          <w:sz w:val="24"/>
          <w:szCs w:val="24"/>
          <w:shd w:val="clear" w:color="auto" w:fill="FFFFFF"/>
          <w:lang w:val="en-US" w:eastAsia="zh-CN" w:bidi="ar-SA"/>
        </w:rPr>
        <w:t>500mm</w:t>
      </w:r>
      <w:r>
        <w:rPr>
          <w:rFonts w:hint="eastAsia" w:ascii="Times New Roman" w:hAnsi="宋体" w:eastAsia="宋体" w:cs="Times New Roman"/>
          <w:color w:val="000000"/>
          <w:kern w:val="2"/>
          <w:sz w:val="24"/>
          <w:szCs w:val="24"/>
          <w:shd w:val="clear" w:color="auto" w:fill="FFFFFF"/>
          <w:lang w:val="en-US" w:eastAsia="zh-CN" w:bidi="ar-SA"/>
        </w:rPr>
        <w:t>，中心线高程</w:t>
      </w:r>
      <w:r>
        <w:rPr>
          <w:rFonts w:ascii="Times New Roman" w:hAnsi="宋体" w:eastAsia="宋体" w:cs="Times New Roman"/>
          <w:color w:val="000000"/>
          <w:kern w:val="2"/>
          <w:sz w:val="24"/>
          <w:szCs w:val="24"/>
          <w:shd w:val="clear" w:color="auto" w:fill="FFFFFF"/>
          <w:lang w:val="en-US" w:eastAsia="zh-CN" w:bidi="ar-SA"/>
        </w:rPr>
        <w:t>156.00m。</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输水发电系统包括</w:t>
      </w:r>
      <w:r>
        <w:rPr>
          <w:rFonts w:hint="eastAsia" w:ascii="Times New Roman" w:hAnsi="宋体" w:eastAsia="宋体" w:cs="Times New Roman"/>
          <w:color w:val="000000"/>
          <w:kern w:val="2"/>
          <w:sz w:val="24"/>
          <w:szCs w:val="24"/>
          <w:shd w:val="clear" w:color="auto" w:fill="FFFFFF"/>
          <w:lang w:val="en-US" w:eastAsia="zh-CN" w:bidi="ar-SA"/>
        </w:rPr>
        <w:t>主厂房洞、主变洞、母线洞、主变运输洞、电缆交通洞、进厂交通洞、通风兼安全洞等。地下厂房采用中部式开发方式</w:t>
      </w:r>
      <w:r>
        <w:rPr>
          <w:rFonts w:ascii="Times New Roman" w:hAnsi="宋体" w:eastAsia="宋体" w:cs="Times New Roman"/>
          <w:color w:val="000000"/>
          <w:kern w:val="2"/>
          <w:sz w:val="24"/>
          <w:szCs w:val="24"/>
          <w:shd w:val="clear" w:color="auto" w:fill="FFFFFF"/>
          <w:lang w:val="en-US" w:eastAsia="zh-CN" w:bidi="ar-SA"/>
        </w:rPr>
        <w:t>，</w:t>
      </w:r>
      <w:r>
        <w:rPr>
          <w:rFonts w:hint="eastAsia" w:ascii="Times New Roman" w:hAnsi="Times New Roman" w:eastAsia="宋体" w:cs="Times New Roman"/>
          <w:color w:val="000000"/>
          <w:kern w:val="2"/>
          <w:sz w:val="24"/>
          <w:szCs w:val="24"/>
          <w:shd w:val="clear" w:color="auto" w:fill="FFFFFF"/>
          <w:lang w:val="en-US" w:eastAsia="zh-CN" w:bidi="ar-SA"/>
        </w:rPr>
        <w:t>178.00m×26.00m×58.22m(长×宽×高)</w:t>
      </w:r>
      <w:r>
        <w:rPr>
          <w:rFonts w:ascii="Times New Roman" w:hAnsi="宋体" w:eastAsia="宋体" w:cs="Times New Roman"/>
          <w:color w:val="000000"/>
          <w:kern w:val="2"/>
          <w:sz w:val="24"/>
          <w:szCs w:val="24"/>
          <w:shd w:val="clear" w:color="auto" w:fill="FFFFFF"/>
          <w:lang w:val="en-US" w:eastAsia="zh-CN" w:bidi="ar-SA"/>
        </w:rPr>
        <w:t>；</w:t>
      </w:r>
      <w:r>
        <w:rPr>
          <w:rFonts w:hint="eastAsia" w:ascii="Times New Roman" w:hAnsi="宋体" w:eastAsia="宋体" w:cs="Times New Roman"/>
          <w:color w:val="000000"/>
          <w:kern w:val="2"/>
          <w:sz w:val="24"/>
          <w:szCs w:val="24"/>
          <w:shd w:val="clear" w:color="auto" w:fill="FFFFFF"/>
          <w:lang w:val="en-US" w:eastAsia="zh-CN" w:bidi="ar-SA"/>
        </w:rPr>
        <w:t>输</w:t>
      </w:r>
      <w:r>
        <w:rPr>
          <w:rFonts w:ascii="Times New Roman" w:hAnsi="宋体" w:eastAsia="宋体" w:cs="Times New Roman"/>
          <w:color w:val="000000"/>
          <w:kern w:val="2"/>
          <w:sz w:val="24"/>
          <w:szCs w:val="24"/>
          <w:shd w:val="clear" w:color="auto" w:fill="FFFFFF"/>
          <w:lang w:val="en-US" w:eastAsia="zh-CN" w:bidi="ar-SA"/>
        </w:rPr>
        <w:t>水</w:t>
      </w:r>
      <w:r>
        <w:rPr>
          <w:rFonts w:hint="eastAsia" w:ascii="Times New Roman" w:hAnsi="宋体" w:eastAsia="宋体" w:cs="Times New Roman"/>
          <w:color w:val="000000"/>
          <w:kern w:val="2"/>
          <w:sz w:val="24"/>
          <w:szCs w:val="24"/>
          <w:shd w:val="clear" w:color="auto" w:fill="FFFFFF"/>
          <w:lang w:val="en-US" w:eastAsia="zh-CN" w:bidi="ar-SA"/>
        </w:rPr>
        <w:t>系统</w:t>
      </w:r>
      <w:r>
        <w:rPr>
          <w:rFonts w:ascii="Times New Roman" w:hAnsi="宋体" w:eastAsia="宋体" w:cs="Times New Roman"/>
          <w:color w:val="000000"/>
          <w:kern w:val="2"/>
          <w:sz w:val="24"/>
          <w:szCs w:val="24"/>
          <w:shd w:val="clear" w:color="auto" w:fill="FFFFFF"/>
          <w:lang w:val="en-US" w:eastAsia="zh-CN" w:bidi="ar-SA"/>
        </w:rPr>
        <w:t>采用</w:t>
      </w:r>
      <w:r>
        <w:rPr>
          <w:rFonts w:hint="eastAsia" w:ascii="Times New Roman" w:hAnsi="宋体" w:eastAsia="宋体" w:cs="Times New Roman"/>
          <w:color w:val="000000"/>
          <w:kern w:val="2"/>
          <w:sz w:val="24"/>
          <w:szCs w:val="24"/>
          <w:shd w:val="clear" w:color="auto" w:fill="FFFFFF"/>
          <w:lang w:val="en-US" w:eastAsia="zh-CN" w:bidi="ar-SA"/>
        </w:rPr>
        <w:t>一</w:t>
      </w:r>
      <w:r>
        <w:rPr>
          <w:rFonts w:ascii="Times New Roman" w:hAnsi="宋体" w:eastAsia="宋体" w:cs="Times New Roman"/>
          <w:color w:val="000000"/>
          <w:kern w:val="2"/>
          <w:sz w:val="24"/>
          <w:szCs w:val="24"/>
          <w:shd w:val="clear" w:color="auto" w:fill="FFFFFF"/>
          <w:lang w:val="en-US" w:eastAsia="zh-CN" w:bidi="ar-SA"/>
        </w:rPr>
        <w:t>洞四机布置</w:t>
      </w:r>
      <w:r>
        <w:rPr>
          <w:rFonts w:hint="eastAsia" w:ascii="Times New Roman" w:hAnsi="宋体" w:eastAsia="宋体" w:cs="Times New Roman"/>
          <w:color w:val="000000"/>
          <w:kern w:val="2"/>
          <w:sz w:val="24"/>
          <w:szCs w:val="24"/>
          <w:shd w:val="clear" w:color="auto" w:fill="FFFFFF"/>
          <w:lang w:val="en-US" w:eastAsia="zh-CN" w:bidi="ar-SA"/>
        </w:rPr>
        <w:t>；通风兼安全洞洞口设在下水库库岸道路旁，距下水库大坝约220m</w:t>
      </w:r>
      <w:r>
        <w:rPr>
          <w:rFonts w:ascii="Times New Roman" w:hAnsi="宋体" w:eastAsia="宋体" w:cs="Times New Roman"/>
          <w:color w:val="000000"/>
          <w:kern w:val="2"/>
          <w:sz w:val="24"/>
          <w:szCs w:val="24"/>
          <w:shd w:val="clear" w:color="auto" w:fill="FFFFFF"/>
          <w:lang w:val="en-US" w:eastAsia="zh-CN" w:bidi="ar-SA"/>
        </w:rPr>
        <w:t>。</w:t>
      </w:r>
    </w:p>
    <w:p>
      <w:pPr>
        <w:spacing w:line="40" w:lineRule="exact"/>
        <w:rPr>
          <w:rFonts w:hint="eastAsia" w:cs="Times New Roman"/>
          <w:color w:val="000000"/>
          <w:szCs w:val="22"/>
        </w:rPr>
      </w:pPr>
    </w:p>
    <w:p>
      <w:pPr>
        <w:widowControl w:val="0"/>
        <w:adjustRightInd w:val="0"/>
        <w:snapToGrid w:val="0"/>
        <w:spacing w:before="120" w:after="60" w:line="480" w:lineRule="exact"/>
        <w:jc w:val="left"/>
        <w:outlineLvl w:val="1"/>
        <w:rPr>
          <w:rFonts w:ascii="Times New Roman" w:hAnsi="Times New Roman" w:eastAsia="黑体" w:cs="Times New Roman"/>
          <w:b/>
          <w:bCs/>
          <w:color w:val="000000"/>
          <w:kern w:val="2"/>
          <w:sz w:val="28"/>
          <w:szCs w:val="28"/>
          <w:lang w:val="en-US" w:eastAsia="zh-CN" w:bidi="ar-SA"/>
        </w:rPr>
      </w:pPr>
      <w:bookmarkStart w:id="565" w:name="_Toc86257941"/>
      <w:bookmarkStart w:id="566" w:name="_Toc90945233"/>
      <w:r>
        <w:rPr>
          <w:rFonts w:ascii="Times New Roman" w:hAnsi="Times New Roman" w:eastAsia="黑体" w:cs="Times New Roman"/>
          <w:bCs/>
          <w:color w:val="000000"/>
          <w:kern w:val="2"/>
          <w:sz w:val="28"/>
          <w:szCs w:val="28"/>
          <w:lang w:val="en-US" w:eastAsia="zh-CN" w:bidi="ar-SA"/>
        </w:rPr>
        <w:t xml:space="preserve">1.2  </w:t>
      </w:r>
      <w:r>
        <w:rPr>
          <w:rFonts w:ascii="Times New Roman" w:hAnsi="宋体" w:eastAsia="黑体" w:cs="Times New Roman"/>
          <w:bCs/>
          <w:snapToGrid w:val="0"/>
          <w:color w:val="000000"/>
          <w:spacing w:val="4"/>
          <w:kern w:val="0"/>
          <w:sz w:val="28"/>
          <w:szCs w:val="28"/>
          <w:lang w:val="en-US" w:eastAsia="zh-CN" w:bidi="ar-SA"/>
        </w:rPr>
        <w:t>建设征地区概况</w:t>
      </w:r>
      <w:bookmarkEnd w:id="565"/>
      <w:bookmarkEnd w:id="566"/>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1.2.1  </w:t>
      </w:r>
      <w:r>
        <w:rPr>
          <w:rFonts w:ascii="Times New Roman" w:hAnsi="宋体" w:eastAsia="黑体" w:cs="Times New Roman"/>
          <w:bCs/>
          <w:snapToGrid w:val="0"/>
          <w:color w:val="000000"/>
          <w:kern w:val="0"/>
          <w:sz w:val="24"/>
          <w:szCs w:val="24"/>
          <w:lang w:val="en-US" w:eastAsia="zh-CN" w:bidi="ar-SA"/>
        </w:rPr>
        <w:t>自然条件概况</w:t>
      </w: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cs="Times New Roman"/>
          <w:color w:val="000000"/>
          <w:sz w:val="24"/>
          <w:szCs w:val="24"/>
        </w:rPr>
        <w:t xml:space="preserve">a) </w:t>
      </w:r>
      <w:r>
        <w:rPr>
          <w:rFonts w:hAnsi="宋体" w:cs="Times New Roman"/>
          <w:color w:val="000000"/>
          <w:sz w:val="24"/>
          <w:szCs w:val="24"/>
        </w:rPr>
        <w:t>位置</w:t>
      </w:r>
    </w:p>
    <w:p>
      <w:pPr>
        <w:overflowPunct w:val="0"/>
        <w:autoSpaceDE w:val="0"/>
        <w:autoSpaceDN w:val="0"/>
        <w:adjustRightInd w:val="0"/>
        <w:snapToGrid w:val="0"/>
        <w:spacing w:line="480" w:lineRule="exact"/>
        <w:ind w:firstLine="480" w:firstLineChars="200"/>
        <w:rPr>
          <w:rFonts w:hAnsi="宋体" w:cs="Times New Roman"/>
          <w:color w:val="000000"/>
          <w:sz w:val="24"/>
          <w:szCs w:val="24"/>
        </w:rPr>
      </w:pPr>
      <w:r>
        <w:rPr>
          <w:rFonts w:hint="eastAsia" w:hAnsi="宋体" w:cs="Times New Roman"/>
          <w:color w:val="000000"/>
          <w:sz w:val="24"/>
          <w:szCs w:val="24"/>
        </w:rPr>
        <w:t>陆河县地处广东省汕尾市东部沿海与兴梅山区结合部，汕尾市东北面。位于北纬23°68’一23°28’之间，东经115°24’~115°49’之间，北回归线横贯县境。东北邻揭西县，西连海丰、惠东、紫金县，南接陆丰市，北倚五华县，东南与普宁市接壤。县域总面积986平方千米。</w:t>
      </w: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int="eastAsia" w:cs="Times New Roman"/>
          <w:color w:val="000000"/>
          <w:sz w:val="24"/>
          <w:szCs w:val="24"/>
        </w:rPr>
        <w:t>b</w:t>
      </w:r>
      <w:r>
        <w:rPr>
          <w:rFonts w:cs="Times New Roman"/>
          <w:color w:val="000000"/>
          <w:sz w:val="24"/>
          <w:szCs w:val="24"/>
        </w:rPr>
        <w:t xml:space="preserve">) </w:t>
      </w:r>
      <w:r>
        <w:rPr>
          <w:rFonts w:hAnsi="宋体" w:cs="Times New Roman"/>
          <w:color w:val="000000"/>
          <w:sz w:val="24"/>
          <w:szCs w:val="24"/>
        </w:rPr>
        <w:t>气候</w:t>
      </w:r>
    </w:p>
    <w:p>
      <w:pPr>
        <w:overflowPunct w:val="0"/>
        <w:autoSpaceDE w:val="0"/>
        <w:autoSpaceDN w:val="0"/>
        <w:adjustRightInd w:val="0"/>
        <w:snapToGrid w:val="0"/>
        <w:spacing w:line="480" w:lineRule="exact"/>
        <w:ind w:firstLine="480" w:firstLineChars="200"/>
        <w:rPr>
          <w:rFonts w:hAnsi="宋体" w:cs="Times New Roman"/>
          <w:color w:val="000000"/>
          <w:sz w:val="24"/>
          <w:szCs w:val="24"/>
        </w:rPr>
      </w:pPr>
      <w:r>
        <w:rPr>
          <w:rFonts w:hint="eastAsia" w:hAnsi="宋体" w:cs="Times New Roman"/>
          <w:color w:val="000000"/>
          <w:sz w:val="24"/>
          <w:szCs w:val="24"/>
        </w:rPr>
        <w:t>陆河县属亚热带季风气候区，气候温和，雨量充沛，日照充足，年均气温21.5℃，年均降雨量2324mm，日照时数2138小时，无霜期350天以上。</w:t>
      </w: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int="eastAsia" w:cs="Times New Roman"/>
          <w:color w:val="000000"/>
          <w:sz w:val="24"/>
          <w:szCs w:val="24"/>
        </w:rPr>
        <w:t>c</w:t>
      </w:r>
      <w:r>
        <w:rPr>
          <w:rFonts w:cs="Times New Roman"/>
          <w:color w:val="000000"/>
          <w:sz w:val="24"/>
          <w:szCs w:val="24"/>
        </w:rPr>
        <w:t xml:space="preserve">) </w:t>
      </w:r>
      <w:r>
        <w:rPr>
          <w:rFonts w:hAnsi="宋体" w:cs="Times New Roman"/>
          <w:color w:val="000000"/>
          <w:sz w:val="24"/>
          <w:szCs w:val="24"/>
        </w:rPr>
        <w:t>矿产资源</w:t>
      </w:r>
    </w:p>
    <w:p>
      <w:pPr>
        <w:overflowPunct w:val="0"/>
        <w:autoSpaceDE w:val="0"/>
        <w:autoSpaceDN w:val="0"/>
        <w:adjustRightInd w:val="0"/>
        <w:snapToGrid w:val="0"/>
        <w:spacing w:line="480" w:lineRule="exact"/>
        <w:ind w:firstLine="480" w:firstLineChars="200"/>
        <w:rPr>
          <w:rFonts w:hAnsi="宋体" w:cs="Times New Roman"/>
          <w:color w:val="000000"/>
          <w:sz w:val="24"/>
          <w:szCs w:val="24"/>
        </w:rPr>
      </w:pPr>
      <w:r>
        <w:rPr>
          <w:rFonts w:hint="eastAsia" w:hAnsi="宋体" w:cs="Times New Roman"/>
          <w:color w:val="000000"/>
          <w:sz w:val="24"/>
          <w:szCs w:val="24"/>
        </w:rPr>
        <w:t>陆河县主要有矿泉水、花岗石、高岭土、稀土等非金属和锡、锌、铅、钛、钾长石、石英石等金属矿。其中花岗岩品种多达30种，储量2700万立方米，是价值较高的建筑装饰材料；钾长石品位高，是优质的陶瓷原料。</w:t>
      </w: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int="eastAsia" w:cs="Times New Roman"/>
          <w:color w:val="000000"/>
          <w:sz w:val="24"/>
          <w:szCs w:val="24"/>
        </w:rPr>
        <w:t>d</w:t>
      </w:r>
      <w:r>
        <w:rPr>
          <w:rFonts w:cs="Times New Roman"/>
          <w:color w:val="000000"/>
          <w:sz w:val="24"/>
          <w:szCs w:val="24"/>
        </w:rPr>
        <w:t xml:space="preserve">) </w:t>
      </w:r>
      <w:r>
        <w:rPr>
          <w:rFonts w:hAnsi="宋体" w:cs="Times New Roman"/>
          <w:color w:val="000000"/>
          <w:sz w:val="24"/>
          <w:szCs w:val="24"/>
        </w:rPr>
        <w:t>生物资源</w:t>
      </w: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int="eastAsia" w:hAnsi="宋体" w:cs="Times New Roman"/>
          <w:color w:val="000000"/>
          <w:sz w:val="24"/>
          <w:szCs w:val="24"/>
        </w:rPr>
        <w:t>火山嶂、尖山嶂、人字嶂、罗经嶂、狮子嶂、莲花山脉等山峰像天然的屏障一样把陆河环绕起来，使该县境内八个镇所在地均为开阔的小平原，土层深厚，土质肥沃，宜林宜果。全县森林覆盖率高达65.4%，拥有中国最大的红椎林自然保护区，松、杉、樟、桉、木荷、毛竹、绿竹等遍布山野，林木蓄积量达120万立方米。红椎林有极高的观赏价值和经济价值，红椎林自然保护区已被定为省级自然保护区。红椎林中，有成片的被誉为古老植物活化石的桫椤，是1亿6千万年前恐龙时代恐龙的主要食物，现存极少，十分珍贵。陆河境内的野生动物有野牛、野猪、野山羊、山兔、狐狸、穿山甲、蛇及鸟类等。</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1.2.2  </w:t>
      </w:r>
      <w:r>
        <w:rPr>
          <w:rFonts w:ascii="Times New Roman" w:hAnsi="宋体" w:eastAsia="黑体" w:cs="Times New Roman"/>
          <w:bCs/>
          <w:snapToGrid w:val="0"/>
          <w:color w:val="000000"/>
          <w:kern w:val="0"/>
          <w:sz w:val="24"/>
          <w:szCs w:val="24"/>
          <w:lang w:val="en-US" w:eastAsia="zh-CN" w:bidi="ar-SA"/>
        </w:rPr>
        <w:t>经济社会概况</w:t>
      </w:r>
    </w:p>
    <w:p>
      <w:pPr>
        <w:widowControl/>
        <w:adjustRightInd w:val="0"/>
        <w:snapToGrid w:val="0"/>
        <w:spacing w:line="480" w:lineRule="exact"/>
        <w:ind w:firstLine="480" w:firstLineChars="200"/>
        <w:jc w:val="left"/>
        <w:rPr>
          <w:rFonts w:hAnsi="宋体" w:cs="宋体"/>
          <w:color w:val="000000"/>
          <w:kern w:val="0"/>
          <w:sz w:val="24"/>
          <w:szCs w:val="21"/>
          <w:lang w:bidi="ar"/>
        </w:rPr>
      </w:pPr>
      <w:r>
        <w:rPr>
          <w:rFonts w:hAnsi="宋体" w:cs="宋体"/>
          <w:color w:val="000000"/>
          <w:kern w:val="0"/>
          <w:sz w:val="24"/>
          <w:szCs w:val="21"/>
          <w:lang w:bidi="ar"/>
        </w:rPr>
        <w:t>陆河县是海陆丰红色革命根据地的重要组成部分，又是榕江和螺河水系发源地，具有独特的客家风情和客家文化，被誉为“客俗桃源”和红色旅游胜地。陆河县域总面积 1005k</w:t>
      </w:r>
      <w:r>
        <w:rPr>
          <w:rFonts w:hint="eastAsia" w:hAnsi="宋体" w:cs="Times New Roman"/>
          <w:color w:val="000000"/>
          <w:szCs w:val="22"/>
        </w:rPr>
        <w:t>m</w:t>
      </w:r>
      <w:r>
        <w:rPr>
          <w:rFonts w:hint="eastAsia" w:hAnsi="宋体" w:cs="Times New Roman"/>
          <w:color w:val="000000"/>
          <w:szCs w:val="22"/>
          <w:vertAlign w:val="superscript"/>
        </w:rPr>
        <w:t>2</w:t>
      </w:r>
      <w:r>
        <w:rPr>
          <w:rFonts w:hAnsi="宋体" w:cs="宋体"/>
          <w:color w:val="000000"/>
          <w:kern w:val="0"/>
          <w:sz w:val="24"/>
          <w:szCs w:val="21"/>
          <w:lang w:bidi="ar"/>
        </w:rPr>
        <w:t>，全县辖河田、河口、螺溪、新田、上护、水唇、东坑、南万8个镇和国营吉溪林场。20</w:t>
      </w:r>
      <w:r>
        <w:rPr>
          <w:rFonts w:hint="eastAsia" w:hAnsi="宋体" w:cs="宋体"/>
          <w:color w:val="000000"/>
          <w:kern w:val="0"/>
          <w:sz w:val="24"/>
          <w:szCs w:val="21"/>
          <w:lang w:bidi="ar"/>
        </w:rPr>
        <w:t>20</w:t>
      </w:r>
      <w:r>
        <w:rPr>
          <w:rFonts w:hAnsi="宋体" w:cs="宋体"/>
          <w:color w:val="000000"/>
          <w:kern w:val="0"/>
          <w:sz w:val="24"/>
          <w:szCs w:val="21"/>
          <w:lang w:bidi="ar"/>
        </w:rPr>
        <w:t>年，陆河县户籍人口354423人,其中，城镇人口163509人，占户籍人口的比重46.1%。</w:t>
      </w:r>
    </w:p>
    <w:p>
      <w:pPr>
        <w:widowControl/>
        <w:adjustRightInd w:val="0"/>
        <w:snapToGrid w:val="0"/>
        <w:spacing w:line="480" w:lineRule="exact"/>
        <w:ind w:firstLine="480"/>
        <w:jc w:val="left"/>
        <w:rPr>
          <w:rFonts w:hAnsi="宋体" w:cs="宋体"/>
          <w:color w:val="000000"/>
          <w:kern w:val="0"/>
          <w:sz w:val="24"/>
          <w:szCs w:val="21"/>
          <w:lang w:bidi="ar"/>
        </w:rPr>
      </w:pPr>
      <w:r>
        <w:rPr>
          <w:rFonts w:hAnsi="宋体" w:cs="宋体"/>
          <w:color w:val="000000"/>
          <w:kern w:val="0"/>
          <w:sz w:val="24"/>
          <w:szCs w:val="21"/>
          <w:lang w:bidi="ar"/>
        </w:rPr>
        <w:t>2020年，陆河县实现地区生产总值(初步核算数)890870万元，比上年增长2.9%。其中，第一产业完成增加值158330万元，增长4.4%，对地区生产总值增长的贡献率为21.6%；第二产业完成增加值234790万元，下降0.2%，对地区生产总值增长的贡献率为-2.5%；第三产业完成增加值497751万元，增长4.7%，对地区生产总值增长的贡献率为80.9%。三次产业结构为17.8:26.3:55.9。</w:t>
      </w:r>
    </w:p>
    <w:p>
      <w:pPr>
        <w:adjustRightInd w:val="0"/>
        <w:snapToGrid w:val="0"/>
        <w:spacing w:line="480" w:lineRule="exact"/>
        <w:ind w:firstLine="480" w:firstLineChars="200"/>
        <w:rPr>
          <w:rFonts w:hAnsi="宋体" w:cs="宋体"/>
          <w:color w:val="000000"/>
          <w:kern w:val="0"/>
          <w:sz w:val="24"/>
          <w:szCs w:val="21"/>
          <w:lang w:bidi="ar"/>
        </w:rPr>
      </w:pPr>
      <w:r>
        <w:rPr>
          <w:rFonts w:hAnsi="宋体" w:cs="宋体"/>
          <w:color w:val="000000"/>
          <w:kern w:val="0"/>
          <w:sz w:val="24"/>
          <w:szCs w:val="21"/>
          <w:lang w:bidi="ar"/>
        </w:rPr>
        <w:t>2020年，陆河全县全年粮食作物播种面积161746亩，比上年下降39.2%；油料种植面积22827亩，增长2.8%；蔬菜种植面积73369亩，增长3.6%。</w:t>
      </w:r>
    </w:p>
    <w:p>
      <w:pPr>
        <w:adjustRightInd w:val="0"/>
        <w:snapToGrid w:val="0"/>
        <w:spacing w:line="480" w:lineRule="exact"/>
        <w:ind w:firstLine="480" w:firstLineChars="200"/>
        <w:rPr>
          <w:rFonts w:hAnsi="宋体" w:cs="宋体"/>
          <w:color w:val="000000"/>
          <w:kern w:val="0"/>
          <w:sz w:val="24"/>
          <w:szCs w:val="21"/>
          <w:lang w:bidi="ar"/>
        </w:rPr>
      </w:pPr>
      <w:r>
        <w:rPr>
          <w:rFonts w:hAnsi="宋体" w:cs="宋体"/>
          <w:color w:val="000000"/>
          <w:kern w:val="0"/>
          <w:sz w:val="24"/>
          <w:szCs w:val="21"/>
          <w:lang w:bidi="ar"/>
        </w:rPr>
        <w:t>2020年，陆河县全年粮食产量56825吨，比上年增长17.9%；稻谷产量49482吨，增长5.7%；蔬菜产量102626吨，增长6.0%；水果产量123847吨，增长5.4%；油料产量4829吨，增长6.8%；茶叶产量3149吨，增长7.1%。</w:t>
      </w:r>
    </w:p>
    <w:p>
      <w:pPr>
        <w:widowControl/>
        <w:adjustRightInd w:val="0"/>
        <w:snapToGrid w:val="0"/>
        <w:spacing w:line="480" w:lineRule="exact"/>
        <w:ind w:firstLine="480"/>
        <w:jc w:val="left"/>
        <w:rPr>
          <w:rFonts w:hAnsi="宋体" w:cs="宋体"/>
          <w:color w:val="000000"/>
          <w:kern w:val="0"/>
          <w:sz w:val="24"/>
          <w:szCs w:val="21"/>
          <w:lang w:bidi="ar"/>
        </w:rPr>
      </w:pPr>
      <w:r>
        <w:rPr>
          <w:rFonts w:hAnsi="宋体" w:cs="宋体"/>
          <w:color w:val="000000"/>
          <w:kern w:val="0"/>
          <w:sz w:val="24"/>
          <w:szCs w:val="21"/>
          <w:lang w:bidi="ar"/>
        </w:rPr>
        <w:t>2020年，陆河县全年居民人均可支配收入19264元，比上年增长7.7%。按常住地分，城镇居民人均可支配收入24155元，增长7.0%；农村居民人均可支配收入13848元，增长9.2%。</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1.2.3  </w:t>
      </w:r>
      <w:r>
        <w:rPr>
          <w:rFonts w:ascii="Times New Roman" w:hAnsi="宋体" w:eastAsia="黑体" w:cs="Times New Roman"/>
          <w:bCs/>
          <w:snapToGrid w:val="0"/>
          <w:color w:val="000000"/>
          <w:kern w:val="0"/>
          <w:sz w:val="24"/>
          <w:szCs w:val="24"/>
          <w:lang w:val="en-US" w:eastAsia="zh-CN" w:bidi="ar-SA"/>
        </w:rPr>
        <w:t>农村居民生产生活概况</w:t>
      </w:r>
      <w:r>
        <w:rPr>
          <w:rFonts w:ascii="Times New Roman" w:hAnsi="Times New Roman" w:eastAsia="黑体" w:cs="Times New Roman"/>
          <w:bCs/>
          <w:snapToGrid w:val="0"/>
          <w:color w:val="000000"/>
          <w:kern w:val="0"/>
          <w:sz w:val="24"/>
          <w:szCs w:val="24"/>
          <w:lang w:val="en-US" w:eastAsia="zh-CN" w:bidi="ar-SA"/>
        </w:rPr>
        <w:t xml:space="preserve">  </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建设征地区内现状居民点无统一规划，建设征地区人均住房面积</w:t>
      </w:r>
      <w:r>
        <w:rPr>
          <w:rFonts w:ascii="Times New Roman" w:hAnsi="Times New Roman" w:eastAsia="宋体" w:cs="Times New Roman"/>
          <w:color w:val="000000"/>
          <w:kern w:val="2"/>
          <w:sz w:val="24"/>
          <w:szCs w:val="24"/>
          <w:shd w:val="clear" w:color="auto" w:fill="auto"/>
          <w:lang w:val="en-US" w:eastAsia="zh-CN" w:bidi="ar-SA"/>
        </w:rPr>
        <w:t>108.66</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ascii="Times New Roman" w:hAnsi="Times New Roman" w:eastAsia="宋体" w:cs="Times New Roman"/>
          <w:color w:val="000000"/>
          <w:kern w:val="2"/>
          <w:sz w:val="24"/>
          <w:szCs w:val="24"/>
          <w:shd w:val="clear" w:color="auto" w:fill="auto"/>
          <w:lang w:val="en-US" w:eastAsia="zh-CN" w:bidi="ar-SA"/>
        </w:rPr>
        <w:t>/</w:t>
      </w:r>
      <w:r>
        <w:rPr>
          <w:rFonts w:ascii="Times New Roman" w:hAnsi="宋体" w:eastAsia="宋体" w:cs="Times New Roman"/>
          <w:color w:val="000000"/>
          <w:kern w:val="2"/>
          <w:sz w:val="24"/>
          <w:szCs w:val="24"/>
          <w:shd w:val="clear" w:color="auto" w:fill="auto"/>
          <w:lang w:val="en-US" w:eastAsia="zh-CN" w:bidi="ar-SA"/>
        </w:rPr>
        <w:t>人，房屋结构主要为</w:t>
      </w:r>
      <w:r>
        <w:rPr>
          <w:rFonts w:hint="eastAsia" w:ascii="Times New Roman" w:hAnsi="宋体" w:eastAsia="宋体" w:cs="Times New Roman"/>
          <w:color w:val="000000"/>
          <w:kern w:val="2"/>
          <w:sz w:val="24"/>
          <w:szCs w:val="24"/>
          <w:shd w:val="clear" w:color="auto" w:fill="auto"/>
          <w:lang w:val="en-US" w:eastAsia="zh-CN" w:bidi="ar-SA"/>
        </w:rPr>
        <w:t>其他结构、</w:t>
      </w:r>
      <w:r>
        <w:rPr>
          <w:rFonts w:ascii="Times New Roman" w:hAnsi="宋体" w:eastAsia="宋体" w:cs="Times New Roman"/>
          <w:color w:val="000000"/>
          <w:kern w:val="2"/>
          <w:sz w:val="24"/>
          <w:szCs w:val="24"/>
          <w:shd w:val="clear" w:color="auto" w:fill="auto"/>
          <w:lang w:val="en-US" w:eastAsia="zh-CN" w:bidi="ar-SA"/>
        </w:rPr>
        <w:t>砖混</w:t>
      </w:r>
      <w:r>
        <w:rPr>
          <w:rFonts w:hint="eastAsia" w:ascii="Times New Roman" w:hAnsi="宋体" w:eastAsia="宋体" w:cs="Times New Roman"/>
          <w:color w:val="000000"/>
          <w:kern w:val="2"/>
          <w:sz w:val="24"/>
          <w:szCs w:val="24"/>
          <w:shd w:val="clear" w:color="auto" w:fill="auto"/>
          <w:lang w:val="en-US" w:eastAsia="zh-CN" w:bidi="ar-SA"/>
        </w:rPr>
        <w:t>结构</w:t>
      </w:r>
      <w:r>
        <w:rPr>
          <w:rFonts w:ascii="Times New Roman" w:hAnsi="宋体" w:eastAsia="宋体" w:cs="Times New Roman"/>
          <w:color w:val="000000"/>
          <w:kern w:val="2"/>
          <w:sz w:val="24"/>
          <w:szCs w:val="24"/>
          <w:shd w:val="clear" w:color="auto" w:fill="auto"/>
          <w:lang w:val="en-US" w:eastAsia="zh-CN" w:bidi="ar-SA"/>
        </w:rPr>
        <w:t>、</w:t>
      </w:r>
      <w:r>
        <w:rPr>
          <w:rFonts w:hint="eastAsia" w:ascii="Times New Roman" w:hAnsi="宋体" w:eastAsia="宋体" w:cs="Times New Roman"/>
          <w:color w:val="000000"/>
          <w:kern w:val="2"/>
          <w:sz w:val="24"/>
          <w:szCs w:val="24"/>
          <w:shd w:val="clear" w:color="auto" w:fill="auto"/>
          <w:lang w:val="en-US" w:eastAsia="zh-CN" w:bidi="ar-SA"/>
        </w:rPr>
        <w:t>土</w:t>
      </w:r>
      <w:r>
        <w:rPr>
          <w:rFonts w:ascii="Times New Roman" w:hAnsi="宋体" w:eastAsia="宋体" w:cs="Times New Roman"/>
          <w:color w:val="000000"/>
          <w:kern w:val="2"/>
          <w:sz w:val="24"/>
          <w:szCs w:val="24"/>
          <w:shd w:val="clear" w:color="auto" w:fill="auto"/>
          <w:lang w:val="en-US" w:eastAsia="zh-CN" w:bidi="ar-SA"/>
        </w:rPr>
        <w:t>木结构，且以</w:t>
      </w:r>
      <w:r>
        <w:rPr>
          <w:rFonts w:hint="eastAsia" w:ascii="Times New Roman" w:hAnsi="宋体" w:eastAsia="宋体" w:cs="Times New Roman"/>
          <w:color w:val="000000"/>
          <w:kern w:val="2"/>
          <w:sz w:val="24"/>
          <w:szCs w:val="24"/>
          <w:shd w:val="clear" w:color="auto" w:fill="auto"/>
          <w:lang w:val="en-US" w:eastAsia="zh-CN" w:bidi="ar-SA"/>
        </w:rPr>
        <w:t>其他</w:t>
      </w:r>
      <w:r>
        <w:rPr>
          <w:rFonts w:ascii="Times New Roman" w:hAnsi="宋体" w:eastAsia="宋体" w:cs="Times New Roman"/>
          <w:color w:val="000000"/>
          <w:kern w:val="2"/>
          <w:sz w:val="24"/>
          <w:szCs w:val="24"/>
          <w:shd w:val="clear" w:color="auto" w:fill="auto"/>
          <w:lang w:val="en-US" w:eastAsia="zh-CN" w:bidi="ar-SA"/>
        </w:rPr>
        <w:t>结构为主。现状交通条件较好，建设征地影响的村基本上均有已硬化的通村公路，</w:t>
      </w:r>
      <w:r>
        <w:rPr>
          <w:rFonts w:hint="eastAsia" w:ascii="Times New Roman" w:hAnsi="宋体" w:eastAsia="宋体" w:cs="Times New Roman"/>
          <w:color w:val="000000"/>
          <w:kern w:val="2"/>
          <w:sz w:val="24"/>
          <w:szCs w:val="24"/>
          <w:shd w:val="clear" w:color="auto" w:fill="auto"/>
          <w:lang w:val="en-US" w:eastAsia="zh-CN" w:bidi="ar-SA"/>
        </w:rPr>
        <w:t>激石溪</w:t>
      </w:r>
      <w:r>
        <w:rPr>
          <w:rFonts w:ascii="Times New Roman" w:hAnsi="宋体" w:eastAsia="宋体" w:cs="Times New Roman"/>
          <w:color w:val="000000"/>
          <w:kern w:val="2"/>
          <w:sz w:val="24"/>
          <w:szCs w:val="24"/>
          <w:shd w:val="clear" w:color="auto" w:fill="auto"/>
          <w:lang w:val="en-US" w:eastAsia="zh-CN" w:bidi="ar-SA"/>
        </w:rPr>
        <w:t>村与Y850相连接。大部分居民饮水主要以井水和引山泉水为主。涉及村组电力线路到户，通信网络基本到户，移动通信网络基本覆盖。有垃圾收集设施，无污水处理设施，雨污混排入河道。</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农业耕作以人畜耕作为主，建设征地区内耕地主要为水田和旱地，二三产业以</w:t>
      </w:r>
      <w:r>
        <w:rPr>
          <w:rFonts w:hint="eastAsia" w:ascii="Times New Roman" w:hAnsi="宋体" w:eastAsia="宋体" w:cs="Times New Roman"/>
          <w:color w:val="000000"/>
          <w:kern w:val="2"/>
          <w:sz w:val="24"/>
          <w:szCs w:val="24"/>
          <w:shd w:val="clear" w:color="auto" w:fill="auto"/>
          <w:lang w:val="en-US" w:eastAsia="zh-CN" w:bidi="ar-SA"/>
        </w:rPr>
        <w:t>务工</w:t>
      </w:r>
      <w:r>
        <w:rPr>
          <w:rFonts w:ascii="Times New Roman" w:hAnsi="宋体" w:eastAsia="宋体" w:cs="Times New Roman"/>
          <w:color w:val="000000"/>
          <w:kern w:val="2"/>
          <w:sz w:val="24"/>
          <w:szCs w:val="24"/>
          <w:shd w:val="clear" w:color="auto" w:fill="auto"/>
          <w:lang w:val="en-US" w:eastAsia="zh-CN" w:bidi="ar-SA"/>
        </w:rPr>
        <w:t>为主。</w:t>
      </w:r>
    </w:p>
    <w:p>
      <w:pPr>
        <w:widowControl w:val="0"/>
        <w:adjustRightInd w:val="0"/>
        <w:snapToGrid w:val="0"/>
        <w:spacing w:before="300" w:after="120" w:line="480" w:lineRule="exact"/>
        <w:jc w:val="left"/>
        <w:outlineLvl w:val="0"/>
        <w:rPr>
          <w:rFonts w:ascii="Times New Roman" w:hAnsi="Times New Roman" w:eastAsia="黑体" w:cs="Times New Roman"/>
          <w:b/>
          <w:bCs/>
          <w:color w:val="000000"/>
          <w:kern w:val="44"/>
          <w:sz w:val="32"/>
          <w:szCs w:val="32"/>
          <w:lang w:val="en-US" w:eastAsia="zh-CN" w:bidi="ar-SA"/>
        </w:rPr>
      </w:pPr>
      <w:r>
        <w:rPr>
          <w:rFonts w:ascii="Times New Roman" w:hAnsi="Times New Roman" w:eastAsia="黑体" w:cs="Times New Roman"/>
          <w:bCs/>
          <w:color w:val="000000"/>
          <w:kern w:val="44"/>
          <w:sz w:val="32"/>
          <w:szCs w:val="32"/>
          <w:lang w:val="en-US" w:eastAsia="zh-CN" w:bidi="ar-SA"/>
        </w:rPr>
        <w:br w:type="page"/>
      </w:r>
      <w:bookmarkStart w:id="567" w:name="_Toc86257942"/>
      <w:bookmarkStart w:id="568" w:name="_Toc90945234"/>
      <w:r>
        <w:rPr>
          <w:rFonts w:ascii="Times New Roman" w:hAnsi="Times New Roman" w:eastAsia="黑体" w:cs="Times New Roman"/>
          <w:bCs/>
          <w:color w:val="000000"/>
          <w:kern w:val="44"/>
          <w:sz w:val="32"/>
          <w:szCs w:val="32"/>
          <w:lang w:val="en-US" w:eastAsia="zh-CN" w:bidi="ar-SA"/>
        </w:rPr>
        <w:t xml:space="preserve">2  </w:t>
      </w:r>
      <w:r>
        <w:rPr>
          <w:rFonts w:ascii="Times New Roman" w:hAnsi="Times New Roman" w:eastAsia="黑体" w:cs="Times New Roman"/>
          <w:bCs/>
          <w:snapToGrid w:val="0"/>
          <w:color w:val="000000"/>
          <w:kern w:val="44"/>
          <w:sz w:val="32"/>
          <w:szCs w:val="32"/>
          <w:lang w:val="zh-CN" w:eastAsia="zh-CN" w:bidi="ar-SA"/>
        </w:rPr>
        <w:t>主要工作过程和成果</w:t>
      </w:r>
      <w:bookmarkEnd w:id="567"/>
      <w:bookmarkEnd w:id="568"/>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69" w:name="_Toc86257943"/>
      <w:bookmarkStart w:id="570" w:name="_Toc90945235"/>
      <w:r>
        <w:rPr>
          <w:rFonts w:ascii="Times New Roman" w:hAnsi="Times New Roman" w:eastAsia="黑体" w:cs="Times New Roman"/>
          <w:bCs/>
          <w:snapToGrid w:val="0"/>
          <w:color w:val="000000"/>
          <w:kern w:val="0"/>
          <w:sz w:val="28"/>
          <w:szCs w:val="28"/>
          <w:lang w:val="en-US" w:eastAsia="zh-CN" w:bidi="ar-SA"/>
        </w:rPr>
        <w:t xml:space="preserve">2.1  </w:t>
      </w:r>
      <w:r>
        <w:rPr>
          <w:rFonts w:ascii="Times New Roman" w:hAnsi="宋体" w:eastAsia="黑体" w:cs="Times New Roman"/>
          <w:bCs/>
          <w:snapToGrid w:val="0"/>
          <w:color w:val="000000"/>
          <w:kern w:val="0"/>
          <w:sz w:val="28"/>
          <w:szCs w:val="28"/>
          <w:lang w:val="en-US" w:eastAsia="zh-CN" w:bidi="ar-SA"/>
        </w:rPr>
        <w:t>工作过程</w:t>
      </w:r>
      <w:bookmarkEnd w:id="569"/>
      <w:bookmarkEnd w:id="570"/>
    </w:p>
    <w:p>
      <w:pPr>
        <w:suppressAutoHyphens/>
        <w:adjustRightInd w:val="0"/>
        <w:snapToGrid w:val="0"/>
        <w:spacing w:line="480" w:lineRule="exact"/>
        <w:ind w:firstLine="480" w:firstLineChars="200"/>
        <w:rPr>
          <w:rFonts w:hAnsi="宋体" w:cs="宋体"/>
          <w:color w:val="000000"/>
          <w:sz w:val="24"/>
          <w:szCs w:val="21"/>
        </w:rPr>
      </w:pPr>
      <w:r>
        <w:rPr>
          <w:rFonts w:cs="宋体"/>
          <w:color w:val="000000"/>
          <w:kern w:val="0"/>
          <w:sz w:val="24"/>
          <w:szCs w:val="21"/>
        </w:rPr>
        <w:t>202</w:t>
      </w:r>
      <w:r>
        <w:rPr>
          <w:rFonts w:hint="eastAsia" w:cs="宋体"/>
          <w:color w:val="000000"/>
          <w:kern w:val="0"/>
          <w:sz w:val="24"/>
          <w:szCs w:val="21"/>
        </w:rPr>
        <w:t>1</w:t>
      </w:r>
      <w:r>
        <w:rPr>
          <w:rFonts w:hAnsi="宋体" w:cs="宋体"/>
          <w:color w:val="000000"/>
          <w:kern w:val="0"/>
          <w:sz w:val="24"/>
          <w:szCs w:val="21"/>
        </w:rPr>
        <w:t>年</w:t>
      </w:r>
      <w:r>
        <w:rPr>
          <w:rFonts w:hint="eastAsia" w:cs="宋体"/>
          <w:color w:val="000000"/>
          <w:kern w:val="0"/>
          <w:sz w:val="24"/>
          <w:szCs w:val="21"/>
        </w:rPr>
        <w:t>6</w:t>
      </w:r>
      <w:r>
        <w:rPr>
          <w:rFonts w:hAnsi="宋体" w:cs="宋体"/>
          <w:color w:val="000000"/>
          <w:kern w:val="0"/>
          <w:sz w:val="24"/>
          <w:szCs w:val="21"/>
        </w:rPr>
        <w:t>月，</w:t>
      </w:r>
      <w:r>
        <w:rPr>
          <w:rFonts w:hint="eastAsia" w:hAnsi="宋体" w:cs="宋体"/>
          <w:color w:val="000000"/>
          <w:kern w:val="0"/>
          <w:sz w:val="24"/>
          <w:szCs w:val="21"/>
        </w:rPr>
        <w:t>广东能源陆河蓄能发电有限公司(以下简称“</w:t>
      </w:r>
      <w:r>
        <w:rPr>
          <w:rFonts w:hint="eastAsia" w:hAnsi="宋体" w:cs="宋体"/>
          <w:color w:val="000000"/>
          <w:sz w:val="24"/>
          <w:szCs w:val="21"/>
        </w:rPr>
        <w:t>陆蓄</w:t>
      </w:r>
      <w:r>
        <w:rPr>
          <w:rFonts w:hAnsi="宋体" w:cs="宋体"/>
          <w:color w:val="000000"/>
          <w:sz w:val="24"/>
          <w:szCs w:val="21"/>
        </w:rPr>
        <w:t>公司</w:t>
      </w:r>
      <w:r>
        <w:rPr>
          <w:rFonts w:hint="eastAsia" w:hAnsi="宋体" w:cs="宋体"/>
          <w:color w:val="000000"/>
          <w:kern w:val="0"/>
          <w:sz w:val="24"/>
          <w:szCs w:val="21"/>
        </w:rPr>
        <w:t>”)</w:t>
      </w:r>
      <w:r>
        <w:rPr>
          <w:rFonts w:hAnsi="宋体" w:cs="宋体"/>
          <w:color w:val="000000"/>
          <w:kern w:val="0"/>
          <w:sz w:val="24"/>
          <w:szCs w:val="21"/>
        </w:rPr>
        <w:t>与</w:t>
      </w:r>
      <w:r>
        <w:rPr>
          <w:rFonts w:hint="eastAsia" w:hAnsi="宋体" w:cs="宋体"/>
          <w:color w:val="000000"/>
          <w:kern w:val="0"/>
          <w:sz w:val="24"/>
          <w:szCs w:val="21"/>
        </w:rPr>
        <w:t>中南院</w:t>
      </w:r>
      <w:r>
        <w:rPr>
          <w:rFonts w:hAnsi="宋体" w:cs="宋体"/>
          <w:color w:val="000000"/>
          <w:kern w:val="0"/>
          <w:sz w:val="24"/>
          <w:szCs w:val="21"/>
        </w:rPr>
        <w:t>签订广东</w:t>
      </w:r>
      <w:r>
        <w:rPr>
          <w:rFonts w:hint="eastAsia" w:hAnsi="宋体" w:cs="宋体"/>
          <w:color w:val="000000"/>
          <w:kern w:val="0"/>
          <w:sz w:val="24"/>
          <w:szCs w:val="21"/>
        </w:rPr>
        <w:t>陆河</w:t>
      </w:r>
      <w:r>
        <w:rPr>
          <w:rFonts w:hAnsi="宋体" w:cs="宋体"/>
          <w:color w:val="000000"/>
          <w:kern w:val="0"/>
          <w:sz w:val="24"/>
          <w:szCs w:val="21"/>
        </w:rPr>
        <w:t>抽水蓄能电站可行性研究、招标设计和施工图设计阶段勘测设计合同。在前期已经完成的勘测设计科研成果的基础上，</w:t>
      </w:r>
      <w:r>
        <w:rPr>
          <w:rFonts w:hint="eastAsia" w:hAnsi="宋体" w:cs="宋体"/>
          <w:color w:val="000000"/>
          <w:kern w:val="0"/>
          <w:sz w:val="24"/>
          <w:szCs w:val="21"/>
        </w:rPr>
        <w:t>中南院</w:t>
      </w:r>
      <w:r>
        <w:rPr>
          <w:rFonts w:hAnsi="宋体" w:cs="宋体"/>
          <w:color w:val="000000"/>
          <w:kern w:val="0"/>
          <w:sz w:val="24"/>
          <w:szCs w:val="21"/>
        </w:rPr>
        <w:t>按照合同和国家的法律法规及规程规范的要求，结合本项目的特点，全面开展了本工程预可行性研究阶段的勘</w:t>
      </w:r>
      <w:r>
        <w:rPr>
          <w:rFonts w:hAnsi="宋体" w:cs="宋体"/>
          <w:color w:val="000000"/>
          <w:sz w:val="24"/>
          <w:szCs w:val="21"/>
        </w:rPr>
        <w:t>测设计和科研等工作。</w:t>
      </w:r>
    </w:p>
    <w:p>
      <w:pPr>
        <w:widowControl/>
        <w:suppressAutoHyphens/>
        <w:adjustRightInd w:val="0"/>
        <w:snapToGrid w:val="0"/>
        <w:spacing w:line="480" w:lineRule="exact"/>
        <w:ind w:firstLine="480" w:firstLineChars="200"/>
        <w:jc w:val="left"/>
        <w:rPr>
          <w:rFonts w:hAnsi="宋体" w:cs="宋体"/>
          <w:color w:val="000000"/>
          <w:sz w:val="24"/>
          <w:szCs w:val="21"/>
        </w:rPr>
      </w:pPr>
      <w:r>
        <w:rPr>
          <w:rFonts w:hAnsi="宋体" w:cs="宋体"/>
          <w:color w:val="000000"/>
          <w:sz w:val="24"/>
          <w:szCs w:val="21"/>
        </w:rPr>
        <w:t>2021年9月初，中南院编制完成《广东陆河抽水蓄能电站工程建设征地实物指标调查细则(送审稿)》。9月10日，陆河县人民政府在陆河县主持召开了实物指标调查细则评审会议。会后，中南院根据审核意见修改完成了《广东陆河抽水蓄能电站工程建设征地实物指标调查细则(审定本)》。陆河县人民政府以《</w:t>
      </w:r>
      <w:r>
        <w:rPr>
          <w:rFonts w:hAnsi="宋体" w:cs="宋体"/>
          <w:color w:val="000000"/>
          <w:sz w:val="24"/>
          <w:szCs w:val="21"/>
          <w:lang w:bidi="ar"/>
        </w:rPr>
        <w:t>陆河县人民政府关于印发广东陆河抽水蓄能电站项目建设征地实物指标调查细则的通</w:t>
      </w:r>
      <w:r>
        <w:rPr>
          <w:rFonts w:hint="eastAsia" w:hAnsi="宋体" w:cs="宋体"/>
          <w:color w:val="000000"/>
          <w:sz w:val="24"/>
          <w:szCs w:val="21"/>
          <w:lang w:bidi="ar"/>
        </w:rPr>
        <w:t>知</w:t>
      </w:r>
      <w:r>
        <w:rPr>
          <w:rFonts w:hint="eastAsia" w:hAnsi="宋体" w:cs="宋体"/>
          <w:color w:val="000000"/>
          <w:sz w:val="24"/>
          <w:szCs w:val="21"/>
        </w:rPr>
        <w:t>》(</w:t>
      </w:r>
      <w:r>
        <w:rPr>
          <w:rFonts w:hAnsi="宋体" w:cs="宋体"/>
          <w:color w:val="000000"/>
          <w:sz w:val="24"/>
          <w:szCs w:val="21"/>
        </w:rPr>
        <w:t>陆河府函〔2021〕172 号</w:t>
      </w:r>
      <w:r>
        <w:rPr>
          <w:rFonts w:hint="eastAsia" w:hAnsi="宋体" w:cs="宋体"/>
          <w:color w:val="000000"/>
          <w:sz w:val="24"/>
          <w:szCs w:val="21"/>
        </w:rPr>
        <w:t>)同意了实物指标调查细则。</w:t>
      </w:r>
    </w:p>
    <w:p>
      <w:pPr>
        <w:adjustRightInd w:val="0"/>
        <w:snapToGrid w:val="0"/>
        <w:spacing w:line="480" w:lineRule="exact"/>
        <w:ind w:firstLine="480" w:firstLineChars="200"/>
        <w:rPr>
          <w:rFonts w:hAnsi="宋体" w:cs="宋体"/>
          <w:color w:val="000000"/>
          <w:sz w:val="24"/>
          <w:szCs w:val="21"/>
        </w:rPr>
      </w:pPr>
      <w:r>
        <w:rPr>
          <w:rFonts w:hAnsi="宋体" w:cs="宋体"/>
          <w:color w:val="000000"/>
          <w:sz w:val="24"/>
          <w:szCs w:val="21"/>
        </w:rPr>
        <w:t>2021年</w:t>
      </w:r>
      <w:r>
        <w:rPr>
          <w:rFonts w:hint="eastAsia" w:hAnsi="宋体" w:cs="宋体"/>
          <w:color w:val="000000"/>
          <w:sz w:val="24"/>
          <w:szCs w:val="21"/>
        </w:rPr>
        <w:t>11</w:t>
      </w:r>
      <w:r>
        <w:rPr>
          <w:rFonts w:hAnsi="宋体" w:cs="宋体"/>
          <w:color w:val="000000"/>
          <w:sz w:val="24"/>
          <w:szCs w:val="21"/>
        </w:rPr>
        <w:t>月，</w:t>
      </w:r>
      <w:r>
        <w:rPr>
          <w:rFonts w:hint="eastAsia" w:hAnsi="宋体" w:cs="宋体"/>
          <w:color w:val="000000"/>
          <w:sz w:val="24"/>
          <w:szCs w:val="21"/>
        </w:rPr>
        <w:t>中南院</w:t>
      </w:r>
      <w:r>
        <w:rPr>
          <w:rFonts w:hAnsi="宋体" w:cs="宋体"/>
          <w:color w:val="000000"/>
          <w:sz w:val="24"/>
          <w:szCs w:val="21"/>
        </w:rPr>
        <w:t>编制完成了《广东省</w:t>
      </w:r>
      <w:r>
        <w:rPr>
          <w:rFonts w:hint="eastAsia" w:hAnsi="宋体" w:cs="宋体"/>
          <w:color w:val="000000"/>
          <w:sz w:val="24"/>
          <w:szCs w:val="21"/>
        </w:rPr>
        <w:t>陆河</w:t>
      </w:r>
      <w:r>
        <w:rPr>
          <w:rFonts w:hAnsi="宋体" w:cs="宋体"/>
          <w:color w:val="000000"/>
          <w:sz w:val="24"/>
          <w:szCs w:val="21"/>
        </w:rPr>
        <w:t>抽水蓄能电站可行性研究阶段枢纽布置格局比选专题报告》</w:t>
      </w:r>
      <w:r>
        <w:rPr>
          <w:rFonts w:hint="eastAsia" w:hAnsi="宋体" w:cs="宋体"/>
          <w:color w:val="000000"/>
          <w:sz w:val="24"/>
          <w:szCs w:val="21"/>
        </w:rPr>
        <w:t>、《广东陆河(汕尾三江口)抽水蓄能电站可行性研究阶段正常蓄水位选择专题报告(审定稿)》、《广东陆河抽水蓄能电站可行性研究阶段正常蓄水位选择专题报告(审定稿)》；并于11月中旬通过技术咨询或审查</w:t>
      </w:r>
      <w:r>
        <w:rPr>
          <w:rFonts w:hAnsi="宋体" w:cs="宋体"/>
          <w:color w:val="000000"/>
          <w:sz w:val="24"/>
          <w:szCs w:val="21"/>
        </w:rPr>
        <w:t>。</w:t>
      </w:r>
    </w:p>
    <w:p>
      <w:pPr>
        <w:adjustRightInd w:val="0"/>
        <w:snapToGrid w:val="0"/>
        <w:spacing w:line="480" w:lineRule="exact"/>
        <w:ind w:firstLine="480" w:firstLineChars="200"/>
        <w:rPr>
          <w:rFonts w:hAnsi="宋体" w:cs="宋体"/>
          <w:color w:val="000000"/>
          <w:sz w:val="24"/>
          <w:szCs w:val="21"/>
        </w:rPr>
      </w:pPr>
      <w:r>
        <w:rPr>
          <w:rFonts w:hAnsi="宋体" w:cs="宋体"/>
          <w:color w:val="000000"/>
          <w:sz w:val="24"/>
          <w:szCs w:val="21"/>
        </w:rPr>
        <w:t>2021年</w:t>
      </w:r>
      <w:r>
        <w:rPr>
          <w:rFonts w:hint="eastAsia" w:hAnsi="宋体" w:cs="宋体"/>
          <w:color w:val="000000"/>
          <w:sz w:val="24"/>
          <w:szCs w:val="21"/>
        </w:rPr>
        <w:t>11</w:t>
      </w:r>
      <w:r>
        <w:rPr>
          <w:rFonts w:hAnsi="宋体" w:cs="宋体"/>
          <w:color w:val="000000"/>
          <w:sz w:val="24"/>
          <w:szCs w:val="21"/>
        </w:rPr>
        <w:t>月</w:t>
      </w:r>
      <w:r>
        <w:rPr>
          <w:rFonts w:hint="eastAsia" w:hAnsi="宋体" w:cs="宋体"/>
          <w:color w:val="000000"/>
          <w:sz w:val="24"/>
          <w:szCs w:val="21"/>
        </w:rPr>
        <w:t>28日</w:t>
      </w:r>
      <w:r>
        <w:rPr>
          <w:rFonts w:hAnsi="宋体" w:cs="宋体"/>
          <w:color w:val="000000"/>
          <w:sz w:val="24"/>
          <w:szCs w:val="21"/>
        </w:rPr>
        <w:t>，中国水利水电建设工程咨询有限公司以“水电咨水工〔2021〕</w:t>
      </w:r>
      <w:r>
        <w:rPr>
          <w:rFonts w:hint="eastAsia" w:hAnsi="宋体" w:cs="宋体"/>
          <w:color w:val="000000"/>
          <w:sz w:val="24"/>
          <w:szCs w:val="21"/>
        </w:rPr>
        <w:t>182</w:t>
      </w:r>
      <w:r>
        <w:rPr>
          <w:rFonts w:hAnsi="宋体" w:cs="宋体"/>
          <w:color w:val="000000"/>
          <w:sz w:val="24"/>
          <w:szCs w:val="21"/>
        </w:rPr>
        <w:t>号”报送了《广东</w:t>
      </w:r>
      <w:r>
        <w:rPr>
          <w:rFonts w:hint="eastAsia" w:hAnsi="宋体" w:cs="宋体"/>
          <w:color w:val="000000"/>
          <w:sz w:val="24"/>
          <w:szCs w:val="21"/>
        </w:rPr>
        <w:t>陆河</w:t>
      </w:r>
      <w:r>
        <w:rPr>
          <w:rFonts w:hAnsi="宋体" w:cs="宋体"/>
          <w:color w:val="000000"/>
          <w:sz w:val="24"/>
          <w:szCs w:val="21"/>
        </w:rPr>
        <w:t>抽水蓄能电站可行性研究阶段枢纽布置格局比选专题咨询报告》。2021年</w:t>
      </w:r>
      <w:r>
        <w:rPr>
          <w:rFonts w:hint="eastAsia" w:hAnsi="宋体" w:cs="宋体"/>
          <w:color w:val="000000"/>
          <w:sz w:val="24"/>
          <w:szCs w:val="21"/>
        </w:rPr>
        <w:t>11</w:t>
      </w:r>
      <w:r>
        <w:rPr>
          <w:rFonts w:hAnsi="宋体" w:cs="宋体"/>
          <w:color w:val="000000"/>
          <w:sz w:val="24"/>
          <w:szCs w:val="21"/>
        </w:rPr>
        <w:t>月</w:t>
      </w:r>
      <w:r>
        <w:rPr>
          <w:rFonts w:hint="eastAsia" w:hAnsi="宋体" w:cs="宋体"/>
          <w:color w:val="000000"/>
          <w:sz w:val="24"/>
          <w:szCs w:val="21"/>
        </w:rPr>
        <w:t>26</w:t>
      </w:r>
      <w:r>
        <w:rPr>
          <w:rFonts w:hAnsi="宋体" w:cs="宋体"/>
          <w:color w:val="000000"/>
          <w:sz w:val="24"/>
          <w:szCs w:val="21"/>
        </w:rPr>
        <w:t>日，水电水利规划设计总院以“水电规规〔2021〕</w:t>
      </w:r>
      <w:r>
        <w:rPr>
          <w:rFonts w:hint="eastAsia" w:hAnsi="宋体" w:cs="宋体"/>
          <w:color w:val="000000"/>
          <w:sz w:val="24"/>
          <w:szCs w:val="21"/>
        </w:rPr>
        <w:t>203</w:t>
      </w:r>
      <w:r>
        <w:rPr>
          <w:rFonts w:hAnsi="宋体" w:cs="宋体"/>
          <w:color w:val="000000"/>
          <w:sz w:val="24"/>
          <w:szCs w:val="21"/>
        </w:rPr>
        <w:t>号”签发了正常蓄水位选择专题报告的审查意见。2021年</w:t>
      </w:r>
      <w:r>
        <w:rPr>
          <w:rFonts w:hint="eastAsia" w:hAnsi="宋体" w:cs="宋体"/>
          <w:color w:val="000000"/>
          <w:sz w:val="24"/>
          <w:szCs w:val="21"/>
        </w:rPr>
        <w:t>11</w:t>
      </w:r>
      <w:r>
        <w:rPr>
          <w:rFonts w:hAnsi="宋体" w:cs="宋体"/>
          <w:color w:val="000000"/>
          <w:sz w:val="24"/>
          <w:szCs w:val="21"/>
        </w:rPr>
        <w:t>月</w:t>
      </w:r>
      <w:r>
        <w:rPr>
          <w:rFonts w:hint="eastAsia" w:hAnsi="宋体" w:cs="宋体"/>
          <w:color w:val="000000"/>
          <w:sz w:val="24"/>
          <w:szCs w:val="21"/>
        </w:rPr>
        <w:t>30</w:t>
      </w:r>
      <w:r>
        <w:rPr>
          <w:rFonts w:hAnsi="宋体" w:cs="宋体"/>
          <w:color w:val="000000"/>
          <w:sz w:val="24"/>
          <w:szCs w:val="21"/>
        </w:rPr>
        <w:t>日，水电水利规划设计总院以“水电规施〔2021〕</w:t>
      </w:r>
      <w:r>
        <w:rPr>
          <w:rFonts w:hint="eastAsia" w:hAnsi="宋体" w:cs="宋体"/>
          <w:color w:val="000000"/>
          <w:sz w:val="24"/>
          <w:szCs w:val="21"/>
        </w:rPr>
        <w:t>85</w:t>
      </w:r>
      <w:r>
        <w:rPr>
          <w:rFonts w:hAnsi="宋体" w:cs="宋体"/>
          <w:color w:val="000000"/>
          <w:sz w:val="24"/>
          <w:szCs w:val="21"/>
        </w:rPr>
        <w:t>号”签发了施工总布置规划专题报告的审查意见。</w:t>
      </w:r>
    </w:p>
    <w:p>
      <w:pPr>
        <w:overflowPunct w:val="0"/>
        <w:autoSpaceDE w:val="0"/>
        <w:autoSpaceDN w:val="0"/>
        <w:adjustRightInd w:val="0"/>
        <w:spacing w:line="520" w:lineRule="exact"/>
        <w:ind w:firstLine="480"/>
        <w:rPr>
          <w:rFonts w:hAnsi="宋体" w:cs="宋体"/>
          <w:color w:val="000000"/>
          <w:sz w:val="24"/>
          <w:szCs w:val="21"/>
        </w:rPr>
      </w:pPr>
      <w:r>
        <w:rPr>
          <w:rFonts w:hAnsi="宋体" w:cs="宋体"/>
          <w:color w:val="000000"/>
          <w:sz w:val="24"/>
          <w:szCs w:val="21"/>
        </w:rPr>
        <w:t>2021年1</w:t>
      </w:r>
      <w:r>
        <w:rPr>
          <w:rFonts w:hint="eastAsia" w:hAnsi="宋体" w:cs="宋体"/>
          <w:color w:val="000000"/>
          <w:sz w:val="24"/>
          <w:szCs w:val="21"/>
        </w:rPr>
        <w:t>0</w:t>
      </w:r>
      <w:r>
        <w:rPr>
          <w:rFonts w:hAnsi="宋体" w:cs="宋体"/>
          <w:color w:val="000000"/>
          <w:sz w:val="24"/>
          <w:szCs w:val="21"/>
        </w:rPr>
        <w:t>月</w:t>
      </w:r>
      <w:r>
        <w:rPr>
          <w:rFonts w:hint="eastAsia" w:hAnsi="宋体" w:cs="宋体"/>
          <w:color w:val="000000"/>
          <w:sz w:val="24"/>
          <w:szCs w:val="21"/>
        </w:rPr>
        <w:t>16</w:t>
      </w:r>
      <w:r>
        <w:rPr>
          <w:rFonts w:hAnsi="宋体" w:cs="宋体"/>
          <w:color w:val="000000"/>
          <w:sz w:val="24"/>
          <w:szCs w:val="21"/>
        </w:rPr>
        <w:t>日，</w:t>
      </w:r>
      <w:r>
        <w:rPr>
          <w:rFonts w:hint="eastAsia" w:hAnsi="宋体" w:cs="宋体"/>
          <w:color w:val="000000"/>
          <w:sz w:val="24"/>
          <w:szCs w:val="21"/>
        </w:rPr>
        <w:t>陆河</w:t>
      </w:r>
      <w:r>
        <w:rPr>
          <w:rFonts w:hAnsi="宋体" w:cs="宋体"/>
          <w:color w:val="000000"/>
          <w:sz w:val="24"/>
          <w:szCs w:val="21"/>
        </w:rPr>
        <w:t>县人民政府组织召开了</w:t>
      </w:r>
      <w:r>
        <w:rPr>
          <w:rFonts w:hint="eastAsia" w:hAnsi="宋体" w:cs="宋体"/>
          <w:color w:val="000000"/>
          <w:sz w:val="24"/>
          <w:szCs w:val="21"/>
        </w:rPr>
        <w:t>陆河</w:t>
      </w:r>
      <w:r>
        <w:rPr>
          <w:rFonts w:hAnsi="宋体" w:cs="宋体"/>
          <w:color w:val="000000"/>
          <w:sz w:val="24"/>
          <w:szCs w:val="21"/>
        </w:rPr>
        <w:t>抽水蓄能电站实物指标调查启动会议，</w:t>
      </w:r>
      <w:r>
        <w:rPr>
          <w:rFonts w:hint="eastAsia" w:hAnsi="宋体" w:cs="宋体"/>
          <w:color w:val="000000"/>
          <w:sz w:val="24"/>
          <w:szCs w:val="21"/>
        </w:rPr>
        <w:t>并</w:t>
      </w:r>
      <w:r>
        <w:rPr>
          <w:rFonts w:hAnsi="宋体" w:cs="宋体"/>
          <w:color w:val="000000"/>
          <w:sz w:val="24"/>
          <w:szCs w:val="21"/>
        </w:rPr>
        <w:t>由</w:t>
      </w:r>
      <w:r>
        <w:rPr>
          <w:rFonts w:hint="eastAsia" w:hAnsi="宋体" w:cs="宋体"/>
          <w:color w:val="000000"/>
          <w:sz w:val="24"/>
          <w:szCs w:val="21"/>
        </w:rPr>
        <w:t>陆河</w:t>
      </w:r>
      <w:r>
        <w:rPr>
          <w:rFonts w:hAnsi="宋体" w:cs="宋体"/>
          <w:color w:val="000000"/>
          <w:sz w:val="24"/>
          <w:szCs w:val="21"/>
        </w:rPr>
        <w:t>县人民政府及相关部门</w:t>
      </w:r>
      <w:r>
        <w:rPr>
          <w:rFonts w:hint="eastAsia" w:hAnsi="宋体" w:cs="宋体"/>
          <w:color w:val="000000"/>
          <w:sz w:val="24"/>
          <w:szCs w:val="21"/>
        </w:rPr>
        <w:t>新田</w:t>
      </w:r>
      <w:r>
        <w:rPr>
          <w:rFonts w:hAnsi="宋体" w:cs="宋体"/>
          <w:color w:val="000000"/>
          <w:sz w:val="24"/>
          <w:szCs w:val="21"/>
        </w:rPr>
        <w:t>镇人民政府、涉及的村委会、</w:t>
      </w:r>
      <w:r>
        <w:rPr>
          <w:rFonts w:hint="eastAsia" w:hAnsi="宋体" w:cs="宋体"/>
          <w:color w:val="000000"/>
          <w:sz w:val="24"/>
          <w:szCs w:val="21"/>
        </w:rPr>
        <w:t>陆蓄</w:t>
      </w:r>
      <w:r>
        <w:rPr>
          <w:rFonts w:hAnsi="宋体" w:cs="宋体"/>
          <w:color w:val="000000"/>
          <w:sz w:val="24"/>
          <w:szCs w:val="21"/>
        </w:rPr>
        <w:t>公司和中南院等单位代表组成广东</w:t>
      </w:r>
      <w:r>
        <w:rPr>
          <w:rFonts w:hint="eastAsia" w:hAnsi="宋体" w:cs="宋体"/>
          <w:color w:val="000000"/>
          <w:sz w:val="24"/>
          <w:szCs w:val="21"/>
        </w:rPr>
        <w:t>陆河</w:t>
      </w:r>
      <w:r>
        <w:rPr>
          <w:rFonts w:hAnsi="宋体" w:cs="宋体"/>
          <w:color w:val="000000"/>
          <w:sz w:val="24"/>
          <w:szCs w:val="21"/>
        </w:rPr>
        <w:t>抽水蓄能电站建设征地实物指标联合调查组，共同对</w:t>
      </w:r>
      <w:r>
        <w:rPr>
          <w:rFonts w:hint="eastAsia" w:hAnsi="宋体" w:cs="宋体"/>
          <w:color w:val="000000"/>
          <w:sz w:val="24"/>
          <w:szCs w:val="21"/>
        </w:rPr>
        <w:t>陆河</w:t>
      </w:r>
      <w:r>
        <w:rPr>
          <w:rFonts w:hAnsi="宋体" w:cs="宋体"/>
          <w:color w:val="000000"/>
          <w:sz w:val="24"/>
          <w:szCs w:val="21"/>
        </w:rPr>
        <w:t>抽水蓄能电站建设征地范围内的房屋、土地、专项设施等实物指标进行了全面的外业调查，</w:t>
      </w:r>
      <w:r>
        <w:rPr>
          <w:rFonts w:hint="eastAsia" w:hAnsi="宋体" w:cs="宋体"/>
          <w:color w:val="000000"/>
          <w:sz w:val="24"/>
          <w:szCs w:val="21"/>
        </w:rPr>
        <w:t>目前已完成实物指标调查</w:t>
      </w:r>
      <w:r>
        <w:rPr>
          <w:rFonts w:hAnsi="宋体" w:cs="宋体"/>
          <w:color w:val="000000"/>
          <w:sz w:val="24"/>
          <w:szCs w:val="21"/>
        </w:rPr>
        <w:t>。</w:t>
      </w:r>
    </w:p>
    <w:p>
      <w:pPr>
        <w:overflowPunct w:val="0"/>
        <w:autoSpaceDE w:val="0"/>
        <w:autoSpaceDN w:val="0"/>
        <w:adjustRightInd w:val="0"/>
        <w:spacing w:line="520" w:lineRule="exact"/>
        <w:ind w:firstLine="480"/>
        <w:rPr>
          <w:rFonts w:hint="eastAsia" w:hAnsi="宋体" w:cs="宋体"/>
          <w:color w:val="000000"/>
          <w:sz w:val="24"/>
          <w:szCs w:val="21"/>
        </w:rPr>
      </w:pPr>
      <w:r>
        <w:rPr>
          <w:rFonts w:hint="eastAsia" w:hAnsi="宋体" w:cs="宋体"/>
          <w:color w:val="000000"/>
          <w:sz w:val="24"/>
          <w:szCs w:val="21"/>
        </w:rPr>
        <w:t>2021年12月13日，广东省人民政府发布</w:t>
      </w:r>
      <w:r>
        <w:rPr>
          <w:rFonts w:hAnsi="宋体" w:cs="宋体"/>
          <w:color w:val="000000"/>
          <w:sz w:val="24"/>
          <w:szCs w:val="21"/>
        </w:rPr>
        <w:t>《</w:t>
      </w:r>
      <w:r>
        <w:rPr>
          <w:rFonts w:hint="eastAsia" w:hAnsi="宋体" w:cs="宋体"/>
          <w:color w:val="000000"/>
          <w:sz w:val="24"/>
          <w:szCs w:val="21"/>
        </w:rPr>
        <w:t>广东省人民政府关于禁止在广东陆河抽水 蓄能电站项目工程占地及淹没区新增 建设项目和迁入人口的通告</w:t>
      </w:r>
      <w:r>
        <w:rPr>
          <w:rFonts w:hAnsi="宋体" w:cs="宋体"/>
          <w:color w:val="000000"/>
          <w:sz w:val="24"/>
          <w:szCs w:val="21"/>
        </w:rPr>
        <w:t>》(粤府函〔2021〕</w:t>
      </w:r>
      <w:r>
        <w:rPr>
          <w:rFonts w:hint="eastAsia" w:hAnsi="宋体" w:cs="宋体"/>
          <w:color w:val="000000"/>
          <w:sz w:val="24"/>
          <w:szCs w:val="21"/>
        </w:rPr>
        <w:t>368</w:t>
      </w:r>
      <w:r>
        <w:rPr>
          <w:rFonts w:hAnsi="宋体" w:cs="宋体"/>
          <w:color w:val="000000"/>
          <w:sz w:val="24"/>
          <w:szCs w:val="21"/>
        </w:rPr>
        <w:t>号)</w:t>
      </w:r>
      <w:r>
        <w:rPr>
          <w:rFonts w:hint="eastAsia" w:hAnsi="宋体" w:cs="宋体"/>
          <w:color w:val="000000"/>
          <w:sz w:val="24"/>
          <w:szCs w:val="21"/>
        </w:rPr>
        <w:t>。</w:t>
      </w:r>
    </w:p>
    <w:p>
      <w:pPr>
        <w:overflowPunct w:val="0"/>
        <w:autoSpaceDE w:val="0"/>
        <w:autoSpaceDN w:val="0"/>
        <w:adjustRightInd w:val="0"/>
        <w:spacing w:line="520" w:lineRule="exact"/>
        <w:ind w:firstLine="480"/>
        <w:rPr>
          <w:rFonts w:hint="eastAsia" w:hAnsi="宋体" w:cs="宋体"/>
          <w:color w:val="000000"/>
          <w:sz w:val="24"/>
          <w:szCs w:val="21"/>
          <w:highlight w:val="yellow"/>
        </w:rPr>
      </w:pPr>
      <w:r>
        <w:rPr>
          <w:rFonts w:hint="eastAsia" w:hAnsi="宋体" w:cs="宋体"/>
          <w:color w:val="000000"/>
          <w:sz w:val="24"/>
          <w:szCs w:val="21"/>
        </w:rPr>
        <w:t>2021年12月22日至28日，陆河县人民政府对实物指标进行了一榜公示，并于</w:t>
      </w:r>
      <w:r>
        <w:rPr>
          <w:rFonts w:hint="eastAsia" w:hAnsi="宋体" w:cs="宋体"/>
          <w:color w:val="000000"/>
          <w:sz w:val="24"/>
          <w:szCs w:val="21"/>
          <w:highlight w:val="yellow"/>
        </w:rPr>
        <w:t>XX年XX月XX日，以《陆河县人民政府关于陆河抽水蓄能电站建设征地实物指标调查成果的确认函》(XXX号)对实物指标调查成果进行了确认。</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highlight w:val="yellow"/>
          <w:shd w:val="clear" w:color="auto" w:fill="FFFFFF"/>
          <w:lang w:val="en-US" w:eastAsia="zh-CN" w:bidi="ar-SA"/>
        </w:rPr>
        <w:t>202</w:t>
      </w:r>
      <w:r>
        <w:rPr>
          <w:rFonts w:ascii="Times New Roman" w:hAnsi="宋体" w:eastAsia="宋体" w:cs="Times New Roman"/>
          <w:color w:val="000000"/>
          <w:kern w:val="2"/>
          <w:sz w:val="24"/>
          <w:szCs w:val="24"/>
          <w:highlight w:val="yellow"/>
          <w:shd w:val="clear" w:color="auto" w:fill="FFFFFF"/>
          <w:lang w:val="en-US" w:eastAsia="zh-CN" w:bidi="ar-SA"/>
        </w:rPr>
        <w:t>2</w:t>
      </w:r>
      <w:r>
        <w:rPr>
          <w:rFonts w:hint="eastAsia" w:ascii="Times New Roman" w:hAnsi="宋体" w:eastAsia="宋体" w:cs="Times New Roman"/>
          <w:color w:val="000000"/>
          <w:kern w:val="2"/>
          <w:sz w:val="24"/>
          <w:szCs w:val="24"/>
          <w:highlight w:val="yellow"/>
          <w:shd w:val="clear" w:color="auto" w:fill="FFFFFF"/>
          <w:lang w:val="en-US" w:eastAsia="zh-CN" w:bidi="ar-SA"/>
        </w:rPr>
        <w:t>年XX月</w:t>
      </w:r>
      <w:r>
        <w:rPr>
          <w:rFonts w:ascii="Times New Roman" w:hAnsi="宋体" w:eastAsia="宋体" w:cs="Times New Roman"/>
          <w:color w:val="000000"/>
          <w:kern w:val="2"/>
          <w:sz w:val="24"/>
          <w:szCs w:val="24"/>
          <w:highlight w:val="yellow"/>
          <w:shd w:val="clear" w:color="auto" w:fill="FFFFFF"/>
          <w:lang w:val="en-US" w:eastAsia="zh-CN" w:bidi="ar-SA"/>
        </w:rPr>
        <w:t>XX</w:t>
      </w:r>
      <w:r>
        <w:rPr>
          <w:rFonts w:hint="eastAsia" w:ascii="Times New Roman" w:hAnsi="宋体" w:eastAsia="宋体" w:cs="Times New Roman"/>
          <w:color w:val="000000"/>
          <w:kern w:val="2"/>
          <w:sz w:val="24"/>
          <w:szCs w:val="24"/>
          <w:highlight w:val="yellow"/>
          <w:shd w:val="clear" w:color="auto" w:fill="FFFFFF"/>
          <w:lang w:val="en-US" w:eastAsia="zh-CN" w:bidi="ar-SA"/>
        </w:rPr>
        <w:t>日，中南院根据上述成果编制完成《广东省陆河抽水蓄能电站建设征地实物指标调查报告(送审稿)》。</w:t>
      </w:r>
    </w:p>
    <w:p>
      <w:pPr>
        <w:widowControl w:val="0"/>
        <w:adjustRightInd w:val="0"/>
        <w:snapToGrid w:val="0"/>
        <w:spacing w:before="120" w:after="60" w:line="480" w:lineRule="exact"/>
        <w:jc w:val="left"/>
        <w:outlineLvl w:val="1"/>
        <w:rPr>
          <w:rFonts w:ascii="Times New Roman" w:hAnsi="Times New Roman" w:eastAsia="黑体" w:cs="Times New Roman"/>
          <w:bCs/>
          <w:color w:val="000000"/>
          <w:kern w:val="2"/>
          <w:sz w:val="28"/>
          <w:szCs w:val="28"/>
          <w:lang w:val="en-US" w:eastAsia="zh-CN" w:bidi="ar-SA"/>
        </w:rPr>
      </w:pPr>
      <w:bookmarkStart w:id="571" w:name="_Toc86257944"/>
      <w:bookmarkStart w:id="572" w:name="_Toc90945236"/>
      <w:r>
        <w:rPr>
          <w:rFonts w:ascii="Times New Roman" w:hAnsi="Times New Roman" w:eastAsia="黑体" w:cs="Times New Roman"/>
          <w:bCs/>
          <w:color w:val="000000"/>
          <w:kern w:val="2"/>
          <w:sz w:val="28"/>
          <w:szCs w:val="28"/>
          <w:lang w:val="en-US" w:eastAsia="zh-CN" w:bidi="ar-SA"/>
        </w:rPr>
        <w:t xml:space="preserve">2.2  </w:t>
      </w:r>
      <w:r>
        <w:rPr>
          <w:rFonts w:ascii="Times New Roman" w:hAnsi="宋体" w:eastAsia="黑体" w:cs="Times New Roman"/>
          <w:bCs/>
          <w:color w:val="000000"/>
          <w:kern w:val="2"/>
          <w:sz w:val="28"/>
          <w:szCs w:val="28"/>
          <w:lang w:val="en-US" w:eastAsia="zh-CN" w:bidi="ar-SA"/>
        </w:rPr>
        <w:t>主要工作成果</w:t>
      </w:r>
      <w:bookmarkEnd w:id="571"/>
      <w:bookmarkEnd w:id="572"/>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a) </w:t>
      </w:r>
      <w:r>
        <w:rPr>
          <w:rFonts w:ascii="Times New Roman" w:hAnsi="宋体" w:eastAsia="宋体" w:cs="Times New Roman"/>
          <w:color w:val="000000"/>
          <w:kern w:val="2"/>
          <w:sz w:val="24"/>
          <w:szCs w:val="24"/>
          <w:shd w:val="clear" w:color="auto" w:fill="FFFFFF"/>
          <w:lang w:val="en-US" w:eastAsia="zh-CN" w:bidi="ar-SA"/>
        </w:rPr>
        <w:t>土地</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bookmarkStart w:id="573" w:name="_Hlk85218400"/>
      <w:r>
        <w:rPr>
          <w:rFonts w:hint="eastAsia" w:ascii="Times New Roman" w:hAnsi="宋体" w:eastAsia="宋体" w:cs="Times New Roman"/>
          <w:color w:val="000000"/>
          <w:kern w:val="2"/>
          <w:sz w:val="24"/>
          <w:szCs w:val="24"/>
          <w:shd w:val="clear" w:color="auto" w:fill="FFFFFF"/>
          <w:lang w:val="en-US" w:eastAsia="zh-CN" w:bidi="ar-SA"/>
        </w:rPr>
        <w:t>陆河抽水蓄能电站工程建设征地总面积为</w:t>
      </w:r>
      <w:r>
        <w:rPr>
          <w:rFonts w:ascii="Times New Roman" w:hAnsi="宋体" w:eastAsia="宋体" w:cs="Times New Roman"/>
          <w:color w:val="000000"/>
          <w:kern w:val="2"/>
          <w:sz w:val="24"/>
          <w:szCs w:val="24"/>
          <w:shd w:val="clear" w:color="auto" w:fill="FFFFFF"/>
          <w:lang w:val="en-US" w:eastAsia="zh-CN" w:bidi="ar-SA"/>
        </w:rPr>
        <w:t>4791.33</w:t>
      </w:r>
      <w:r>
        <w:rPr>
          <w:rFonts w:hint="eastAsia" w:ascii="Times New Roman" w:hAnsi="宋体" w:eastAsia="宋体" w:cs="Times New Roman"/>
          <w:color w:val="000000"/>
          <w:kern w:val="2"/>
          <w:sz w:val="24"/>
          <w:szCs w:val="24"/>
          <w:shd w:val="clear" w:color="auto" w:fill="FFFFFF"/>
          <w:lang w:val="en-US" w:eastAsia="zh-CN" w:bidi="ar-SA"/>
        </w:rPr>
        <w:t>亩，其中永久征收面积</w:t>
      </w:r>
      <w:r>
        <w:rPr>
          <w:rFonts w:ascii="Times New Roman" w:hAnsi="宋体" w:eastAsia="宋体" w:cs="Times New Roman"/>
          <w:color w:val="000000"/>
          <w:kern w:val="2"/>
          <w:sz w:val="24"/>
          <w:szCs w:val="24"/>
          <w:shd w:val="clear" w:color="auto" w:fill="FFFFFF"/>
          <w:lang w:val="en-US" w:eastAsia="zh-CN" w:bidi="ar-SA"/>
        </w:rPr>
        <w:t>3829.50</w:t>
      </w:r>
      <w:r>
        <w:rPr>
          <w:rFonts w:hint="eastAsia" w:ascii="Times New Roman" w:hAnsi="宋体" w:eastAsia="宋体" w:cs="Times New Roman"/>
          <w:color w:val="000000"/>
          <w:kern w:val="2"/>
          <w:sz w:val="24"/>
          <w:szCs w:val="24"/>
          <w:shd w:val="clear" w:color="auto" w:fill="FFFFFF"/>
          <w:lang w:val="en-US" w:eastAsia="zh-CN" w:bidi="ar-SA"/>
        </w:rPr>
        <w:t>亩，临时征用面积</w:t>
      </w:r>
      <w:r>
        <w:rPr>
          <w:rFonts w:ascii="Times New Roman" w:hAnsi="宋体" w:eastAsia="宋体" w:cs="Times New Roman"/>
          <w:color w:val="000000"/>
          <w:kern w:val="2"/>
          <w:sz w:val="24"/>
          <w:szCs w:val="24"/>
          <w:shd w:val="clear" w:color="auto" w:fill="FFFFFF"/>
          <w:lang w:val="en-US" w:eastAsia="zh-CN" w:bidi="ar-SA"/>
        </w:rPr>
        <w:t>961.8</w:t>
      </w:r>
      <w:r>
        <w:rPr>
          <w:rFonts w:hint="eastAsia" w:ascii="Times New Roman" w:hAnsi="宋体" w:eastAsia="宋体" w:cs="Times New Roman"/>
          <w:color w:val="000000"/>
          <w:kern w:val="2"/>
          <w:sz w:val="24"/>
          <w:szCs w:val="24"/>
          <w:shd w:val="clear" w:color="auto" w:fill="FFFFFF"/>
          <w:lang w:val="en-US" w:eastAsia="zh-CN" w:bidi="ar-SA"/>
        </w:rPr>
        <w:t>3亩。</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bookmarkStart w:id="574" w:name="_Hlk93846252"/>
      <w:r>
        <w:rPr>
          <w:rFonts w:hint="eastAsia" w:ascii="Times New Roman" w:hAnsi="宋体" w:eastAsia="宋体" w:cs="Times New Roman"/>
          <w:color w:val="000000"/>
          <w:kern w:val="2"/>
          <w:sz w:val="24"/>
          <w:szCs w:val="24"/>
          <w:shd w:val="clear" w:color="auto" w:fill="FFFFFF"/>
          <w:lang w:val="en-US" w:eastAsia="zh-CN" w:bidi="ar-SA"/>
        </w:rPr>
        <w:t>按建设用地类别划分，枢纽工程建设区征收(用)土地面积为</w:t>
      </w:r>
      <w:r>
        <w:rPr>
          <w:rFonts w:ascii="Times New Roman" w:hAnsi="宋体" w:eastAsia="宋体" w:cs="Times New Roman"/>
          <w:color w:val="000000"/>
          <w:kern w:val="2"/>
          <w:sz w:val="24"/>
          <w:szCs w:val="24"/>
          <w:shd w:val="clear" w:color="auto" w:fill="FFFFFF"/>
          <w:lang w:val="en-US" w:eastAsia="zh-CN" w:bidi="ar-SA"/>
        </w:rPr>
        <w:t>3412.43</w:t>
      </w:r>
      <w:r>
        <w:rPr>
          <w:rFonts w:hint="eastAsia" w:ascii="Times New Roman" w:hAnsi="宋体" w:eastAsia="宋体" w:cs="Times New Roman"/>
          <w:color w:val="000000"/>
          <w:kern w:val="2"/>
          <w:sz w:val="24"/>
          <w:szCs w:val="24"/>
          <w:shd w:val="clear" w:color="auto" w:fill="FFFFFF"/>
          <w:lang w:val="en-US" w:eastAsia="zh-CN" w:bidi="ar-SA"/>
        </w:rPr>
        <w:t>亩，其中永久征地区</w:t>
      </w:r>
      <w:r>
        <w:rPr>
          <w:rFonts w:ascii="Times New Roman" w:hAnsi="宋体" w:eastAsia="宋体" w:cs="Times New Roman"/>
          <w:color w:val="000000"/>
          <w:kern w:val="2"/>
          <w:sz w:val="24"/>
          <w:szCs w:val="24"/>
          <w:shd w:val="clear" w:color="auto" w:fill="FFFFFF"/>
          <w:lang w:val="en-US" w:eastAsia="zh-CN" w:bidi="ar-SA"/>
        </w:rPr>
        <w:t>2450.60</w:t>
      </w:r>
      <w:r>
        <w:rPr>
          <w:rFonts w:hint="eastAsia" w:ascii="Times New Roman" w:hAnsi="宋体" w:eastAsia="宋体" w:cs="Times New Roman"/>
          <w:color w:val="000000"/>
          <w:kern w:val="2"/>
          <w:sz w:val="24"/>
          <w:szCs w:val="24"/>
          <w:shd w:val="clear" w:color="auto" w:fill="FFFFFF"/>
          <w:lang w:val="en-US" w:eastAsia="zh-CN" w:bidi="ar-SA"/>
        </w:rPr>
        <w:t>亩，临时用地区</w:t>
      </w:r>
      <w:r>
        <w:rPr>
          <w:rFonts w:ascii="Times New Roman" w:hAnsi="宋体" w:eastAsia="宋体" w:cs="Times New Roman"/>
          <w:color w:val="000000"/>
          <w:kern w:val="2"/>
          <w:sz w:val="24"/>
          <w:szCs w:val="24"/>
          <w:shd w:val="clear" w:color="auto" w:fill="FFFFFF"/>
          <w:lang w:val="en-US" w:eastAsia="zh-CN" w:bidi="ar-SA"/>
        </w:rPr>
        <w:t>961.8</w:t>
      </w:r>
      <w:r>
        <w:rPr>
          <w:rFonts w:hint="eastAsia" w:ascii="Times New Roman" w:hAnsi="宋体" w:eastAsia="宋体" w:cs="Times New Roman"/>
          <w:color w:val="000000"/>
          <w:kern w:val="2"/>
          <w:sz w:val="24"/>
          <w:szCs w:val="24"/>
          <w:shd w:val="clear" w:color="auto" w:fill="FFFFFF"/>
          <w:lang w:val="en-US" w:eastAsia="zh-CN" w:bidi="ar-SA"/>
        </w:rPr>
        <w:t>3亩；水库淹没区征收(用)土地面积为</w:t>
      </w:r>
      <w:r>
        <w:rPr>
          <w:rFonts w:ascii="Times New Roman" w:hAnsi="宋体" w:eastAsia="宋体" w:cs="Times New Roman"/>
          <w:color w:val="000000"/>
          <w:kern w:val="2"/>
          <w:sz w:val="24"/>
          <w:szCs w:val="24"/>
          <w:shd w:val="clear" w:color="auto" w:fill="FFFFFF"/>
          <w:lang w:val="en-US" w:eastAsia="zh-CN" w:bidi="ar-SA"/>
        </w:rPr>
        <w:t>1378.90</w:t>
      </w:r>
      <w:r>
        <w:rPr>
          <w:rFonts w:hint="eastAsia" w:ascii="Times New Roman" w:hAnsi="宋体" w:eastAsia="宋体" w:cs="Times New Roman"/>
          <w:color w:val="000000"/>
          <w:kern w:val="2"/>
          <w:sz w:val="24"/>
          <w:szCs w:val="24"/>
          <w:shd w:val="clear" w:color="auto" w:fill="FFFFFF"/>
          <w:lang w:val="en-US" w:eastAsia="zh-CN" w:bidi="ar-SA"/>
        </w:rPr>
        <w:t>亩。</w:t>
      </w:r>
    </w:p>
    <w:p>
      <w:pPr>
        <w:widowControl w:val="0"/>
        <w:overflowPunct w:val="0"/>
        <w:autoSpaceDE w:val="0"/>
        <w:autoSpaceDN w:val="0"/>
        <w:adjustRightInd w:val="0"/>
        <w:snapToGrid w:val="0"/>
        <w:spacing w:line="480" w:lineRule="exact"/>
        <w:ind w:firstLine="488" w:firstLineChars="200"/>
        <w:jc w:val="both"/>
        <w:rPr>
          <w:rFonts w:hint="eastAsia" w:ascii="Times New Roman" w:hAnsi="Times New Roman" w:eastAsia="宋体" w:cs="Times New Roman"/>
          <w:color w:val="000000"/>
          <w:spacing w:val="-4"/>
          <w:kern w:val="2"/>
          <w:sz w:val="24"/>
          <w:szCs w:val="24"/>
          <w:shd w:val="clear" w:color="auto" w:fill="FFFFFF"/>
          <w:lang w:val="en-US" w:eastAsia="zh-CN" w:bidi="ar-SA"/>
        </w:rPr>
      </w:pPr>
      <w:r>
        <w:rPr>
          <w:rFonts w:hint="eastAsia" w:ascii="Times New Roman" w:hAnsi="宋体" w:eastAsia="宋体" w:cs="Times New Roman"/>
          <w:color w:val="000000"/>
          <w:spacing w:val="2"/>
          <w:kern w:val="2"/>
          <w:sz w:val="24"/>
          <w:szCs w:val="24"/>
          <w:shd w:val="clear" w:color="auto" w:fill="FFFFFF"/>
          <w:lang w:val="en-US" w:eastAsia="zh-CN" w:bidi="ar-SA"/>
        </w:rPr>
        <w:t>按地类划分，永久征收土地</w:t>
      </w:r>
      <w:r>
        <w:rPr>
          <w:rFonts w:ascii="Times New Roman" w:hAnsi="宋体" w:eastAsia="宋体" w:cs="Times New Roman"/>
          <w:color w:val="000000"/>
          <w:spacing w:val="2"/>
          <w:kern w:val="2"/>
          <w:sz w:val="24"/>
          <w:szCs w:val="24"/>
          <w:shd w:val="clear" w:color="auto" w:fill="FFFFFF"/>
          <w:lang w:val="en-US" w:eastAsia="zh-CN" w:bidi="ar-SA"/>
        </w:rPr>
        <w:t>3829.50</w:t>
      </w:r>
      <w:r>
        <w:rPr>
          <w:rFonts w:hint="eastAsia" w:ascii="Times New Roman" w:hAnsi="宋体" w:eastAsia="宋体" w:cs="Times New Roman"/>
          <w:color w:val="000000"/>
          <w:spacing w:val="2"/>
          <w:kern w:val="2"/>
          <w:sz w:val="24"/>
          <w:szCs w:val="24"/>
          <w:shd w:val="clear" w:color="auto" w:fill="FFFFFF"/>
          <w:lang w:val="en-US" w:eastAsia="zh-CN" w:bidi="ar-SA"/>
        </w:rPr>
        <w:t>亩中，耕地</w:t>
      </w:r>
      <w:r>
        <w:rPr>
          <w:rFonts w:ascii="Times New Roman" w:hAnsi="宋体" w:eastAsia="宋体" w:cs="Times New Roman"/>
          <w:color w:val="000000"/>
          <w:spacing w:val="2"/>
          <w:kern w:val="2"/>
          <w:sz w:val="24"/>
          <w:szCs w:val="24"/>
          <w:shd w:val="clear" w:color="auto" w:fill="FFFFFF"/>
          <w:lang w:val="en-US" w:eastAsia="zh-CN" w:bidi="ar-SA"/>
        </w:rPr>
        <w:t>500.63</w:t>
      </w:r>
      <w:r>
        <w:rPr>
          <w:rFonts w:hint="eastAsia" w:ascii="Times New Roman" w:hAnsi="宋体" w:eastAsia="宋体" w:cs="Times New Roman"/>
          <w:color w:val="000000"/>
          <w:spacing w:val="2"/>
          <w:kern w:val="2"/>
          <w:sz w:val="24"/>
          <w:szCs w:val="24"/>
          <w:shd w:val="clear" w:color="auto" w:fill="FFFFFF"/>
          <w:lang w:val="en-US" w:eastAsia="zh-CN" w:bidi="ar-SA"/>
        </w:rPr>
        <w:t>亩，园地</w:t>
      </w:r>
      <w:r>
        <w:rPr>
          <w:rFonts w:ascii="Times New Roman" w:hAnsi="宋体" w:eastAsia="宋体" w:cs="Times New Roman"/>
          <w:color w:val="000000"/>
          <w:spacing w:val="2"/>
          <w:kern w:val="2"/>
          <w:sz w:val="24"/>
          <w:szCs w:val="24"/>
          <w:shd w:val="clear" w:color="auto" w:fill="FFFFFF"/>
          <w:lang w:val="en-US" w:eastAsia="zh-CN" w:bidi="ar-SA"/>
        </w:rPr>
        <w:t>23.99</w:t>
      </w:r>
      <w:r>
        <w:rPr>
          <w:rFonts w:hint="eastAsia" w:ascii="Times New Roman" w:hAnsi="宋体" w:eastAsia="宋体" w:cs="Times New Roman"/>
          <w:color w:val="000000"/>
          <w:spacing w:val="2"/>
          <w:kern w:val="2"/>
          <w:sz w:val="24"/>
          <w:szCs w:val="24"/>
          <w:shd w:val="clear" w:color="auto" w:fill="FFFFFF"/>
          <w:lang w:val="en-US" w:eastAsia="zh-CN" w:bidi="ar-SA"/>
        </w:rPr>
        <w:t>亩，林地</w:t>
      </w:r>
      <w:r>
        <w:rPr>
          <w:rFonts w:ascii="Times New Roman" w:hAnsi="宋体" w:eastAsia="宋体" w:cs="Times New Roman"/>
          <w:color w:val="000000"/>
          <w:spacing w:val="2"/>
          <w:kern w:val="2"/>
          <w:sz w:val="24"/>
          <w:szCs w:val="24"/>
          <w:shd w:val="clear" w:color="auto" w:fill="FFFFFF"/>
          <w:lang w:val="en-US" w:eastAsia="zh-CN" w:bidi="ar-SA"/>
        </w:rPr>
        <w:t>3082.00</w:t>
      </w:r>
      <w:r>
        <w:rPr>
          <w:rFonts w:hint="eastAsia" w:ascii="Times New Roman" w:hAnsi="宋体" w:eastAsia="宋体" w:cs="Times New Roman"/>
          <w:color w:val="000000"/>
          <w:spacing w:val="2"/>
          <w:kern w:val="2"/>
          <w:sz w:val="24"/>
          <w:szCs w:val="24"/>
          <w:shd w:val="clear" w:color="auto" w:fill="FFFFFF"/>
          <w:lang w:val="en-US" w:eastAsia="zh-CN" w:bidi="ar-SA"/>
        </w:rPr>
        <w:t>亩(灌木林地</w:t>
      </w:r>
      <w:r>
        <w:rPr>
          <w:rFonts w:ascii="Times New Roman" w:hAnsi="宋体" w:eastAsia="宋体" w:cs="Times New Roman"/>
          <w:color w:val="000000"/>
          <w:spacing w:val="2"/>
          <w:kern w:val="2"/>
          <w:sz w:val="24"/>
          <w:szCs w:val="24"/>
          <w:shd w:val="clear" w:color="auto" w:fill="FFFFFF"/>
          <w:lang w:val="en-US" w:eastAsia="zh-CN" w:bidi="ar-SA"/>
        </w:rPr>
        <w:t>34.05</w:t>
      </w:r>
      <w:r>
        <w:rPr>
          <w:rFonts w:hint="eastAsia" w:ascii="Times New Roman" w:hAnsi="宋体" w:eastAsia="宋体" w:cs="Times New Roman"/>
          <w:color w:val="000000"/>
          <w:spacing w:val="2"/>
          <w:kern w:val="2"/>
          <w:sz w:val="24"/>
          <w:szCs w:val="24"/>
          <w:shd w:val="clear" w:color="auto" w:fill="FFFFFF"/>
          <w:lang w:val="en-US" w:eastAsia="zh-CN" w:bidi="ar-SA"/>
        </w:rPr>
        <w:t>亩，有林地</w:t>
      </w:r>
      <w:r>
        <w:rPr>
          <w:rFonts w:ascii="Times New Roman" w:hAnsi="宋体" w:eastAsia="宋体" w:cs="Times New Roman"/>
          <w:color w:val="000000"/>
          <w:spacing w:val="2"/>
          <w:kern w:val="2"/>
          <w:sz w:val="24"/>
          <w:szCs w:val="24"/>
          <w:shd w:val="clear" w:color="auto" w:fill="FFFFFF"/>
          <w:lang w:val="en-US" w:eastAsia="zh-CN" w:bidi="ar-SA"/>
        </w:rPr>
        <w:t>3047.95</w:t>
      </w:r>
      <w:r>
        <w:rPr>
          <w:rFonts w:hint="eastAsia" w:ascii="Times New Roman" w:hAnsi="宋体" w:eastAsia="宋体" w:cs="Times New Roman"/>
          <w:color w:val="000000"/>
          <w:spacing w:val="2"/>
          <w:kern w:val="2"/>
          <w:sz w:val="24"/>
          <w:szCs w:val="24"/>
          <w:shd w:val="clear" w:color="auto" w:fill="FFFFFF"/>
          <w:lang w:val="en-US" w:eastAsia="zh-CN" w:bidi="ar-SA"/>
        </w:rPr>
        <w:t>亩)，草地</w:t>
      </w:r>
      <w:r>
        <w:rPr>
          <w:rFonts w:ascii="Times New Roman" w:hAnsi="宋体" w:eastAsia="宋体" w:cs="Times New Roman"/>
          <w:color w:val="000000"/>
          <w:spacing w:val="2"/>
          <w:kern w:val="2"/>
          <w:sz w:val="24"/>
          <w:szCs w:val="24"/>
          <w:shd w:val="clear" w:color="auto" w:fill="FFFFFF"/>
          <w:lang w:val="en-US" w:eastAsia="zh-CN" w:bidi="ar-SA"/>
        </w:rPr>
        <w:t>21.33</w:t>
      </w:r>
      <w:r>
        <w:rPr>
          <w:rFonts w:hint="eastAsia" w:ascii="Times New Roman" w:hAnsi="宋体" w:eastAsia="宋体" w:cs="Times New Roman"/>
          <w:color w:val="000000"/>
          <w:spacing w:val="2"/>
          <w:kern w:val="2"/>
          <w:sz w:val="24"/>
          <w:szCs w:val="24"/>
          <w:shd w:val="clear" w:color="auto" w:fill="FFFFFF"/>
          <w:lang w:val="en-US" w:eastAsia="zh-CN" w:bidi="ar-SA"/>
        </w:rPr>
        <w:t>亩，住宅用地</w:t>
      </w:r>
      <w:r>
        <w:rPr>
          <w:rFonts w:ascii="Times New Roman" w:hAnsi="宋体" w:eastAsia="宋体" w:cs="Times New Roman"/>
          <w:color w:val="000000"/>
          <w:spacing w:val="2"/>
          <w:kern w:val="2"/>
          <w:sz w:val="24"/>
          <w:szCs w:val="24"/>
          <w:shd w:val="clear" w:color="auto" w:fill="FFFFFF"/>
          <w:lang w:val="en-US" w:eastAsia="zh-CN" w:bidi="ar-SA"/>
        </w:rPr>
        <w:t>2.48</w:t>
      </w:r>
      <w:r>
        <w:rPr>
          <w:rFonts w:hint="eastAsia" w:ascii="Times New Roman" w:hAnsi="宋体" w:eastAsia="宋体" w:cs="Times New Roman"/>
          <w:color w:val="000000"/>
          <w:spacing w:val="2"/>
          <w:kern w:val="2"/>
          <w:sz w:val="24"/>
          <w:szCs w:val="24"/>
          <w:shd w:val="clear" w:color="auto" w:fill="FFFFFF"/>
          <w:lang w:val="en-US" w:eastAsia="zh-CN" w:bidi="ar-SA"/>
        </w:rPr>
        <w:t>亩，交通运输</w:t>
      </w:r>
      <w:r>
        <w:rPr>
          <w:rFonts w:hint="eastAsia" w:ascii="Times New Roman" w:hAnsi="宋体" w:eastAsia="宋体" w:cs="Times New Roman"/>
          <w:color w:val="000000"/>
          <w:kern w:val="2"/>
          <w:sz w:val="24"/>
          <w:szCs w:val="24"/>
          <w:shd w:val="clear" w:color="auto" w:fill="FFFFFF"/>
          <w:lang w:val="en-US" w:eastAsia="zh-CN" w:bidi="ar-SA"/>
        </w:rPr>
        <w:t>用地</w:t>
      </w:r>
      <w:r>
        <w:rPr>
          <w:rFonts w:ascii="Times New Roman" w:hAnsi="宋体" w:eastAsia="宋体" w:cs="Times New Roman"/>
          <w:color w:val="000000"/>
          <w:kern w:val="2"/>
          <w:sz w:val="24"/>
          <w:szCs w:val="24"/>
          <w:shd w:val="clear" w:color="auto" w:fill="FFFFFF"/>
          <w:lang w:val="en-US" w:eastAsia="zh-CN" w:bidi="ar-SA"/>
        </w:rPr>
        <w:t>51.22</w:t>
      </w:r>
      <w:r>
        <w:rPr>
          <w:rFonts w:hint="eastAsia" w:ascii="Times New Roman" w:hAnsi="宋体" w:eastAsia="宋体" w:cs="Times New Roman"/>
          <w:color w:val="000000"/>
          <w:kern w:val="2"/>
          <w:sz w:val="24"/>
          <w:szCs w:val="24"/>
          <w:shd w:val="clear" w:color="auto" w:fill="FFFFFF"/>
          <w:lang w:val="en-US" w:eastAsia="zh-CN" w:bidi="ar-SA"/>
        </w:rPr>
        <w:t>亩，水域及水利设施用地</w:t>
      </w:r>
      <w:r>
        <w:rPr>
          <w:rFonts w:ascii="Times New Roman" w:hAnsi="宋体" w:eastAsia="宋体" w:cs="Times New Roman"/>
          <w:color w:val="000000"/>
          <w:kern w:val="2"/>
          <w:sz w:val="24"/>
          <w:szCs w:val="24"/>
          <w:shd w:val="clear" w:color="auto" w:fill="FFFFFF"/>
          <w:lang w:val="en-US" w:eastAsia="zh-CN" w:bidi="ar-SA"/>
        </w:rPr>
        <w:t>147.84</w:t>
      </w:r>
      <w:r>
        <w:rPr>
          <w:rFonts w:hint="eastAsia" w:ascii="Times New Roman" w:hAnsi="宋体" w:eastAsia="宋体" w:cs="Times New Roman"/>
          <w:color w:val="000000"/>
          <w:kern w:val="2"/>
          <w:sz w:val="24"/>
          <w:szCs w:val="24"/>
          <w:shd w:val="clear" w:color="auto" w:fill="FFFFFF"/>
          <w:lang w:val="en-US" w:eastAsia="zh-CN" w:bidi="ar-SA"/>
        </w:rPr>
        <w:t>亩；临时征用土地</w:t>
      </w:r>
      <w:r>
        <w:rPr>
          <w:rFonts w:ascii="Times New Roman" w:hAnsi="宋体" w:eastAsia="宋体" w:cs="Times New Roman"/>
          <w:color w:val="000000"/>
          <w:kern w:val="2"/>
          <w:sz w:val="24"/>
          <w:szCs w:val="24"/>
          <w:shd w:val="clear" w:color="auto" w:fill="FFFFFF"/>
          <w:lang w:val="en-US" w:eastAsia="zh-CN" w:bidi="ar-SA"/>
        </w:rPr>
        <w:t>961.8</w:t>
      </w:r>
      <w:r>
        <w:rPr>
          <w:rFonts w:hint="eastAsia" w:ascii="Times New Roman" w:hAnsi="宋体" w:eastAsia="宋体" w:cs="Times New Roman"/>
          <w:color w:val="000000"/>
          <w:kern w:val="2"/>
          <w:sz w:val="24"/>
          <w:szCs w:val="24"/>
          <w:shd w:val="clear" w:color="auto" w:fill="FFFFFF"/>
          <w:lang w:val="en-US" w:eastAsia="zh-CN" w:bidi="ar-SA"/>
        </w:rPr>
        <w:t>3亩中，耕地</w:t>
      </w:r>
      <w:r>
        <w:rPr>
          <w:rFonts w:ascii="Times New Roman" w:hAnsi="宋体" w:eastAsia="宋体" w:cs="Times New Roman"/>
          <w:color w:val="000000"/>
          <w:spacing w:val="-4"/>
          <w:kern w:val="2"/>
          <w:sz w:val="24"/>
          <w:szCs w:val="24"/>
          <w:shd w:val="clear" w:color="auto" w:fill="FFFFFF"/>
          <w:lang w:val="en-US" w:eastAsia="zh-CN" w:bidi="ar-SA"/>
        </w:rPr>
        <w:t>15.55</w:t>
      </w:r>
      <w:r>
        <w:rPr>
          <w:rFonts w:hint="eastAsia" w:ascii="Times New Roman" w:hAnsi="宋体" w:eastAsia="宋体" w:cs="Times New Roman"/>
          <w:color w:val="000000"/>
          <w:spacing w:val="-4"/>
          <w:kern w:val="2"/>
          <w:sz w:val="24"/>
          <w:szCs w:val="24"/>
          <w:shd w:val="clear" w:color="auto" w:fill="FFFFFF"/>
          <w:lang w:val="en-US" w:eastAsia="zh-CN" w:bidi="ar-SA"/>
        </w:rPr>
        <w:t>亩，园地</w:t>
      </w:r>
      <w:r>
        <w:rPr>
          <w:rFonts w:ascii="Times New Roman" w:hAnsi="宋体" w:eastAsia="宋体" w:cs="Times New Roman"/>
          <w:color w:val="000000"/>
          <w:spacing w:val="-4"/>
          <w:kern w:val="2"/>
          <w:sz w:val="24"/>
          <w:szCs w:val="24"/>
          <w:shd w:val="clear" w:color="auto" w:fill="FFFFFF"/>
          <w:lang w:val="en-US" w:eastAsia="zh-CN" w:bidi="ar-SA"/>
        </w:rPr>
        <w:t>3.68</w:t>
      </w:r>
      <w:r>
        <w:rPr>
          <w:rFonts w:hint="eastAsia" w:ascii="Times New Roman" w:hAnsi="宋体" w:eastAsia="宋体" w:cs="Times New Roman"/>
          <w:color w:val="000000"/>
          <w:spacing w:val="-4"/>
          <w:kern w:val="2"/>
          <w:sz w:val="24"/>
          <w:szCs w:val="24"/>
          <w:shd w:val="clear" w:color="auto" w:fill="FFFFFF"/>
          <w:lang w:val="en-US" w:eastAsia="zh-CN" w:bidi="ar-SA"/>
        </w:rPr>
        <w:t>亩，林地</w:t>
      </w:r>
      <w:r>
        <w:rPr>
          <w:rFonts w:ascii="Times New Roman" w:hAnsi="宋体" w:eastAsia="宋体" w:cs="Times New Roman"/>
          <w:color w:val="000000"/>
          <w:spacing w:val="-4"/>
          <w:kern w:val="2"/>
          <w:sz w:val="24"/>
          <w:szCs w:val="24"/>
          <w:shd w:val="clear" w:color="auto" w:fill="FFFFFF"/>
          <w:lang w:val="en-US" w:eastAsia="zh-CN" w:bidi="ar-SA"/>
        </w:rPr>
        <w:t>932.36</w:t>
      </w:r>
      <w:r>
        <w:rPr>
          <w:rFonts w:hint="eastAsia" w:ascii="Times New Roman" w:hAnsi="宋体" w:eastAsia="宋体" w:cs="Times New Roman"/>
          <w:color w:val="000000"/>
          <w:spacing w:val="-4"/>
          <w:kern w:val="2"/>
          <w:sz w:val="24"/>
          <w:szCs w:val="24"/>
          <w:shd w:val="clear" w:color="auto" w:fill="FFFFFF"/>
          <w:lang w:val="en-US" w:eastAsia="zh-CN" w:bidi="ar-SA"/>
        </w:rPr>
        <w:t>亩(均为有林地)，草地0</w:t>
      </w:r>
      <w:r>
        <w:rPr>
          <w:rFonts w:ascii="Times New Roman" w:hAnsi="宋体" w:eastAsia="宋体" w:cs="Times New Roman"/>
          <w:color w:val="000000"/>
          <w:spacing w:val="-4"/>
          <w:kern w:val="2"/>
          <w:sz w:val="24"/>
          <w:szCs w:val="24"/>
          <w:shd w:val="clear" w:color="auto" w:fill="FFFFFF"/>
          <w:lang w:val="en-US" w:eastAsia="zh-CN" w:bidi="ar-SA"/>
        </w:rPr>
        <w:t>.02</w:t>
      </w:r>
      <w:r>
        <w:rPr>
          <w:rFonts w:hint="eastAsia" w:ascii="Times New Roman" w:hAnsi="宋体" w:eastAsia="宋体" w:cs="Times New Roman"/>
          <w:color w:val="000000"/>
          <w:spacing w:val="-4"/>
          <w:kern w:val="2"/>
          <w:sz w:val="24"/>
          <w:szCs w:val="24"/>
          <w:shd w:val="clear" w:color="auto" w:fill="FFFFFF"/>
          <w:lang w:val="en-US" w:eastAsia="zh-CN" w:bidi="ar-SA"/>
        </w:rPr>
        <w:t>亩，交通运输用地</w:t>
      </w:r>
      <w:r>
        <w:rPr>
          <w:rFonts w:ascii="Times New Roman" w:hAnsi="宋体" w:eastAsia="宋体" w:cs="Times New Roman"/>
          <w:color w:val="000000"/>
          <w:spacing w:val="-4"/>
          <w:kern w:val="2"/>
          <w:sz w:val="24"/>
          <w:szCs w:val="24"/>
          <w:shd w:val="clear" w:color="auto" w:fill="FFFFFF"/>
          <w:lang w:val="en-US" w:eastAsia="zh-CN" w:bidi="ar-SA"/>
        </w:rPr>
        <w:t>10.22</w:t>
      </w:r>
      <w:r>
        <w:rPr>
          <w:rFonts w:hint="eastAsia" w:ascii="Times New Roman" w:hAnsi="宋体" w:eastAsia="宋体" w:cs="Times New Roman"/>
          <w:color w:val="000000"/>
          <w:spacing w:val="-4"/>
          <w:kern w:val="2"/>
          <w:sz w:val="24"/>
          <w:szCs w:val="24"/>
          <w:shd w:val="clear" w:color="auto" w:fill="FFFFFF"/>
          <w:lang w:val="en-US" w:eastAsia="zh-CN" w:bidi="ar-SA"/>
        </w:rPr>
        <w:t>亩</w:t>
      </w:r>
      <w:bookmarkEnd w:id="574"/>
      <w:r>
        <w:rPr>
          <w:rFonts w:hint="eastAsia" w:ascii="Times New Roman" w:hAnsi="宋体" w:eastAsia="宋体" w:cs="Times New Roman"/>
          <w:color w:val="000000"/>
          <w:spacing w:val="-4"/>
          <w:kern w:val="2"/>
          <w:sz w:val="24"/>
          <w:szCs w:val="24"/>
          <w:shd w:val="clear" w:color="auto" w:fill="FFFFFF"/>
          <w:lang w:val="en-US" w:eastAsia="zh-CN" w:bidi="ar-SA"/>
        </w:rPr>
        <w:t>。</w:t>
      </w:r>
    </w:p>
    <w:bookmarkEnd w:id="573"/>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b</w:t>
      </w:r>
      <w:r>
        <w:rPr>
          <w:rFonts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房屋</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bookmarkStart w:id="575" w:name="_Hlk85220319"/>
      <w:r>
        <w:rPr>
          <w:rFonts w:hint="eastAsia" w:ascii="Times New Roman" w:hAnsi="宋体" w:eastAsia="宋体" w:cs="Times New Roman"/>
          <w:color w:val="000000"/>
          <w:kern w:val="2"/>
          <w:sz w:val="24"/>
          <w:szCs w:val="24"/>
          <w:shd w:val="clear" w:color="auto" w:fill="FFFFFF"/>
          <w:lang w:val="en-US" w:eastAsia="zh-CN" w:bidi="ar-SA"/>
        </w:rPr>
        <w:t>陆河抽水蓄能电站建设征地涉及广东省汕尾市陆河县新田镇激石溪村委和汕尾市吉溪林场，激石溪村全部村民于10年前集中搬迁至新田镇居住，且村内大部分房屋已于2019年农村改造时拆除，剩余本工程建设征地范围内的零星房屋均无常驻村民，仅作为生产性房屋，各方案不涉及搬迁人口。涉及房屋总面积</w:t>
      </w:r>
      <w:r>
        <w:rPr>
          <w:rFonts w:ascii="Times New Roman" w:hAnsi="宋体" w:eastAsia="宋体" w:cs="Times New Roman"/>
          <w:color w:val="000000"/>
          <w:kern w:val="2"/>
          <w:sz w:val="24"/>
          <w:szCs w:val="24"/>
          <w:shd w:val="clear" w:color="auto" w:fill="FFFFFF"/>
          <w:lang w:val="en-US" w:eastAsia="zh-CN" w:bidi="ar-SA"/>
        </w:rPr>
        <w:t>1086.63</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，其中砖混结构</w:t>
      </w:r>
      <w:r>
        <w:rPr>
          <w:rFonts w:ascii="Times New Roman" w:hAnsi="宋体" w:eastAsia="宋体" w:cs="Times New Roman"/>
          <w:color w:val="000000"/>
          <w:kern w:val="2"/>
          <w:sz w:val="24"/>
          <w:szCs w:val="24"/>
          <w:shd w:val="clear" w:color="auto" w:fill="FFFFFF"/>
          <w:lang w:val="en-US" w:eastAsia="zh-CN" w:bidi="ar-SA"/>
        </w:rPr>
        <w:t>133.43</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；砖木结构</w:t>
      </w:r>
      <w:r>
        <w:rPr>
          <w:rFonts w:ascii="Times New Roman" w:hAnsi="宋体" w:eastAsia="宋体" w:cs="Times New Roman"/>
          <w:color w:val="000000"/>
          <w:kern w:val="2"/>
          <w:sz w:val="24"/>
          <w:szCs w:val="24"/>
          <w:shd w:val="clear" w:color="auto" w:fill="FFFFFF"/>
          <w:lang w:val="en-US" w:eastAsia="zh-CN" w:bidi="ar-SA"/>
        </w:rPr>
        <w:t>2.03</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；土木结构1</w:t>
      </w:r>
      <w:r>
        <w:rPr>
          <w:rFonts w:ascii="Times New Roman" w:hAnsi="宋体" w:eastAsia="宋体" w:cs="Times New Roman"/>
          <w:color w:val="000000"/>
          <w:kern w:val="2"/>
          <w:sz w:val="24"/>
          <w:szCs w:val="24"/>
          <w:shd w:val="clear" w:color="auto" w:fill="FFFFFF"/>
          <w:lang w:val="en-US" w:eastAsia="zh-CN" w:bidi="ar-SA"/>
        </w:rPr>
        <w:t>93.53</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，木结构</w:t>
      </w:r>
      <w:r>
        <w:rPr>
          <w:rFonts w:ascii="Times New Roman" w:hAnsi="宋体" w:eastAsia="宋体" w:cs="Times New Roman"/>
          <w:color w:val="000000"/>
          <w:kern w:val="2"/>
          <w:sz w:val="24"/>
          <w:szCs w:val="24"/>
          <w:shd w:val="clear" w:color="auto" w:fill="FFFFFF"/>
          <w:lang w:val="en-US" w:eastAsia="zh-CN" w:bidi="ar-SA"/>
        </w:rPr>
        <w:t>10.2</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；其他结构</w:t>
      </w:r>
      <w:r>
        <w:rPr>
          <w:rFonts w:ascii="Times New Roman" w:hAnsi="宋体" w:eastAsia="宋体" w:cs="Times New Roman"/>
          <w:color w:val="000000"/>
          <w:kern w:val="2"/>
          <w:sz w:val="24"/>
          <w:szCs w:val="24"/>
          <w:shd w:val="clear" w:color="auto" w:fill="FFFFFF"/>
          <w:lang w:val="en-US" w:eastAsia="zh-CN" w:bidi="ar-SA"/>
        </w:rPr>
        <w:t>747</w:t>
      </w:r>
      <w:r>
        <w:rPr>
          <w:rFonts w:hint="eastAsia" w:ascii="Times New Roman" w:hAnsi="宋体" w:eastAsia="宋体" w:cs="Times New Roman"/>
          <w:color w:val="000000"/>
          <w:kern w:val="2"/>
          <w:sz w:val="24"/>
          <w:szCs w:val="24"/>
          <w:shd w:val="clear" w:color="auto" w:fill="FFFFFF"/>
          <w:lang w:val="en-US" w:eastAsia="zh-CN" w:bidi="ar-SA"/>
        </w:rPr>
        <w:t>.44m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。均在水库淹没区。</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c</w:t>
      </w:r>
      <w:r>
        <w:rPr>
          <w:rFonts w:ascii="Times New Roman" w:hAnsi="Times New Roman" w:eastAsia="宋体" w:cs="Times New Roman"/>
          <w:color w:val="000000"/>
          <w:kern w:val="2"/>
          <w:sz w:val="24"/>
          <w:szCs w:val="24"/>
          <w:shd w:val="clear" w:color="auto" w:fill="FFFFFF"/>
          <w:lang w:val="en-US" w:eastAsia="zh-CN" w:bidi="ar-SA"/>
        </w:rPr>
        <w:t>)</w:t>
      </w:r>
      <w:r>
        <w:rPr>
          <w:rFonts w:hint="eastAsia" w:ascii="Times New Roman" w:hAnsi="Times New Roman" w:eastAsia="宋体" w:cs="Times New Roman"/>
          <w:color w:val="000000"/>
          <w:kern w:val="2"/>
          <w:sz w:val="24"/>
          <w:szCs w:val="24"/>
          <w:shd w:val="clear" w:color="auto" w:fill="FFFFFF"/>
          <w:lang w:val="en-US" w:eastAsia="zh-CN" w:bidi="ar-SA"/>
        </w:rPr>
        <w:t xml:space="preserve"> 农村小型专项</w:t>
      </w:r>
    </w:p>
    <w:bookmarkEnd w:id="575"/>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陆河抽水蓄能电站建设征地淹没占用影响的</w:t>
      </w:r>
      <w:r>
        <w:rPr>
          <w:rFonts w:hint="eastAsia" w:ascii="Times New Roman" w:hAnsi="Times New Roman" w:eastAsia="宋体" w:cs="Times New Roman"/>
          <w:color w:val="000000"/>
          <w:kern w:val="2"/>
          <w:sz w:val="24"/>
          <w:szCs w:val="24"/>
          <w:shd w:val="clear" w:color="auto" w:fill="FFFFFF"/>
          <w:lang w:val="en-US" w:eastAsia="zh-CN" w:bidi="ar-SA"/>
        </w:rPr>
        <w:t>小型专项包括：拦河坝</w:t>
      </w:r>
      <w:r>
        <w:rPr>
          <w:rFonts w:ascii="Times New Roman" w:hAnsi="Times New Roman" w:eastAsia="宋体" w:cs="Times New Roman"/>
          <w:color w:val="000000"/>
          <w:kern w:val="2"/>
          <w:sz w:val="24"/>
          <w:szCs w:val="24"/>
          <w:shd w:val="clear" w:color="auto" w:fill="FFFFFF"/>
          <w:lang w:val="en-US" w:eastAsia="zh-CN" w:bidi="ar-SA"/>
        </w:rPr>
        <w:t>368m，灌溉渠道15900m。</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d</w:t>
      </w:r>
      <w:r>
        <w:rPr>
          <w:rFonts w:ascii="Times New Roman" w:hAnsi="Times New Roman" w:eastAsia="宋体" w:cs="Times New Roman"/>
          <w:color w:val="000000"/>
          <w:kern w:val="2"/>
          <w:sz w:val="24"/>
          <w:szCs w:val="24"/>
          <w:shd w:val="clear" w:color="auto" w:fill="FFFFFF"/>
          <w:lang w:val="en-US" w:eastAsia="zh-CN" w:bidi="ar-SA"/>
        </w:rPr>
        <w:t xml:space="preserve">) </w:t>
      </w:r>
      <w:r>
        <w:rPr>
          <w:rFonts w:hint="eastAsia" w:ascii="Times New Roman" w:hAnsi="宋体" w:eastAsia="宋体" w:cs="Times New Roman"/>
          <w:color w:val="000000"/>
          <w:kern w:val="2"/>
          <w:sz w:val="24"/>
          <w:szCs w:val="24"/>
          <w:shd w:val="clear" w:color="auto" w:fill="FFFFFF"/>
          <w:lang w:val="en-US" w:eastAsia="zh-CN" w:bidi="ar-SA"/>
        </w:rPr>
        <w:t>个体工商户</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0"/>
          <w:sz w:val="24"/>
          <w:szCs w:val="24"/>
          <w:shd w:val="clear" w:color="auto" w:fill="FFFFFF"/>
          <w:lang w:val="en-US" w:eastAsia="zh-CN" w:bidi="ar-SA"/>
        </w:rPr>
        <w:t>建设征地涉及个体工商户2户(其中餐饮业1户，养殖业1户)。</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e</w:t>
      </w:r>
      <w:r>
        <w:rPr>
          <w:rFonts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专项设施</w:t>
      </w:r>
    </w:p>
    <w:p>
      <w:pPr>
        <w:overflowPunct w:val="0"/>
        <w:autoSpaceDE w:val="0"/>
        <w:autoSpaceDN w:val="0"/>
        <w:adjustRightInd w:val="0"/>
        <w:spacing w:line="480" w:lineRule="exact"/>
        <w:ind w:firstLine="480" w:firstLineChars="200"/>
        <w:rPr>
          <w:rFonts w:cs="宋体"/>
          <w:color w:val="000000"/>
          <w:sz w:val="24"/>
          <w:szCs w:val="21"/>
        </w:rPr>
      </w:pPr>
      <w:r>
        <w:rPr>
          <w:rFonts w:hint="eastAsia" w:hAnsi="宋体" w:cs="宋体"/>
          <w:color w:val="000000"/>
          <w:sz w:val="24"/>
          <w:szCs w:val="21"/>
        </w:rPr>
        <w:t>工程建设征地影响专业项目涉及交通专项，包括四级公路1.76km，农村道路11.33km。涉及水利专项，包括水电站5座(激石溪老区水电站装机1</w:t>
      </w:r>
      <w:r>
        <w:rPr>
          <w:rFonts w:hAnsi="宋体" w:cs="宋体"/>
          <w:color w:val="000000"/>
          <w:sz w:val="24"/>
          <w:szCs w:val="21"/>
        </w:rPr>
        <w:t>200</w:t>
      </w:r>
      <w:r>
        <w:rPr>
          <w:rFonts w:hint="eastAsia" w:hAnsi="宋体" w:cs="宋体"/>
          <w:color w:val="000000"/>
          <w:sz w:val="24"/>
          <w:szCs w:val="21"/>
        </w:rPr>
        <w:t>kW、三江口水电站装机3</w:t>
      </w:r>
      <w:r>
        <w:rPr>
          <w:rFonts w:hAnsi="宋体" w:cs="宋体"/>
          <w:color w:val="000000"/>
          <w:sz w:val="24"/>
          <w:szCs w:val="21"/>
        </w:rPr>
        <w:t>150</w:t>
      </w:r>
      <w:r>
        <w:rPr>
          <w:rFonts w:hint="eastAsia" w:hAnsi="宋体" w:cs="宋体"/>
          <w:color w:val="000000"/>
          <w:sz w:val="24"/>
          <w:szCs w:val="21"/>
        </w:rPr>
        <w:t>kW、三坑水电站装机1</w:t>
      </w:r>
      <w:r>
        <w:rPr>
          <w:rFonts w:hAnsi="宋体" w:cs="宋体"/>
          <w:color w:val="000000"/>
          <w:sz w:val="24"/>
          <w:szCs w:val="21"/>
        </w:rPr>
        <w:t>580</w:t>
      </w:r>
      <w:r>
        <w:rPr>
          <w:rFonts w:hint="eastAsia" w:hAnsi="宋体" w:cs="宋体"/>
          <w:color w:val="000000"/>
          <w:sz w:val="24"/>
          <w:szCs w:val="21"/>
        </w:rPr>
        <w:t>kW、大沥唇水电站装机8</w:t>
      </w:r>
      <w:r>
        <w:rPr>
          <w:rFonts w:hAnsi="宋体" w:cs="宋体"/>
          <w:color w:val="000000"/>
          <w:sz w:val="24"/>
          <w:szCs w:val="21"/>
        </w:rPr>
        <w:t>30</w:t>
      </w:r>
      <w:r>
        <w:rPr>
          <w:rFonts w:hint="eastAsia" w:hAnsi="宋体" w:cs="宋体"/>
          <w:color w:val="000000"/>
          <w:sz w:val="24"/>
          <w:szCs w:val="21"/>
        </w:rPr>
        <w:t>kW、坪田水电站装机6</w:t>
      </w:r>
      <w:r>
        <w:rPr>
          <w:rFonts w:hAnsi="宋体" w:cs="宋体"/>
          <w:color w:val="000000"/>
          <w:sz w:val="24"/>
          <w:szCs w:val="21"/>
        </w:rPr>
        <w:t>30</w:t>
      </w:r>
      <w:r>
        <w:rPr>
          <w:rFonts w:hint="eastAsia" w:hAnsi="宋体" w:cs="宋体"/>
          <w:color w:val="000000"/>
          <w:sz w:val="24"/>
          <w:szCs w:val="21"/>
        </w:rPr>
        <w:t>kW)；涉及电力专项，包括</w:t>
      </w:r>
      <w:r>
        <w:rPr>
          <w:rFonts w:hAnsi="宋体" w:cs="宋体"/>
          <w:color w:val="000000"/>
          <w:sz w:val="24"/>
          <w:szCs w:val="21"/>
        </w:rPr>
        <w:t>2</w:t>
      </w:r>
      <w:r>
        <w:rPr>
          <w:rFonts w:hint="eastAsia" w:hAnsi="宋体" w:cs="宋体"/>
          <w:color w:val="000000"/>
          <w:sz w:val="24"/>
          <w:szCs w:val="21"/>
        </w:rPr>
        <w:t>0kVA变压器1台，0.4kV输电线路0.4km，10kV输电线路17.27km，3</w:t>
      </w:r>
      <w:r>
        <w:rPr>
          <w:rFonts w:hAnsi="宋体" w:cs="宋体"/>
          <w:color w:val="000000"/>
          <w:sz w:val="24"/>
          <w:szCs w:val="21"/>
        </w:rPr>
        <w:t>5</w:t>
      </w:r>
      <w:r>
        <w:rPr>
          <w:rFonts w:hint="eastAsia" w:hAnsi="宋体" w:cs="宋体"/>
          <w:color w:val="000000"/>
          <w:sz w:val="24"/>
          <w:szCs w:val="21"/>
        </w:rPr>
        <w:t>kV输电线路0</w:t>
      </w:r>
      <w:r>
        <w:rPr>
          <w:rFonts w:hAnsi="宋体" w:cs="宋体"/>
          <w:color w:val="000000"/>
          <w:sz w:val="24"/>
          <w:szCs w:val="21"/>
        </w:rPr>
        <w:t>.80</w:t>
      </w:r>
      <w:r>
        <w:rPr>
          <w:rFonts w:hint="eastAsia" w:hAnsi="宋体" w:cs="宋体"/>
          <w:color w:val="000000"/>
          <w:sz w:val="24"/>
          <w:szCs w:val="21"/>
        </w:rPr>
        <w:t>km，水泥杆1</w:t>
      </w:r>
      <w:r>
        <w:rPr>
          <w:rFonts w:hAnsi="宋体" w:cs="宋体"/>
          <w:color w:val="000000"/>
          <w:sz w:val="24"/>
          <w:szCs w:val="21"/>
        </w:rPr>
        <w:t>35</w:t>
      </w:r>
      <w:r>
        <w:rPr>
          <w:rFonts w:hint="eastAsia" w:hAnsi="宋体" w:cs="宋体"/>
          <w:color w:val="000000"/>
          <w:sz w:val="24"/>
          <w:szCs w:val="21"/>
        </w:rPr>
        <w:t>根，铁塔3座；涉及通信专项，包括1</w:t>
      </w:r>
      <w:r>
        <w:rPr>
          <w:rFonts w:hAnsi="宋体" w:cs="宋体"/>
          <w:color w:val="000000"/>
          <w:sz w:val="24"/>
          <w:szCs w:val="21"/>
        </w:rPr>
        <w:t>2</w:t>
      </w:r>
      <w:r>
        <w:rPr>
          <w:rFonts w:hint="eastAsia" w:hAnsi="宋体" w:cs="宋体"/>
          <w:color w:val="000000"/>
          <w:sz w:val="24"/>
          <w:szCs w:val="21"/>
        </w:rPr>
        <w:t>芯光缆线路</w:t>
      </w:r>
      <w:r>
        <w:rPr>
          <w:rFonts w:hAnsi="宋体" w:cs="宋体"/>
          <w:color w:val="000000"/>
          <w:sz w:val="24"/>
          <w:szCs w:val="21"/>
        </w:rPr>
        <w:t>3.00</w:t>
      </w:r>
      <w:r>
        <w:rPr>
          <w:rFonts w:hint="eastAsia" w:hAnsi="宋体" w:cs="宋体"/>
          <w:color w:val="000000"/>
          <w:sz w:val="24"/>
          <w:szCs w:val="21"/>
        </w:rPr>
        <w:t>km，</w:t>
      </w:r>
      <w:r>
        <w:rPr>
          <w:rFonts w:hAnsi="宋体" w:cs="宋体"/>
          <w:color w:val="000000"/>
          <w:sz w:val="24"/>
          <w:szCs w:val="21"/>
        </w:rPr>
        <w:t>1</w:t>
      </w:r>
      <w:r>
        <w:rPr>
          <w:rFonts w:hint="eastAsia" w:hAnsi="宋体" w:cs="宋体"/>
          <w:color w:val="000000"/>
          <w:sz w:val="24"/>
          <w:szCs w:val="21"/>
        </w:rPr>
        <w:t>6芯光缆线路</w:t>
      </w:r>
      <w:r>
        <w:rPr>
          <w:rFonts w:hAnsi="宋体" w:cs="宋体"/>
          <w:color w:val="000000"/>
          <w:sz w:val="24"/>
          <w:szCs w:val="21"/>
        </w:rPr>
        <w:t>2.80</w:t>
      </w:r>
      <w:r>
        <w:rPr>
          <w:rFonts w:hint="eastAsia" w:hAnsi="宋体" w:cs="宋体"/>
          <w:color w:val="000000"/>
          <w:sz w:val="24"/>
          <w:szCs w:val="21"/>
        </w:rPr>
        <w:t>km，24芯光缆线路2.</w:t>
      </w:r>
      <w:r>
        <w:rPr>
          <w:rFonts w:hAnsi="宋体" w:cs="宋体"/>
          <w:color w:val="000000"/>
          <w:sz w:val="24"/>
          <w:szCs w:val="21"/>
        </w:rPr>
        <w:t>40</w:t>
      </w:r>
      <w:r>
        <w:rPr>
          <w:rFonts w:hint="eastAsia" w:hAnsi="宋体" w:cs="宋体"/>
          <w:color w:val="000000"/>
          <w:sz w:val="24"/>
          <w:szCs w:val="21"/>
        </w:rPr>
        <w:t>km，48芯光缆线路</w:t>
      </w:r>
      <w:r>
        <w:rPr>
          <w:rFonts w:hAnsi="宋体" w:cs="宋体"/>
          <w:color w:val="000000"/>
          <w:sz w:val="24"/>
          <w:szCs w:val="21"/>
        </w:rPr>
        <w:t>2.00</w:t>
      </w:r>
      <w:r>
        <w:rPr>
          <w:rFonts w:hint="eastAsia" w:hAnsi="宋体" w:cs="宋体"/>
          <w:color w:val="000000"/>
          <w:sz w:val="24"/>
          <w:szCs w:val="21"/>
        </w:rPr>
        <w:t>km，水泥杆2</w:t>
      </w:r>
      <w:r>
        <w:rPr>
          <w:rFonts w:hAnsi="宋体" w:cs="宋体"/>
          <w:color w:val="000000"/>
          <w:sz w:val="24"/>
          <w:szCs w:val="21"/>
        </w:rPr>
        <w:t>0</w:t>
      </w:r>
      <w:r>
        <w:rPr>
          <w:rFonts w:hint="eastAsia" w:hAnsi="宋体" w:cs="宋体"/>
          <w:color w:val="000000"/>
          <w:sz w:val="24"/>
          <w:szCs w:val="21"/>
        </w:rPr>
        <w:t>根，信号基站2座。</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color w:val="000000"/>
          <w:kern w:val="0"/>
          <w:sz w:val="24"/>
          <w:szCs w:val="24"/>
          <w:shd w:val="clear" w:color="auto" w:fill="FFFFFF"/>
          <w:lang w:val="en-US" w:eastAsia="zh-CN" w:bidi="ar-SA"/>
        </w:rPr>
      </w:pPr>
      <w:r>
        <w:rPr>
          <w:rFonts w:hint="eastAsia" w:ascii="Times New Roman" w:hAnsi="宋体" w:eastAsia="宋体" w:cs="Times New Roman"/>
          <w:color w:val="000000"/>
          <w:kern w:val="0"/>
          <w:sz w:val="24"/>
          <w:szCs w:val="24"/>
          <w:shd w:val="clear" w:color="auto" w:fill="FFFFFF"/>
          <w:lang w:val="en-US" w:eastAsia="zh-CN" w:bidi="ar-SA"/>
        </w:rPr>
        <w:t>根据文物调查、勘探工作报告，在广东陆河抽水蓄能电站工程项目规划用地范围内发现遗物点1处，为博背村遗物点。此外，还对项目征地红线外且距离最近的 1 处不可移动文物点进行了复查，即红二师纪念亭，属第三次全国文物普查登记的不可移动文物点。以上均未涉及县级(含)以上文物保护单位。</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0"/>
          <w:sz w:val="24"/>
          <w:szCs w:val="24"/>
          <w:shd w:val="clear" w:color="auto" w:fill="FFFFFF"/>
          <w:lang w:val="en-US" w:eastAsia="zh-CN" w:bidi="ar-SA"/>
        </w:rPr>
        <w:t>根据汕尾自然资源局《关于广东陆河抽水蓄能电站项目用地是否压覆矿产资源的复函》(汕自然资函〔2021〕1760号)，工程建设征地范围内无压覆上表矿区，无压覆已设采矿权，探矿权。</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f</w:t>
      </w:r>
      <w:r>
        <w:rPr>
          <w:rFonts w:ascii="Times New Roman" w:hAnsi="Times New Roman" w:eastAsia="宋体" w:cs="Times New Roman"/>
          <w:color w:val="000000"/>
          <w:kern w:val="2"/>
          <w:sz w:val="24"/>
          <w:szCs w:val="24"/>
          <w:shd w:val="clear" w:color="auto" w:fill="FFFFFF"/>
          <w:lang w:val="en-US" w:eastAsia="zh-CN" w:bidi="ar-SA"/>
        </w:rPr>
        <w:t xml:space="preserve">) </w:t>
      </w:r>
      <w:r>
        <w:rPr>
          <w:rFonts w:hint="eastAsia" w:ascii="Times New Roman" w:hAnsi="Times New Roman" w:eastAsia="宋体" w:cs="Times New Roman"/>
          <w:color w:val="000000"/>
          <w:kern w:val="2"/>
          <w:sz w:val="24"/>
          <w:szCs w:val="24"/>
          <w:shd w:val="clear" w:color="auto" w:fill="FFFFFF"/>
          <w:lang w:val="en-US" w:eastAsia="zh-CN" w:bidi="ar-SA"/>
        </w:rPr>
        <w:t>占用</w:t>
      </w:r>
      <w:r>
        <w:rPr>
          <w:rFonts w:hint="eastAsia" w:ascii="Times New Roman" w:hAnsi="宋体" w:eastAsia="宋体" w:cs="Times New Roman"/>
          <w:color w:val="000000"/>
          <w:kern w:val="2"/>
          <w:sz w:val="24"/>
          <w:szCs w:val="24"/>
          <w:shd w:val="clear" w:color="auto" w:fill="FFFFFF"/>
          <w:lang w:val="en-US" w:eastAsia="zh-CN" w:bidi="ar-SA"/>
        </w:rPr>
        <w:t>基本农田和生态公益林</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0"/>
          <w:sz w:val="24"/>
          <w:szCs w:val="24"/>
          <w:shd w:val="clear" w:color="auto" w:fill="FFFFFF"/>
          <w:lang w:val="en-US" w:eastAsia="zh-CN" w:bidi="ar-SA"/>
        </w:rPr>
      </w:pPr>
      <w:r>
        <w:rPr>
          <w:rFonts w:hint="eastAsia" w:ascii="Times New Roman" w:hAnsi="宋体" w:eastAsia="宋体" w:cs="Times New Roman"/>
          <w:color w:val="000000"/>
          <w:kern w:val="0"/>
          <w:sz w:val="24"/>
          <w:szCs w:val="24"/>
          <w:shd w:val="clear" w:color="auto" w:fill="FFFFFF"/>
          <w:lang w:val="en-US" w:eastAsia="zh-CN" w:bidi="ar-SA"/>
        </w:rPr>
        <w:t>本项目建设征地共涉及永久基本农田125.18亩，均为永久征地；涉及省级公益林2813.92亩，其中永久占用2195.73亩，临时占用618.19亩。</w:t>
      </w:r>
    </w:p>
    <w:p>
      <w:pPr>
        <w:widowControl w:val="0"/>
        <w:adjustRightInd w:val="0"/>
        <w:snapToGrid w:val="0"/>
        <w:spacing w:before="300" w:after="120" w:line="480" w:lineRule="exact"/>
        <w:jc w:val="left"/>
        <w:outlineLvl w:val="0"/>
        <w:rPr>
          <w:rFonts w:ascii="Times New Roman" w:hAnsi="Times New Roman" w:eastAsia="黑体" w:cs="Times New Roman"/>
          <w:b/>
          <w:bCs/>
          <w:color w:val="000000"/>
          <w:kern w:val="44"/>
          <w:sz w:val="32"/>
          <w:szCs w:val="32"/>
          <w:lang w:val="en-US" w:eastAsia="zh-CN" w:bidi="ar-SA"/>
        </w:rPr>
      </w:pPr>
      <w:r>
        <w:rPr>
          <w:rFonts w:ascii="Times New Roman" w:hAnsi="Times New Roman" w:eastAsia="黑体" w:cs="Times New Roman"/>
          <w:bCs/>
          <w:color w:val="000000"/>
          <w:kern w:val="44"/>
          <w:sz w:val="32"/>
          <w:szCs w:val="32"/>
          <w:lang w:val="en-US" w:eastAsia="zh-CN" w:bidi="ar-SA"/>
        </w:rPr>
        <w:br w:type="page"/>
      </w:r>
      <w:bookmarkStart w:id="576" w:name="_Toc86257945"/>
      <w:bookmarkStart w:id="577" w:name="_Toc90945237"/>
      <w:r>
        <w:rPr>
          <w:rFonts w:ascii="Times New Roman" w:hAnsi="Times New Roman" w:eastAsia="黑体" w:cs="Times New Roman"/>
          <w:bCs/>
          <w:color w:val="000000"/>
          <w:kern w:val="44"/>
          <w:sz w:val="32"/>
          <w:szCs w:val="32"/>
          <w:lang w:val="en-US" w:eastAsia="zh-CN" w:bidi="ar-SA"/>
        </w:rPr>
        <w:t>3  调查依据、原则、目的</w:t>
      </w:r>
      <w:bookmarkEnd w:id="576"/>
      <w:bookmarkEnd w:id="577"/>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78" w:name="_Toc86257946"/>
      <w:bookmarkStart w:id="579" w:name="_Toc90945238"/>
      <w:r>
        <w:rPr>
          <w:rFonts w:ascii="Times New Roman" w:hAnsi="Times New Roman" w:eastAsia="黑体" w:cs="Times New Roman"/>
          <w:bCs/>
          <w:snapToGrid w:val="0"/>
          <w:color w:val="000000"/>
          <w:kern w:val="0"/>
          <w:sz w:val="28"/>
          <w:szCs w:val="28"/>
          <w:lang w:val="en-US" w:eastAsia="zh-CN" w:bidi="ar-SA"/>
        </w:rPr>
        <w:t xml:space="preserve">3.1  </w:t>
      </w:r>
      <w:r>
        <w:rPr>
          <w:rFonts w:ascii="Times New Roman" w:hAnsi="宋体" w:eastAsia="黑体" w:cs="Times New Roman"/>
          <w:bCs/>
          <w:snapToGrid w:val="0"/>
          <w:color w:val="000000"/>
          <w:kern w:val="0"/>
          <w:sz w:val="28"/>
          <w:szCs w:val="28"/>
          <w:lang w:val="en-US" w:eastAsia="zh-CN" w:bidi="ar-SA"/>
        </w:rPr>
        <w:t>调查依据</w:t>
      </w:r>
      <w:bookmarkEnd w:id="578"/>
      <w:bookmarkEnd w:id="579"/>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3.1.1  </w:t>
      </w:r>
      <w:r>
        <w:rPr>
          <w:rFonts w:hint="eastAsia" w:ascii="Times New Roman" w:hAnsi="Times New Roman" w:eastAsia="黑体" w:cs="Times New Roman"/>
          <w:bCs/>
          <w:snapToGrid w:val="0"/>
          <w:color w:val="000000"/>
          <w:kern w:val="0"/>
          <w:sz w:val="24"/>
          <w:szCs w:val="24"/>
          <w:lang w:val="en-US" w:eastAsia="zh-CN" w:bidi="ar-SA"/>
        </w:rPr>
        <w:t>法律法规、政策</w:t>
      </w:r>
    </w:p>
    <w:p>
      <w:pPr>
        <w:adjustRightInd w:val="0"/>
        <w:snapToGrid w:val="0"/>
        <w:spacing w:line="460" w:lineRule="exact"/>
        <w:ind w:firstLine="480" w:firstLineChars="200"/>
        <w:rPr>
          <w:rFonts w:cs="宋体"/>
          <w:snapToGrid w:val="0"/>
          <w:color w:val="000000"/>
          <w:kern w:val="0"/>
          <w:sz w:val="24"/>
          <w:szCs w:val="21"/>
        </w:rPr>
      </w:pPr>
      <w:r>
        <w:rPr>
          <w:rFonts w:cs="宋体"/>
          <w:snapToGrid w:val="0"/>
          <w:color w:val="000000"/>
          <w:kern w:val="0"/>
          <w:sz w:val="24"/>
          <w:szCs w:val="21"/>
        </w:rPr>
        <w:t xml:space="preserve">1)《中华人民共和国土地管理法》(2019年8月26日修正)； </w:t>
      </w:r>
    </w:p>
    <w:p>
      <w:pPr>
        <w:adjustRightInd w:val="0"/>
        <w:snapToGrid w:val="0"/>
        <w:spacing w:line="460" w:lineRule="exact"/>
        <w:ind w:firstLine="480" w:firstLineChars="200"/>
        <w:rPr>
          <w:rFonts w:cs="宋体"/>
          <w:snapToGrid w:val="0"/>
          <w:color w:val="000000"/>
          <w:kern w:val="0"/>
          <w:sz w:val="24"/>
          <w:szCs w:val="21"/>
        </w:rPr>
      </w:pPr>
      <w:r>
        <w:rPr>
          <w:rFonts w:cs="宋体"/>
          <w:snapToGrid w:val="0"/>
          <w:color w:val="000000"/>
          <w:kern w:val="0"/>
          <w:sz w:val="24"/>
          <w:szCs w:val="21"/>
        </w:rPr>
        <w:t>2)《中华人民共和国城乡规划法》(2019年4月23日修正)；</w:t>
      </w:r>
    </w:p>
    <w:p>
      <w:pPr>
        <w:adjustRightInd w:val="0"/>
        <w:snapToGrid w:val="0"/>
        <w:spacing w:line="460" w:lineRule="exact"/>
        <w:ind w:firstLine="480" w:firstLineChars="200"/>
        <w:rPr>
          <w:rFonts w:cs="宋体"/>
          <w:snapToGrid w:val="0"/>
          <w:color w:val="000000"/>
          <w:kern w:val="0"/>
          <w:sz w:val="24"/>
          <w:szCs w:val="21"/>
        </w:rPr>
      </w:pPr>
      <w:r>
        <w:rPr>
          <w:rFonts w:hint="eastAsia" w:cs="宋体"/>
          <w:snapToGrid w:val="0"/>
          <w:color w:val="000000"/>
          <w:kern w:val="0"/>
          <w:sz w:val="24"/>
          <w:szCs w:val="21"/>
        </w:rPr>
        <w:t>3</w:t>
      </w:r>
      <w:r>
        <w:rPr>
          <w:rFonts w:cs="宋体"/>
          <w:snapToGrid w:val="0"/>
          <w:color w:val="000000"/>
          <w:kern w:val="0"/>
          <w:sz w:val="24"/>
          <w:szCs w:val="21"/>
        </w:rPr>
        <w:t>)《中华人民共和国森林法》(2019年10月29日修订)；</w:t>
      </w:r>
    </w:p>
    <w:p>
      <w:pPr>
        <w:adjustRightInd w:val="0"/>
        <w:snapToGrid w:val="0"/>
        <w:spacing w:line="460" w:lineRule="exact"/>
        <w:ind w:firstLine="480" w:firstLineChars="200"/>
        <w:rPr>
          <w:rFonts w:cs="宋体"/>
          <w:snapToGrid w:val="0"/>
          <w:color w:val="000000"/>
          <w:kern w:val="0"/>
          <w:sz w:val="24"/>
          <w:szCs w:val="21"/>
        </w:rPr>
      </w:pPr>
      <w:r>
        <w:rPr>
          <w:rFonts w:hint="eastAsia" w:cs="宋体"/>
          <w:snapToGrid w:val="0"/>
          <w:color w:val="000000"/>
          <w:kern w:val="0"/>
          <w:sz w:val="24"/>
          <w:szCs w:val="21"/>
        </w:rPr>
        <w:t>4</w:t>
      </w:r>
      <w:r>
        <w:rPr>
          <w:rFonts w:cs="宋体"/>
          <w:snapToGrid w:val="0"/>
          <w:color w:val="000000"/>
          <w:kern w:val="0"/>
          <w:sz w:val="24"/>
          <w:szCs w:val="21"/>
        </w:rPr>
        <w:t>)《中华人民共和国水法》(2016年7月2日修正)；</w:t>
      </w:r>
    </w:p>
    <w:p>
      <w:pPr>
        <w:adjustRightInd w:val="0"/>
        <w:snapToGrid w:val="0"/>
        <w:spacing w:line="460" w:lineRule="exact"/>
        <w:ind w:firstLine="480" w:firstLineChars="200"/>
        <w:rPr>
          <w:rFonts w:cs="宋体"/>
          <w:snapToGrid w:val="0"/>
          <w:color w:val="000000"/>
          <w:kern w:val="0"/>
          <w:sz w:val="24"/>
          <w:szCs w:val="21"/>
        </w:rPr>
      </w:pPr>
      <w:r>
        <w:rPr>
          <w:rFonts w:hint="eastAsia" w:cs="宋体"/>
          <w:snapToGrid w:val="0"/>
          <w:color w:val="000000"/>
          <w:kern w:val="0"/>
          <w:sz w:val="24"/>
          <w:szCs w:val="21"/>
        </w:rPr>
        <w:t>5</w:t>
      </w:r>
      <w:r>
        <w:rPr>
          <w:rFonts w:cs="宋体"/>
          <w:snapToGrid w:val="0"/>
          <w:color w:val="000000"/>
          <w:kern w:val="0"/>
          <w:sz w:val="24"/>
          <w:szCs w:val="21"/>
        </w:rPr>
        <w:t>)《中华人民共和国农村土地承包法》(2018年12月29日修正)；</w:t>
      </w:r>
    </w:p>
    <w:p>
      <w:pPr>
        <w:adjustRightInd w:val="0"/>
        <w:snapToGrid w:val="0"/>
        <w:spacing w:line="460" w:lineRule="exact"/>
        <w:ind w:firstLine="480" w:firstLineChars="200"/>
        <w:rPr>
          <w:rFonts w:cs="宋体"/>
          <w:snapToGrid w:val="0"/>
          <w:color w:val="000000"/>
          <w:kern w:val="0"/>
          <w:sz w:val="24"/>
          <w:szCs w:val="21"/>
        </w:rPr>
      </w:pPr>
      <w:r>
        <w:rPr>
          <w:rFonts w:hint="eastAsia" w:cs="宋体"/>
          <w:snapToGrid w:val="0"/>
          <w:color w:val="000000"/>
          <w:kern w:val="0"/>
          <w:sz w:val="24"/>
          <w:szCs w:val="21"/>
        </w:rPr>
        <w:t>6</w:t>
      </w:r>
      <w:r>
        <w:rPr>
          <w:rFonts w:cs="宋体"/>
          <w:snapToGrid w:val="0"/>
          <w:color w:val="000000"/>
          <w:kern w:val="0"/>
          <w:sz w:val="24"/>
          <w:szCs w:val="21"/>
        </w:rPr>
        <w:t>)《中华人民共和国矿产资源法》(2009年8月27日修正)；</w:t>
      </w:r>
    </w:p>
    <w:p>
      <w:pPr>
        <w:adjustRightInd w:val="0"/>
        <w:snapToGrid w:val="0"/>
        <w:spacing w:line="460" w:lineRule="exact"/>
        <w:ind w:firstLine="480" w:firstLineChars="200"/>
        <w:rPr>
          <w:rFonts w:cs="宋体"/>
          <w:snapToGrid w:val="0"/>
          <w:color w:val="000000"/>
          <w:kern w:val="0"/>
          <w:sz w:val="24"/>
          <w:szCs w:val="21"/>
        </w:rPr>
      </w:pPr>
      <w:r>
        <w:rPr>
          <w:rFonts w:hint="eastAsia" w:cs="宋体"/>
          <w:snapToGrid w:val="0"/>
          <w:color w:val="000000"/>
          <w:kern w:val="0"/>
          <w:sz w:val="24"/>
          <w:szCs w:val="21"/>
        </w:rPr>
        <w:t>7</w:t>
      </w:r>
      <w:r>
        <w:rPr>
          <w:rFonts w:cs="宋体"/>
          <w:snapToGrid w:val="0"/>
          <w:color w:val="000000"/>
          <w:kern w:val="0"/>
          <w:sz w:val="24"/>
          <w:szCs w:val="21"/>
        </w:rPr>
        <w:t>)《中华人民共和国文物保护法》(2017年11月4日修正)；</w:t>
      </w:r>
    </w:p>
    <w:p>
      <w:pPr>
        <w:adjustRightInd w:val="0"/>
        <w:snapToGrid w:val="0"/>
        <w:spacing w:line="460" w:lineRule="exact"/>
        <w:ind w:firstLine="480" w:firstLineChars="200"/>
        <w:rPr>
          <w:rFonts w:cs="宋体"/>
          <w:snapToGrid w:val="0"/>
          <w:color w:val="000000"/>
          <w:kern w:val="0"/>
          <w:sz w:val="24"/>
          <w:szCs w:val="21"/>
        </w:rPr>
      </w:pPr>
      <w:r>
        <w:rPr>
          <w:rFonts w:hint="eastAsia" w:cs="宋体"/>
          <w:snapToGrid w:val="0"/>
          <w:color w:val="000000"/>
          <w:kern w:val="0"/>
          <w:sz w:val="24"/>
          <w:szCs w:val="21"/>
        </w:rPr>
        <w:t>8</w:t>
      </w:r>
      <w:r>
        <w:rPr>
          <w:rFonts w:cs="宋体"/>
          <w:snapToGrid w:val="0"/>
          <w:color w:val="000000"/>
          <w:kern w:val="0"/>
          <w:sz w:val="24"/>
          <w:szCs w:val="21"/>
        </w:rPr>
        <w:t>)《基本农田保护条例》(国务院令第257号)；</w:t>
      </w:r>
    </w:p>
    <w:p>
      <w:pPr>
        <w:adjustRightInd w:val="0"/>
        <w:snapToGrid w:val="0"/>
        <w:spacing w:line="460" w:lineRule="exact"/>
        <w:ind w:firstLine="480" w:firstLineChars="200"/>
        <w:rPr>
          <w:rFonts w:cs="宋体"/>
          <w:snapToGrid w:val="0"/>
          <w:color w:val="000000"/>
          <w:kern w:val="0"/>
          <w:sz w:val="24"/>
          <w:szCs w:val="21"/>
        </w:rPr>
      </w:pPr>
      <w:r>
        <w:rPr>
          <w:rFonts w:hint="eastAsia" w:cs="宋体"/>
          <w:snapToGrid w:val="0"/>
          <w:color w:val="000000"/>
          <w:kern w:val="0"/>
          <w:sz w:val="24"/>
          <w:szCs w:val="21"/>
        </w:rPr>
        <w:t>9</w:t>
      </w:r>
      <w:r>
        <w:rPr>
          <w:rFonts w:cs="宋体"/>
          <w:snapToGrid w:val="0"/>
          <w:color w:val="000000"/>
          <w:kern w:val="0"/>
          <w:sz w:val="24"/>
          <w:szCs w:val="21"/>
        </w:rPr>
        <w:t>)《国务院关于修改&lt;大中型水利水电工程建设征地补偿和移民安置条例&gt;的决定》(国务院令第679号)；</w:t>
      </w:r>
    </w:p>
    <w:p>
      <w:pPr>
        <w:adjustRightInd w:val="0"/>
        <w:snapToGrid w:val="0"/>
        <w:spacing w:line="460" w:lineRule="exact"/>
        <w:ind w:firstLine="480" w:firstLineChars="200"/>
        <w:rPr>
          <w:rFonts w:cs="宋体"/>
          <w:snapToGrid w:val="0"/>
          <w:color w:val="000000"/>
          <w:kern w:val="0"/>
          <w:sz w:val="24"/>
          <w:szCs w:val="21"/>
        </w:rPr>
      </w:pPr>
      <w:r>
        <w:rPr>
          <w:rFonts w:cs="宋体"/>
          <w:snapToGrid w:val="0"/>
          <w:color w:val="000000"/>
          <w:kern w:val="0"/>
          <w:sz w:val="24"/>
          <w:szCs w:val="21"/>
        </w:rPr>
        <w:t>1</w:t>
      </w:r>
      <w:r>
        <w:rPr>
          <w:rFonts w:hint="eastAsia" w:cs="宋体"/>
          <w:snapToGrid w:val="0"/>
          <w:color w:val="000000"/>
          <w:kern w:val="0"/>
          <w:sz w:val="24"/>
          <w:szCs w:val="21"/>
        </w:rPr>
        <w:t>0</w:t>
      </w:r>
      <w:r>
        <w:rPr>
          <w:rFonts w:cs="宋体"/>
          <w:snapToGrid w:val="0"/>
          <w:color w:val="000000"/>
          <w:kern w:val="0"/>
          <w:sz w:val="24"/>
          <w:szCs w:val="21"/>
        </w:rPr>
        <w:t>)《广东省林地保护管理条例》(2020年9月29日</w:t>
      </w:r>
      <w:r>
        <w:rPr>
          <w:rFonts w:hint="eastAsia" w:cs="宋体"/>
          <w:snapToGrid w:val="0"/>
          <w:color w:val="000000"/>
          <w:kern w:val="0"/>
          <w:sz w:val="24"/>
          <w:szCs w:val="21"/>
        </w:rPr>
        <w:t>修正</w:t>
      </w:r>
      <w:r>
        <w:rPr>
          <w:rFonts w:cs="宋体"/>
          <w:snapToGrid w:val="0"/>
          <w:color w:val="000000"/>
          <w:kern w:val="0"/>
          <w:sz w:val="24"/>
          <w:szCs w:val="21"/>
        </w:rPr>
        <w:t>)；</w:t>
      </w:r>
    </w:p>
    <w:p>
      <w:pPr>
        <w:adjustRightInd w:val="0"/>
        <w:snapToGrid w:val="0"/>
        <w:spacing w:line="460" w:lineRule="exact"/>
        <w:ind w:firstLine="480" w:firstLineChars="200"/>
        <w:rPr>
          <w:rFonts w:cs="宋体"/>
          <w:snapToGrid w:val="0"/>
          <w:color w:val="000000"/>
          <w:kern w:val="0"/>
          <w:sz w:val="24"/>
          <w:szCs w:val="21"/>
        </w:rPr>
      </w:pPr>
      <w:r>
        <w:rPr>
          <w:rFonts w:hint="eastAsia" w:cs="宋体"/>
          <w:snapToGrid w:val="0"/>
          <w:color w:val="000000"/>
          <w:kern w:val="0"/>
          <w:sz w:val="24"/>
          <w:szCs w:val="21"/>
        </w:rPr>
        <w:t>11</w:t>
      </w:r>
      <w:r>
        <w:rPr>
          <w:rFonts w:cs="宋体"/>
          <w:snapToGrid w:val="0"/>
          <w:color w:val="000000"/>
          <w:kern w:val="0"/>
          <w:sz w:val="24"/>
          <w:szCs w:val="21"/>
        </w:rPr>
        <w:t>) 其他有关</w:t>
      </w:r>
      <w:r>
        <w:rPr>
          <w:rFonts w:hint="eastAsia" w:cs="宋体"/>
          <w:snapToGrid w:val="0"/>
          <w:color w:val="000000"/>
          <w:kern w:val="0"/>
          <w:sz w:val="24"/>
          <w:szCs w:val="21"/>
        </w:rPr>
        <w:t>法律法规</w:t>
      </w:r>
      <w:r>
        <w:rPr>
          <w:rFonts w:cs="宋体"/>
          <w:snapToGrid w:val="0"/>
          <w:color w:val="000000"/>
          <w:kern w:val="0"/>
          <w:sz w:val="24"/>
          <w:szCs w:val="21"/>
        </w:rPr>
        <w:t>。</w:t>
      </w:r>
    </w:p>
    <w:p>
      <w:pPr>
        <w:keepNext/>
        <w:keepLines/>
        <w:adjustRightInd w:val="0"/>
        <w:snapToGrid w:val="0"/>
        <w:spacing w:line="460" w:lineRule="exact"/>
        <w:outlineLvl w:val="3"/>
        <w:rPr>
          <w:rFonts w:hint="eastAsia" w:cs="Times New Roman"/>
          <w:bCs/>
          <w:color w:val="000000"/>
          <w:sz w:val="24"/>
          <w:szCs w:val="24"/>
        </w:rPr>
      </w:pPr>
      <w:r>
        <w:rPr>
          <w:rFonts w:hint="eastAsia" w:cs="Times New Roman"/>
          <w:bCs/>
          <w:color w:val="000000"/>
          <w:sz w:val="24"/>
          <w:szCs w:val="24"/>
        </w:rPr>
        <w:t>3.1.1.1  规章规定</w:t>
      </w:r>
    </w:p>
    <w:p>
      <w:pPr>
        <w:adjustRightInd w:val="0"/>
        <w:snapToGrid w:val="0"/>
        <w:spacing w:line="460" w:lineRule="exact"/>
        <w:ind w:firstLine="480" w:firstLineChars="200"/>
        <w:rPr>
          <w:rFonts w:cs="Times New Roman"/>
          <w:snapToGrid w:val="0"/>
          <w:color w:val="000000"/>
          <w:kern w:val="0"/>
          <w:sz w:val="24"/>
          <w:szCs w:val="24"/>
        </w:rPr>
      </w:pPr>
      <w:r>
        <w:rPr>
          <w:rFonts w:hint="eastAsia" w:cs="Times New Roman"/>
          <w:snapToGrid w:val="0"/>
          <w:color w:val="000000"/>
          <w:kern w:val="0"/>
          <w:sz w:val="24"/>
          <w:szCs w:val="24"/>
        </w:rPr>
        <w:t>1</w:t>
      </w:r>
      <w:r>
        <w:rPr>
          <w:rFonts w:cs="Times New Roman"/>
          <w:snapToGrid w:val="0"/>
          <w:color w:val="000000"/>
          <w:kern w:val="0"/>
          <w:sz w:val="24"/>
          <w:szCs w:val="24"/>
        </w:rPr>
        <w:t>)《关于全面实行永久基本农田特殊保护的通知》(国土资规〔2018〕1号)；</w:t>
      </w:r>
    </w:p>
    <w:p>
      <w:pPr>
        <w:adjustRightInd w:val="0"/>
        <w:snapToGrid w:val="0"/>
        <w:spacing w:line="460" w:lineRule="exact"/>
        <w:ind w:firstLine="480" w:firstLineChars="200"/>
        <w:rPr>
          <w:rFonts w:hint="eastAsia" w:cs="Times New Roman"/>
          <w:snapToGrid w:val="0"/>
          <w:color w:val="000000"/>
          <w:kern w:val="0"/>
          <w:sz w:val="24"/>
          <w:szCs w:val="24"/>
        </w:rPr>
      </w:pPr>
      <w:r>
        <w:rPr>
          <w:rFonts w:hint="eastAsia" w:cs="Times New Roman"/>
          <w:snapToGrid w:val="0"/>
          <w:color w:val="000000"/>
          <w:kern w:val="0"/>
          <w:sz w:val="24"/>
          <w:szCs w:val="24"/>
        </w:rPr>
        <w:t>2</w:t>
      </w:r>
      <w:r>
        <w:rPr>
          <w:rFonts w:cs="Times New Roman"/>
          <w:snapToGrid w:val="0"/>
          <w:color w:val="000000"/>
          <w:kern w:val="0"/>
          <w:sz w:val="24"/>
          <w:szCs w:val="24"/>
        </w:rPr>
        <w:t>)《陆河县人民政府办公室关于印发陆河县征收土地补偿实施办法(2017年修订调整)的通知》(陆河府办[2017]36号)</w:t>
      </w:r>
      <w:r>
        <w:rPr>
          <w:rFonts w:hint="eastAsia" w:cs="Times New Roman"/>
          <w:snapToGrid w:val="0"/>
          <w:color w:val="000000"/>
          <w:kern w:val="0"/>
          <w:sz w:val="24"/>
          <w:szCs w:val="24"/>
        </w:rPr>
        <w:t>；</w:t>
      </w:r>
    </w:p>
    <w:p>
      <w:pPr>
        <w:adjustRightInd w:val="0"/>
        <w:snapToGrid w:val="0"/>
        <w:spacing w:line="460" w:lineRule="exact"/>
        <w:ind w:firstLine="480" w:firstLineChars="200"/>
        <w:rPr>
          <w:rFonts w:cs="Times New Roman"/>
          <w:snapToGrid w:val="0"/>
          <w:color w:val="000000"/>
          <w:kern w:val="0"/>
          <w:sz w:val="24"/>
          <w:szCs w:val="24"/>
        </w:rPr>
      </w:pPr>
      <w:r>
        <w:rPr>
          <w:rFonts w:hint="eastAsia" w:cs="Times New Roman"/>
          <w:snapToGrid w:val="0"/>
          <w:color w:val="000000"/>
          <w:kern w:val="0"/>
          <w:sz w:val="24"/>
          <w:szCs w:val="24"/>
        </w:rPr>
        <w:t>3</w:t>
      </w:r>
      <w:r>
        <w:rPr>
          <w:rFonts w:cs="Times New Roman"/>
          <w:snapToGrid w:val="0"/>
          <w:color w:val="000000"/>
          <w:kern w:val="0"/>
          <w:sz w:val="24"/>
          <w:szCs w:val="24"/>
        </w:rPr>
        <w:t>) 其他有关</w:t>
      </w:r>
      <w:r>
        <w:rPr>
          <w:rFonts w:hint="eastAsia" w:cs="Times New Roman"/>
          <w:snapToGrid w:val="0"/>
          <w:color w:val="000000"/>
          <w:kern w:val="0"/>
          <w:sz w:val="24"/>
          <w:szCs w:val="24"/>
        </w:rPr>
        <w:t>规章规定</w:t>
      </w:r>
      <w:r>
        <w:rPr>
          <w:rFonts w:cs="Times New Roman"/>
          <w:snapToGrid w:val="0"/>
          <w:color w:val="000000"/>
          <w:kern w:val="0"/>
          <w:sz w:val="24"/>
          <w:szCs w:val="24"/>
        </w:rPr>
        <w:t>。</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3.1.2  </w:t>
      </w:r>
      <w:r>
        <w:rPr>
          <w:rFonts w:ascii="Times New Roman" w:hAnsi="宋体" w:eastAsia="黑体" w:cs="Times New Roman"/>
          <w:bCs/>
          <w:snapToGrid w:val="0"/>
          <w:color w:val="000000"/>
          <w:kern w:val="0"/>
          <w:sz w:val="24"/>
          <w:szCs w:val="24"/>
          <w:lang w:val="en-US" w:eastAsia="zh-CN" w:bidi="ar-SA"/>
        </w:rPr>
        <w:t>规程</w:t>
      </w:r>
      <w:r>
        <w:rPr>
          <w:rFonts w:hint="eastAsia" w:ascii="Times New Roman" w:hAnsi="宋体" w:eastAsia="黑体" w:cs="Times New Roman"/>
          <w:bCs/>
          <w:snapToGrid w:val="0"/>
          <w:color w:val="000000"/>
          <w:kern w:val="0"/>
          <w:sz w:val="24"/>
          <w:szCs w:val="24"/>
          <w:lang w:val="en-US" w:eastAsia="zh-CN" w:bidi="ar-SA"/>
        </w:rPr>
        <w:t>、</w:t>
      </w:r>
      <w:r>
        <w:rPr>
          <w:rFonts w:ascii="Times New Roman" w:hAnsi="宋体" w:eastAsia="黑体" w:cs="Times New Roman"/>
          <w:bCs/>
          <w:snapToGrid w:val="0"/>
          <w:color w:val="000000"/>
          <w:kern w:val="0"/>
          <w:sz w:val="24"/>
          <w:szCs w:val="24"/>
          <w:lang w:val="en-US" w:eastAsia="zh-CN" w:bidi="ar-SA"/>
        </w:rPr>
        <w:t>规范</w:t>
      </w:r>
      <w:r>
        <w:rPr>
          <w:rFonts w:hint="eastAsia" w:ascii="Times New Roman" w:hAnsi="宋体" w:eastAsia="黑体" w:cs="Times New Roman"/>
          <w:bCs/>
          <w:snapToGrid w:val="0"/>
          <w:color w:val="000000"/>
          <w:kern w:val="0"/>
          <w:sz w:val="24"/>
          <w:szCs w:val="24"/>
          <w:lang w:val="en-US" w:eastAsia="zh-CN" w:bidi="ar-SA"/>
        </w:rPr>
        <w:t>、标准</w:t>
      </w:r>
    </w:p>
    <w:p>
      <w:pPr>
        <w:numPr>
          <w:ilvl w:val="0"/>
          <w:numId w:val="2"/>
        </w:numPr>
        <w:overflowPunct w:val="0"/>
        <w:autoSpaceDE w:val="0"/>
        <w:autoSpaceDN w:val="0"/>
        <w:adjustRightInd w:val="0"/>
        <w:spacing w:line="480" w:lineRule="exact"/>
        <w:ind w:left="0" w:firstLine="480" w:firstLineChars="200"/>
        <w:rPr>
          <w:rFonts w:hAnsi="宋体" w:cs="宋体"/>
          <w:color w:val="000000"/>
          <w:sz w:val="24"/>
          <w:szCs w:val="21"/>
        </w:rPr>
      </w:pPr>
      <w:r>
        <w:rPr>
          <w:rFonts w:hAnsi="宋体" w:cs="宋体"/>
          <w:color w:val="000000"/>
          <w:sz w:val="24"/>
          <w:szCs w:val="21"/>
        </w:rPr>
        <w:t>《水电工程建设征地移民安置规划设计规范》(DL/T5064-2007)；</w:t>
      </w:r>
    </w:p>
    <w:p>
      <w:pPr>
        <w:numPr>
          <w:ilvl w:val="0"/>
          <w:numId w:val="2"/>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《水电工程建设征地实物指标调查规范》</w:t>
      </w:r>
      <w:r>
        <w:rPr>
          <w:rFonts w:cs="宋体"/>
          <w:color w:val="000000"/>
          <w:sz w:val="24"/>
          <w:szCs w:val="21"/>
        </w:rPr>
        <w:t>(NB/T 10102-2018)</w:t>
      </w:r>
      <w:r>
        <w:rPr>
          <w:rFonts w:hAnsi="宋体" w:cs="宋体"/>
          <w:color w:val="000000"/>
          <w:sz w:val="24"/>
          <w:szCs w:val="21"/>
        </w:rPr>
        <w:t>；</w:t>
      </w:r>
    </w:p>
    <w:p>
      <w:pPr>
        <w:numPr>
          <w:ilvl w:val="0"/>
          <w:numId w:val="2"/>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《水电工程建设征地处理范围界定规范》</w:t>
      </w:r>
      <w:r>
        <w:rPr>
          <w:rFonts w:cs="宋体"/>
          <w:color w:val="000000"/>
          <w:sz w:val="24"/>
          <w:szCs w:val="21"/>
        </w:rPr>
        <w:t>(NB/T 10338-2019)</w:t>
      </w:r>
      <w:r>
        <w:rPr>
          <w:rFonts w:hAnsi="宋体" w:cs="宋体"/>
          <w:color w:val="000000"/>
          <w:sz w:val="24"/>
          <w:szCs w:val="21"/>
        </w:rPr>
        <w:t>；</w:t>
      </w:r>
    </w:p>
    <w:p>
      <w:pPr>
        <w:numPr>
          <w:ilvl w:val="0"/>
          <w:numId w:val="2"/>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《水电工程测量规范》</w:t>
      </w:r>
      <w:r>
        <w:rPr>
          <w:rFonts w:cs="宋体"/>
          <w:color w:val="000000"/>
          <w:sz w:val="24"/>
          <w:szCs w:val="21"/>
        </w:rPr>
        <w:t>(NB/T 35029-2014)</w:t>
      </w:r>
      <w:r>
        <w:rPr>
          <w:rFonts w:hAnsi="宋体" w:cs="宋体"/>
          <w:color w:val="000000"/>
          <w:sz w:val="24"/>
          <w:szCs w:val="21"/>
        </w:rPr>
        <w:t>；</w:t>
      </w:r>
    </w:p>
    <w:p>
      <w:pPr>
        <w:numPr>
          <w:ilvl w:val="0"/>
          <w:numId w:val="2"/>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《土地利用现状分类》</w:t>
      </w:r>
      <w:r>
        <w:rPr>
          <w:rFonts w:cs="宋体"/>
          <w:color w:val="000000"/>
          <w:sz w:val="24"/>
          <w:szCs w:val="21"/>
        </w:rPr>
        <w:t>(GB/T21010-2017)</w:t>
      </w:r>
      <w:r>
        <w:rPr>
          <w:rFonts w:hAnsi="宋体" w:cs="宋体"/>
          <w:color w:val="000000"/>
          <w:sz w:val="24"/>
          <w:szCs w:val="21"/>
        </w:rPr>
        <w:t>；</w:t>
      </w:r>
    </w:p>
    <w:p>
      <w:pPr>
        <w:numPr>
          <w:ilvl w:val="0"/>
          <w:numId w:val="2"/>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《房产测量规范》</w:t>
      </w:r>
      <w:r>
        <w:rPr>
          <w:rFonts w:cs="宋体"/>
          <w:color w:val="000000"/>
          <w:sz w:val="24"/>
          <w:szCs w:val="21"/>
        </w:rPr>
        <w:t>(GB/T 17986.1-2000)</w:t>
      </w:r>
      <w:r>
        <w:rPr>
          <w:rFonts w:hAnsi="宋体" w:cs="宋体"/>
          <w:color w:val="000000"/>
          <w:sz w:val="24"/>
          <w:szCs w:val="21"/>
        </w:rPr>
        <w:t>；</w:t>
      </w:r>
    </w:p>
    <w:p>
      <w:pPr>
        <w:numPr>
          <w:ilvl w:val="0"/>
          <w:numId w:val="2"/>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《防洪标准》</w:t>
      </w:r>
      <w:r>
        <w:rPr>
          <w:rFonts w:cs="宋体"/>
          <w:color w:val="000000"/>
          <w:sz w:val="24"/>
          <w:szCs w:val="21"/>
        </w:rPr>
        <w:t>(GB 50201-2014)</w:t>
      </w:r>
      <w:r>
        <w:rPr>
          <w:rFonts w:hAnsi="宋体" w:cs="宋体"/>
          <w:color w:val="000000"/>
          <w:sz w:val="24"/>
          <w:szCs w:val="21"/>
        </w:rPr>
        <w:t>；</w:t>
      </w:r>
    </w:p>
    <w:p>
      <w:pPr>
        <w:numPr>
          <w:ilvl w:val="0"/>
          <w:numId w:val="2"/>
        </w:numPr>
        <w:overflowPunct w:val="0"/>
        <w:autoSpaceDE w:val="0"/>
        <w:autoSpaceDN w:val="0"/>
        <w:adjustRightInd w:val="0"/>
        <w:spacing w:line="480" w:lineRule="exact"/>
        <w:ind w:left="0" w:firstLine="480" w:firstLineChars="200"/>
        <w:rPr>
          <w:rFonts w:cs="宋体"/>
          <w:color w:val="000000"/>
          <w:sz w:val="24"/>
          <w:szCs w:val="21"/>
        </w:rPr>
      </w:pPr>
      <w:r>
        <w:rPr>
          <w:rFonts w:hint="eastAsia" w:hAnsi="宋体" w:cs="宋体"/>
          <w:color w:val="000000"/>
          <w:sz w:val="24"/>
          <w:szCs w:val="21"/>
        </w:rPr>
        <w:t xml:space="preserve"> </w:t>
      </w:r>
      <w:r>
        <w:rPr>
          <w:rFonts w:hAnsi="宋体" w:cs="宋体"/>
          <w:color w:val="000000"/>
          <w:sz w:val="24"/>
          <w:szCs w:val="21"/>
        </w:rPr>
        <w:t>其他相关的规程、规范。</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3.1.3  </w:t>
      </w:r>
      <w:r>
        <w:rPr>
          <w:rFonts w:ascii="Times New Roman" w:hAnsi="宋体" w:eastAsia="黑体" w:cs="Times New Roman"/>
          <w:bCs/>
          <w:snapToGrid w:val="0"/>
          <w:color w:val="000000"/>
          <w:kern w:val="0"/>
          <w:sz w:val="24"/>
          <w:szCs w:val="24"/>
          <w:lang w:val="en-US" w:eastAsia="zh-CN" w:bidi="ar-SA"/>
        </w:rPr>
        <w:t>资料依据</w:t>
      </w:r>
    </w:p>
    <w:p>
      <w:pPr>
        <w:numPr>
          <w:ilvl w:val="0"/>
          <w:numId w:val="3"/>
        </w:numPr>
        <w:overflowPunct w:val="0"/>
        <w:autoSpaceDE w:val="0"/>
        <w:autoSpaceDN w:val="0"/>
        <w:adjustRightInd w:val="0"/>
        <w:spacing w:line="480" w:lineRule="exact"/>
        <w:ind w:left="0" w:firstLine="480" w:firstLineChars="200"/>
        <w:rPr>
          <w:rFonts w:hAnsi="宋体" w:cs="宋体"/>
          <w:color w:val="000000"/>
          <w:sz w:val="24"/>
          <w:szCs w:val="21"/>
        </w:rPr>
      </w:pPr>
      <w:r>
        <w:rPr>
          <w:rFonts w:hint="eastAsia" w:hAnsi="宋体" w:cs="宋体"/>
          <w:color w:val="000000"/>
          <w:sz w:val="24"/>
          <w:szCs w:val="21"/>
        </w:rPr>
        <w:t xml:space="preserve"> </w:t>
      </w:r>
      <w:r>
        <w:rPr>
          <w:rFonts w:hAnsi="宋体" w:cs="宋体"/>
          <w:color w:val="000000"/>
          <w:sz w:val="24"/>
          <w:szCs w:val="21"/>
        </w:rPr>
        <w:t>工程建设征地区</w:t>
      </w:r>
      <w:r>
        <w:rPr>
          <w:rFonts w:hint="eastAsia" w:hAnsi="宋体" w:cs="宋体"/>
          <w:color w:val="000000"/>
          <w:sz w:val="24"/>
          <w:szCs w:val="21"/>
        </w:rPr>
        <w:t>1:1000</w:t>
      </w:r>
      <w:r>
        <w:rPr>
          <w:rFonts w:hAnsi="宋体" w:cs="宋体"/>
          <w:color w:val="000000"/>
          <w:sz w:val="24"/>
          <w:szCs w:val="21"/>
        </w:rPr>
        <w:t>地类地形图；</w:t>
      </w:r>
    </w:p>
    <w:p>
      <w:pPr>
        <w:numPr>
          <w:ilvl w:val="0"/>
          <w:numId w:val="3"/>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w:t>
      </w:r>
      <w:r>
        <w:rPr>
          <w:rFonts w:hint="eastAsia" w:hAnsi="宋体" w:cs="宋体"/>
          <w:color w:val="000000"/>
          <w:sz w:val="24"/>
          <w:szCs w:val="21"/>
        </w:rPr>
        <w:t>广东陆河(三江口)</w:t>
      </w:r>
      <w:r>
        <w:rPr>
          <w:rFonts w:hAnsi="宋体" w:cs="宋体"/>
          <w:color w:val="000000"/>
          <w:sz w:val="24"/>
          <w:szCs w:val="21"/>
        </w:rPr>
        <w:t>抽水蓄能电站可行性研究阶段正常蓄水位选择专题报告</w:t>
      </w:r>
      <w:r>
        <w:rPr>
          <w:rFonts w:hint="eastAsia" w:hAnsi="宋体" w:cs="宋体"/>
          <w:color w:val="000000"/>
          <w:sz w:val="24"/>
          <w:szCs w:val="21"/>
        </w:rPr>
        <w:t>(审定稿)</w:t>
      </w:r>
      <w:r>
        <w:rPr>
          <w:rFonts w:hAnsi="宋体" w:cs="宋体"/>
          <w:color w:val="000000"/>
          <w:sz w:val="24"/>
          <w:szCs w:val="21"/>
        </w:rPr>
        <w:t>》</w:t>
      </w:r>
      <w:r>
        <w:rPr>
          <w:rFonts w:hint="eastAsia" w:hAnsi="宋体" w:cs="宋体"/>
          <w:color w:val="000000"/>
          <w:sz w:val="24"/>
          <w:szCs w:val="21"/>
        </w:rPr>
        <w:t>及审查意见</w:t>
      </w:r>
      <w:r>
        <w:rPr>
          <w:rFonts w:hAnsi="宋体" w:cs="宋体"/>
          <w:color w:val="000000"/>
          <w:sz w:val="24"/>
          <w:szCs w:val="21"/>
        </w:rPr>
        <w:t>；</w:t>
      </w:r>
    </w:p>
    <w:p>
      <w:pPr>
        <w:numPr>
          <w:ilvl w:val="0"/>
          <w:numId w:val="3"/>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w:t>
      </w:r>
      <w:r>
        <w:rPr>
          <w:rFonts w:hint="eastAsia" w:hAnsi="宋体" w:cs="宋体"/>
          <w:color w:val="000000"/>
          <w:sz w:val="24"/>
          <w:szCs w:val="21"/>
        </w:rPr>
        <w:t>广东陆河抽水蓄能电站可行性研究阶段正常蓄水位选择专题报告(审定稿)</w:t>
      </w:r>
      <w:r>
        <w:rPr>
          <w:rFonts w:hAnsi="宋体" w:cs="宋体"/>
          <w:color w:val="000000"/>
          <w:sz w:val="24"/>
          <w:szCs w:val="21"/>
        </w:rPr>
        <w:t>》及审查意见；</w:t>
      </w:r>
    </w:p>
    <w:p>
      <w:pPr>
        <w:numPr>
          <w:ilvl w:val="0"/>
          <w:numId w:val="3"/>
        </w:numPr>
        <w:overflowPunct w:val="0"/>
        <w:autoSpaceDE w:val="0"/>
        <w:autoSpaceDN w:val="0"/>
        <w:adjustRightInd w:val="0"/>
        <w:spacing w:line="480" w:lineRule="exact"/>
        <w:ind w:left="0" w:firstLine="480" w:firstLineChars="200"/>
        <w:rPr>
          <w:rFonts w:cs="宋体"/>
          <w:color w:val="000000"/>
          <w:sz w:val="24"/>
          <w:szCs w:val="21"/>
        </w:rPr>
      </w:pPr>
      <w:r>
        <w:rPr>
          <w:rFonts w:hint="eastAsia" w:cs="宋体"/>
          <w:color w:val="000000"/>
          <w:sz w:val="24"/>
          <w:szCs w:val="21"/>
        </w:rPr>
        <w:t>《广东省人民政府关于禁止在广东陆河抽水 蓄能电站项目工程占地及淹没区新增 建设项目和迁入人口的通告》</w:t>
      </w:r>
      <w:r>
        <w:rPr>
          <w:rFonts w:hAnsi="宋体" w:cs="宋体"/>
          <w:color w:val="000000"/>
          <w:sz w:val="24"/>
          <w:szCs w:val="21"/>
        </w:rPr>
        <w:t>；</w:t>
      </w:r>
    </w:p>
    <w:p>
      <w:pPr>
        <w:numPr>
          <w:ilvl w:val="0"/>
          <w:numId w:val="3"/>
        </w:numPr>
        <w:overflowPunct w:val="0"/>
        <w:autoSpaceDE w:val="0"/>
        <w:autoSpaceDN w:val="0"/>
        <w:adjustRightInd w:val="0"/>
        <w:spacing w:line="480" w:lineRule="exact"/>
        <w:ind w:left="0" w:firstLine="480" w:firstLineChars="200"/>
        <w:rPr>
          <w:rFonts w:cs="宋体"/>
          <w:color w:val="000000"/>
          <w:sz w:val="24"/>
          <w:szCs w:val="21"/>
        </w:rPr>
      </w:pPr>
      <w:r>
        <w:rPr>
          <w:rFonts w:hAnsi="宋体" w:cs="宋体"/>
          <w:color w:val="000000"/>
          <w:sz w:val="24"/>
          <w:szCs w:val="21"/>
        </w:rPr>
        <w:t>《</w:t>
      </w:r>
      <w:r>
        <w:rPr>
          <w:rFonts w:hint="eastAsia" w:hAnsi="宋体" w:cs="宋体"/>
          <w:color w:val="000000"/>
          <w:sz w:val="24"/>
          <w:szCs w:val="21"/>
        </w:rPr>
        <w:t>广东陆河</w:t>
      </w:r>
      <w:r>
        <w:rPr>
          <w:rFonts w:hAnsi="宋体" w:cs="宋体"/>
          <w:color w:val="000000"/>
          <w:sz w:val="24"/>
          <w:szCs w:val="21"/>
        </w:rPr>
        <w:t>抽水蓄能电站建设征地实物指标调查细则》</w:t>
      </w:r>
      <w:r>
        <w:rPr>
          <w:rFonts w:cs="宋体"/>
          <w:color w:val="000000"/>
          <w:sz w:val="24"/>
          <w:szCs w:val="21"/>
        </w:rPr>
        <w:t>(</w:t>
      </w:r>
      <w:r>
        <w:rPr>
          <w:rFonts w:hAnsi="宋体" w:cs="宋体"/>
          <w:color w:val="000000"/>
          <w:sz w:val="24"/>
          <w:szCs w:val="21"/>
        </w:rPr>
        <w:t>审定本</w:t>
      </w:r>
      <w:r>
        <w:rPr>
          <w:rFonts w:cs="宋体"/>
          <w:color w:val="000000"/>
          <w:sz w:val="24"/>
          <w:szCs w:val="21"/>
        </w:rPr>
        <w:t>)</w:t>
      </w:r>
      <w:r>
        <w:rPr>
          <w:rFonts w:hAnsi="宋体" w:cs="宋体"/>
          <w:color w:val="000000"/>
          <w:sz w:val="24"/>
          <w:szCs w:val="21"/>
        </w:rPr>
        <w:t>；</w:t>
      </w:r>
    </w:p>
    <w:p>
      <w:pPr>
        <w:numPr>
          <w:ilvl w:val="0"/>
          <w:numId w:val="3"/>
        </w:numPr>
        <w:overflowPunct w:val="0"/>
        <w:autoSpaceDE w:val="0"/>
        <w:autoSpaceDN w:val="0"/>
        <w:adjustRightInd w:val="0"/>
        <w:spacing w:line="480" w:lineRule="exact"/>
        <w:ind w:left="0" w:firstLine="480" w:firstLineChars="200"/>
        <w:rPr>
          <w:rFonts w:cs="宋体"/>
          <w:color w:val="000000"/>
          <w:sz w:val="24"/>
          <w:szCs w:val="21"/>
        </w:rPr>
      </w:pPr>
      <w:r>
        <w:rPr>
          <w:rFonts w:hint="eastAsia" w:hAnsi="宋体" w:cs="宋体"/>
          <w:color w:val="000000"/>
          <w:sz w:val="24"/>
          <w:szCs w:val="21"/>
        </w:rPr>
        <w:t xml:space="preserve"> </w:t>
      </w:r>
      <w:r>
        <w:rPr>
          <w:rFonts w:hAnsi="宋体" w:cs="宋体"/>
          <w:color w:val="000000"/>
          <w:sz w:val="24"/>
          <w:szCs w:val="21"/>
        </w:rPr>
        <w:t>工程建设征</w:t>
      </w:r>
      <w:r>
        <w:rPr>
          <w:rFonts w:cs="宋体"/>
          <w:color w:val="000000"/>
          <w:sz w:val="24"/>
          <w:szCs w:val="21"/>
        </w:rPr>
        <w:t>(</w:t>
      </w:r>
      <w:r>
        <w:rPr>
          <w:rFonts w:hAnsi="宋体" w:cs="宋体"/>
          <w:color w:val="000000"/>
          <w:sz w:val="24"/>
          <w:szCs w:val="21"/>
        </w:rPr>
        <w:t>占</w:t>
      </w:r>
      <w:r>
        <w:rPr>
          <w:rFonts w:cs="宋体"/>
          <w:color w:val="000000"/>
          <w:sz w:val="24"/>
          <w:szCs w:val="21"/>
        </w:rPr>
        <w:t>)</w:t>
      </w:r>
      <w:r>
        <w:rPr>
          <w:rFonts w:hAnsi="宋体" w:cs="宋体"/>
          <w:color w:val="000000"/>
          <w:sz w:val="24"/>
          <w:szCs w:val="21"/>
        </w:rPr>
        <w:t>地区的自然、经济社会资料及土地利用现状调查资料；</w:t>
      </w:r>
    </w:p>
    <w:p>
      <w:pPr>
        <w:numPr>
          <w:ilvl w:val="0"/>
          <w:numId w:val="3"/>
        </w:numPr>
        <w:overflowPunct w:val="0"/>
        <w:autoSpaceDE w:val="0"/>
        <w:autoSpaceDN w:val="0"/>
        <w:adjustRightInd w:val="0"/>
        <w:spacing w:line="480" w:lineRule="exact"/>
        <w:ind w:left="0" w:firstLine="480" w:firstLineChars="200"/>
        <w:rPr>
          <w:rFonts w:cs="宋体"/>
          <w:color w:val="000000"/>
          <w:sz w:val="24"/>
          <w:szCs w:val="21"/>
        </w:rPr>
      </w:pPr>
      <w:r>
        <w:rPr>
          <w:rFonts w:hint="eastAsia" w:hAnsi="宋体" w:cs="宋体"/>
          <w:color w:val="000000"/>
          <w:sz w:val="24"/>
          <w:szCs w:val="21"/>
        </w:rPr>
        <w:t xml:space="preserve"> </w:t>
      </w:r>
      <w:r>
        <w:rPr>
          <w:rFonts w:hAnsi="宋体" w:cs="宋体"/>
          <w:color w:val="000000"/>
          <w:sz w:val="24"/>
          <w:szCs w:val="21"/>
        </w:rPr>
        <w:t>其他有关资料。</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3.1.4  </w:t>
      </w:r>
      <w:r>
        <w:rPr>
          <w:rFonts w:ascii="Times New Roman" w:hAnsi="宋体" w:eastAsia="黑体" w:cs="Times New Roman"/>
          <w:bCs/>
          <w:snapToGrid w:val="0"/>
          <w:color w:val="000000"/>
          <w:kern w:val="0"/>
          <w:sz w:val="24"/>
          <w:szCs w:val="24"/>
          <w:lang w:val="en-US" w:eastAsia="zh-CN" w:bidi="ar-SA"/>
        </w:rPr>
        <w:t>调查原则</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a) </w:t>
      </w:r>
      <w:r>
        <w:rPr>
          <w:rFonts w:ascii="Times New Roman" w:hAnsi="宋体" w:eastAsia="宋体" w:cs="Times New Roman"/>
          <w:color w:val="000000"/>
          <w:kern w:val="2"/>
          <w:sz w:val="24"/>
          <w:szCs w:val="24"/>
          <w:shd w:val="clear" w:color="auto" w:fill="FFFFFF"/>
          <w:lang w:val="en-US" w:eastAsia="zh-CN" w:bidi="ar-SA"/>
        </w:rPr>
        <w:t>坚持以人民为中心的发展思想，不断促进人的全面发展、全体人民共同富裕；</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spacing w:val="4"/>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b) </w:t>
      </w:r>
      <w:r>
        <w:rPr>
          <w:rFonts w:ascii="Times New Roman" w:hAnsi="宋体" w:eastAsia="宋体" w:cs="Times New Roman"/>
          <w:color w:val="000000"/>
          <w:spacing w:val="4"/>
          <w:kern w:val="2"/>
          <w:sz w:val="24"/>
          <w:szCs w:val="24"/>
          <w:shd w:val="clear" w:color="auto" w:fill="FFFFFF"/>
          <w:lang w:val="en-US" w:eastAsia="zh-CN" w:bidi="ar-SA"/>
        </w:rPr>
        <w:t>调查人员应保持对国家、集体和移民群众高度负责的精神，坚持实事求是的科学态度，认真、细致、准确地做好本次调查工作，调查中各方应团结协作，充分协商；</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c) </w:t>
      </w:r>
      <w:r>
        <w:rPr>
          <w:rFonts w:ascii="Times New Roman" w:hAnsi="宋体" w:eastAsia="宋体" w:cs="Times New Roman"/>
          <w:color w:val="000000"/>
          <w:kern w:val="2"/>
          <w:sz w:val="24"/>
          <w:szCs w:val="24"/>
          <w:shd w:val="clear" w:color="auto" w:fill="FFFFFF"/>
          <w:lang w:val="en-US" w:eastAsia="zh-CN" w:bidi="ar-SA"/>
        </w:rPr>
        <w:t>实物调查应遵循依法、客观、公正、公开、公平、全面、准确的原则，实事求是地反映调查时的实物现状；</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d) </w:t>
      </w:r>
      <w:r>
        <w:rPr>
          <w:rFonts w:ascii="Times New Roman" w:hAnsi="宋体" w:eastAsia="宋体" w:cs="Times New Roman"/>
          <w:color w:val="000000"/>
          <w:kern w:val="2"/>
          <w:sz w:val="24"/>
          <w:szCs w:val="24"/>
          <w:shd w:val="clear" w:color="auto" w:fill="FFFFFF"/>
          <w:lang w:val="en-US" w:eastAsia="zh-CN" w:bidi="ar-SA"/>
        </w:rPr>
        <w:t>实物调查应坚持以国家现行的相关法律、法规以及相关技术标准和规程规范及湖北省的相关政策为依据，统一调查内容和方法，履行调查、公示和调查成果认定程序；</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e) </w:t>
      </w:r>
      <w:r>
        <w:rPr>
          <w:rFonts w:ascii="Times New Roman" w:hAnsi="宋体" w:eastAsia="宋体" w:cs="Times New Roman"/>
          <w:color w:val="000000"/>
          <w:kern w:val="2"/>
          <w:sz w:val="24"/>
          <w:szCs w:val="24"/>
          <w:shd w:val="clear" w:color="auto" w:fill="FFFFFF"/>
          <w:lang w:val="en-US" w:eastAsia="zh-CN" w:bidi="ar-SA"/>
        </w:rPr>
        <w:t>实物调查工作由项目主管部门或者项目法人会同工程占地和淹没区所在地的地方人民政府实施；</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f) </w:t>
      </w:r>
      <w:r>
        <w:rPr>
          <w:rFonts w:ascii="Times New Roman" w:hAnsi="宋体" w:eastAsia="宋体" w:cs="Times New Roman"/>
          <w:color w:val="000000"/>
          <w:kern w:val="2"/>
          <w:sz w:val="24"/>
          <w:szCs w:val="24"/>
          <w:shd w:val="clear" w:color="auto" w:fill="FFFFFF"/>
          <w:lang w:val="en-US" w:eastAsia="zh-CN" w:bidi="ar-SA"/>
        </w:rPr>
        <w:t>如遇到《调查细则》未明确规定的调查项目，调查时应在国家和</w:t>
      </w:r>
      <w:r>
        <w:rPr>
          <w:rFonts w:hint="eastAsia" w:ascii="Times New Roman" w:hAnsi="宋体" w:eastAsia="宋体" w:cs="Times New Roman"/>
          <w:color w:val="000000"/>
          <w:kern w:val="2"/>
          <w:sz w:val="24"/>
          <w:szCs w:val="24"/>
          <w:shd w:val="clear" w:color="auto" w:fill="FFFFFF"/>
          <w:lang w:val="en-US" w:eastAsia="zh-CN" w:bidi="ar-SA"/>
        </w:rPr>
        <w:t>广东</w:t>
      </w:r>
      <w:r>
        <w:rPr>
          <w:rFonts w:ascii="Times New Roman" w:hAnsi="宋体" w:eastAsia="宋体" w:cs="Times New Roman"/>
          <w:color w:val="000000"/>
          <w:kern w:val="2"/>
          <w:sz w:val="24"/>
          <w:szCs w:val="24"/>
          <w:shd w:val="clear" w:color="auto" w:fill="FFFFFF"/>
          <w:lang w:val="en-US" w:eastAsia="zh-CN" w:bidi="ar-SA"/>
        </w:rPr>
        <w:t>省人民政府有关政策允许的范围内，由</w:t>
      </w:r>
      <w:r>
        <w:rPr>
          <w:rFonts w:hint="eastAsia" w:ascii="Times New Roman" w:hAnsi="宋体" w:eastAsia="宋体" w:cs="Times New Roman"/>
          <w:color w:val="000000"/>
          <w:kern w:val="2"/>
          <w:sz w:val="24"/>
          <w:szCs w:val="24"/>
          <w:shd w:val="clear" w:color="auto" w:fill="FFFFFF"/>
          <w:lang w:val="en-US" w:eastAsia="zh-CN" w:bidi="ar-SA"/>
        </w:rPr>
        <w:t>广东能源陆河蓄能发电有限公司</w:t>
      </w:r>
      <w:r>
        <w:rPr>
          <w:rFonts w:ascii="Times New Roman" w:hAnsi="宋体" w:eastAsia="宋体" w:cs="Times New Roman"/>
          <w:color w:val="000000"/>
          <w:kern w:val="2"/>
          <w:sz w:val="24"/>
          <w:szCs w:val="24"/>
          <w:shd w:val="clear" w:color="auto" w:fill="FFFFFF"/>
          <w:lang w:val="en-US" w:eastAsia="zh-CN" w:bidi="ar-SA"/>
        </w:rPr>
        <w:t>、</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县人民政府和中南院共同商定处理办法。</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br w:type="page"/>
      </w:r>
      <w:r>
        <w:rPr>
          <w:rFonts w:ascii="Times New Roman" w:hAnsi="Times New Roman" w:eastAsia="黑体" w:cs="Times New Roman"/>
          <w:bCs/>
          <w:snapToGrid w:val="0"/>
          <w:color w:val="000000"/>
          <w:kern w:val="0"/>
          <w:sz w:val="24"/>
          <w:szCs w:val="24"/>
          <w:lang w:val="en-US" w:eastAsia="zh-CN" w:bidi="ar-SA"/>
        </w:rPr>
        <w:t xml:space="preserve">3.1.5  </w:t>
      </w:r>
      <w:r>
        <w:rPr>
          <w:rFonts w:ascii="Times New Roman" w:hAnsi="宋体" w:eastAsia="黑体" w:cs="Times New Roman"/>
          <w:bCs/>
          <w:snapToGrid w:val="0"/>
          <w:color w:val="000000"/>
          <w:kern w:val="0"/>
          <w:sz w:val="24"/>
          <w:szCs w:val="24"/>
          <w:lang w:val="en-US" w:eastAsia="zh-CN" w:bidi="ar-SA"/>
        </w:rPr>
        <w:t>调查目的</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建设征地实物指标调查工作的目的，是查明建设征地范围内需要搬迁、补偿和处理的各类实物指标的数量、质量、规模、权属和其他属性等，同时调查收集建设征地区经济社会、自然资源、区域或行业发展规划以及人文历史、风俗习惯、民族情况等有关资料，为分析研究建设征地对地区社会经济影响、论证工程规模和经济效益、编制移民安置规划大纲、编制移民安置规划报告、计算建设征地补偿费用提供可靠的基础资料。</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3.1.6  </w:t>
      </w:r>
      <w:r>
        <w:rPr>
          <w:rFonts w:ascii="Times New Roman" w:hAnsi="宋体" w:eastAsia="黑体" w:cs="Times New Roman"/>
          <w:bCs/>
          <w:snapToGrid w:val="0"/>
          <w:color w:val="000000"/>
          <w:kern w:val="0"/>
          <w:sz w:val="24"/>
          <w:szCs w:val="24"/>
          <w:lang w:val="en-US" w:eastAsia="zh-CN" w:bidi="ar-SA"/>
        </w:rPr>
        <w:t>调查统计基准时间</w:t>
      </w:r>
    </w:p>
    <w:p>
      <w:pPr>
        <w:overflowPunct w:val="0"/>
        <w:autoSpaceDE w:val="0"/>
        <w:autoSpaceDN w:val="0"/>
        <w:adjustRightInd w:val="0"/>
        <w:spacing w:line="480" w:lineRule="exact"/>
        <w:ind w:firstLine="480" w:firstLineChars="200"/>
        <w:rPr>
          <w:rFonts w:cs="Times New Roman"/>
          <w:color w:val="000000"/>
          <w:kern w:val="0"/>
          <w:sz w:val="24"/>
          <w:szCs w:val="22"/>
        </w:rPr>
      </w:pPr>
      <w:r>
        <w:rPr>
          <w:rFonts w:hAnsi="宋体" w:cs="Times New Roman"/>
          <w:color w:val="000000"/>
          <w:kern w:val="0"/>
          <w:sz w:val="24"/>
          <w:szCs w:val="22"/>
        </w:rPr>
        <w:t>根据《调查细则》</w:t>
      </w:r>
      <w:r>
        <w:rPr>
          <w:rFonts w:hint="eastAsia" w:hAnsi="宋体" w:cs="Times New Roman"/>
          <w:color w:val="000000"/>
          <w:kern w:val="0"/>
          <w:sz w:val="24"/>
          <w:szCs w:val="22"/>
        </w:rPr>
        <w:t>，</w:t>
      </w:r>
      <w:r>
        <w:rPr>
          <w:rFonts w:hAnsi="宋体" w:cs="Times New Roman"/>
          <w:color w:val="000000"/>
          <w:kern w:val="0"/>
          <w:sz w:val="24"/>
          <w:szCs w:val="22"/>
        </w:rPr>
        <w:t>以</w:t>
      </w:r>
      <w:r>
        <w:rPr>
          <w:rFonts w:hint="eastAsia" w:hAnsi="宋体" w:cs="Times New Roman"/>
          <w:color w:val="000000"/>
          <w:sz w:val="24"/>
          <w:szCs w:val="22"/>
        </w:rPr>
        <w:t>广东</w:t>
      </w:r>
      <w:r>
        <w:rPr>
          <w:rFonts w:hAnsi="宋体" w:cs="Times New Roman"/>
          <w:color w:val="000000"/>
          <w:sz w:val="24"/>
          <w:szCs w:val="22"/>
        </w:rPr>
        <w:t>省</w:t>
      </w:r>
      <w:r>
        <w:rPr>
          <w:rFonts w:hAnsi="宋体" w:cs="Times New Roman"/>
          <w:color w:val="000000"/>
          <w:kern w:val="0"/>
          <w:sz w:val="24"/>
          <w:szCs w:val="22"/>
        </w:rPr>
        <w:t>人民政府发布</w:t>
      </w:r>
      <w:r>
        <w:rPr>
          <w:rFonts w:hint="eastAsia" w:hAnsi="宋体" w:cs="Times New Roman"/>
          <w:color w:val="000000"/>
          <w:kern w:val="0"/>
          <w:sz w:val="24"/>
          <w:szCs w:val="22"/>
        </w:rPr>
        <w:t>《广东省人民政府关于禁止在广东陆河抽水 蓄能电站项目工程占地及淹没区新增 建设项目和迁入人口的通告》(粤府函〔2021〕368号)</w:t>
      </w:r>
      <w:r>
        <w:rPr>
          <w:rFonts w:hAnsi="宋体" w:cs="Times New Roman"/>
          <w:color w:val="000000"/>
          <w:kern w:val="0"/>
          <w:sz w:val="24"/>
          <w:szCs w:val="22"/>
        </w:rPr>
        <w:t>时间为</w:t>
      </w:r>
      <w:r>
        <w:rPr>
          <w:rFonts w:hint="eastAsia" w:hAnsi="宋体" w:cs="Times New Roman"/>
          <w:color w:val="000000"/>
          <w:kern w:val="0"/>
          <w:sz w:val="24"/>
          <w:szCs w:val="22"/>
        </w:rPr>
        <w:t>统计</w:t>
      </w:r>
      <w:r>
        <w:rPr>
          <w:rFonts w:hAnsi="宋体" w:cs="Times New Roman"/>
          <w:color w:val="000000"/>
          <w:kern w:val="0"/>
          <w:sz w:val="24"/>
          <w:szCs w:val="22"/>
        </w:rPr>
        <w:t>基准时间，即</w:t>
      </w:r>
      <w:r>
        <w:rPr>
          <w:rFonts w:hint="eastAsia" w:hAnsi="宋体" w:cs="Times New Roman"/>
          <w:color w:val="000000"/>
          <w:kern w:val="0"/>
          <w:sz w:val="24"/>
          <w:szCs w:val="22"/>
        </w:rPr>
        <w:t>2021年12月13日</w:t>
      </w:r>
      <w:r>
        <w:rPr>
          <w:rFonts w:hAnsi="宋体" w:cs="Times New Roman"/>
          <w:color w:val="000000"/>
          <w:kern w:val="0"/>
          <w:sz w:val="24"/>
          <w:szCs w:val="22"/>
        </w:rPr>
        <w:t>。</w:t>
      </w:r>
    </w:p>
    <w:p>
      <w:pPr>
        <w:widowControl w:val="0"/>
        <w:adjustRightInd w:val="0"/>
        <w:snapToGrid w:val="0"/>
        <w:spacing w:before="300" w:after="120" w:line="480" w:lineRule="exact"/>
        <w:jc w:val="left"/>
        <w:outlineLvl w:val="0"/>
        <w:rPr>
          <w:rFonts w:ascii="Times New Roman" w:hAnsi="Times New Roman" w:eastAsia="黑体" w:cs="Times New Roman"/>
          <w:b/>
          <w:bCs/>
          <w:color w:val="000000"/>
          <w:kern w:val="44"/>
          <w:sz w:val="32"/>
          <w:szCs w:val="32"/>
          <w:lang w:val="en-US" w:eastAsia="zh-CN" w:bidi="ar-SA"/>
        </w:rPr>
      </w:pPr>
      <w:r>
        <w:rPr>
          <w:rFonts w:ascii="Times New Roman" w:hAnsi="Times New Roman" w:eastAsia="黑体" w:cs="Times New Roman"/>
          <w:bCs/>
          <w:color w:val="000000"/>
          <w:kern w:val="44"/>
          <w:sz w:val="32"/>
          <w:szCs w:val="32"/>
          <w:lang w:val="en-US" w:eastAsia="zh-CN" w:bidi="ar-SA"/>
        </w:rPr>
        <w:br w:type="page"/>
      </w:r>
      <w:bookmarkStart w:id="580" w:name="_Toc86257947"/>
      <w:bookmarkStart w:id="581" w:name="_Toc90945239"/>
      <w:r>
        <w:rPr>
          <w:rFonts w:ascii="Times New Roman" w:hAnsi="Times New Roman" w:eastAsia="黑体" w:cs="Times New Roman"/>
          <w:bCs/>
          <w:color w:val="000000"/>
          <w:kern w:val="44"/>
          <w:sz w:val="32"/>
          <w:szCs w:val="32"/>
          <w:lang w:val="en-US" w:eastAsia="zh-CN" w:bidi="ar-SA"/>
        </w:rPr>
        <w:t>4  调查组织形式与分工</w:t>
      </w:r>
      <w:bookmarkEnd w:id="580"/>
      <w:bookmarkEnd w:id="581"/>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82" w:name="_Toc90945240"/>
      <w:bookmarkStart w:id="583" w:name="_Toc86257948"/>
      <w:r>
        <w:rPr>
          <w:rFonts w:ascii="Times New Roman" w:hAnsi="Times New Roman" w:eastAsia="黑体" w:cs="Times New Roman"/>
          <w:bCs/>
          <w:snapToGrid w:val="0"/>
          <w:color w:val="000000"/>
          <w:kern w:val="0"/>
          <w:sz w:val="28"/>
          <w:szCs w:val="28"/>
          <w:lang w:val="en-US" w:eastAsia="zh-CN" w:bidi="ar-SA"/>
        </w:rPr>
        <w:t>4.1  实物指标调查组织</w:t>
      </w:r>
      <w:bookmarkEnd w:id="582"/>
      <w:bookmarkEnd w:id="583"/>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4.1.1  实物指标调查工作的组织形式</w:t>
      </w:r>
    </w:p>
    <w:p>
      <w:pPr>
        <w:widowControl w:val="0"/>
        <w:overflowPunct w:val="0"/>
        <w:autoSpaceDE w:val="0"/>
        <w:autoSpaceDN w:val="0"/>
        <w:adjustRightInd w:val="0"/>
        <w:snapToGrid w:val="0"/>
        <w:spacing w:line="480" w:lineRule="exact"/>
        <w:ind w:firstLine="496" w:firstLineChars="200"/>
        <w:jc w:val="both"/>
        <w:rPr>
          <w:rFonts w:ascii="Times New Roman" w:hAnsi="Times New Roman" w:eastAsia="宋体" w:cs="Times New Roman"/>
          <w:color w:val="000000"/>
          <w:spacing w:val="4"/>
          <w:kern w:val="2"/>
          <w:sz w:val="24"/>
          <w:szCs w:val="24"/>
          <w:shd w:val="clear" w:color="auto" w:fill="FFFFFF"/>
          <w:lang w:val="en-US" w:eastAsia="zh-CN" w:bidi="ar-SA"/>
        </w:rPr>
      </w:pP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抽水蓄能电站建设征地实物指标调查工作由</w:t>
      </w: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县人民政府会同项目法人组织领导，成立</w:t>
      </w:r>
      <w:r>
        <w:rPr>
          <w:rFonts w:ascii="Times New Roman" w:hAnsi="Times New Roman" w:eastAsia="宋体" w:cs="Times New Roman"/>
          <w:color w:val="000000"/>
          <w:spacing w:val="4"/>
          <w:kern w:val="2"/>
          <w:sz w:val="24"/>
          <w:szCs w:val="24"/>
          <w:shd w:val="clear" w:color="auto" w:fill="FFFFFF"/>
          <w:lang w:val="en-US" w:eastAsia="zh-CN" w:bidi="ar-SA"/>
        </w:rPr>
        <w:t>“</w:t>
      </w: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抽水蓄能电站建设征地实物指标调查领导小组</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，领导小组成员由</w:t>
      </w: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县人民政府、项目法人、中南院等组成。领导小组将负责指导、协调和处理</w:t>
      </w: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抽水蓄能电站建设征地实物指标调查工作中的相关问题。</w:t>
      </w:r>
    </w:p>
    <w:p>
      <w:pPr>
        <w:widowControl w:val="0"/>
        <w:overflowPunct w:val="0"/>
        <w:autoSpaceDE w:val="0"/>
        <w:autoSpaceDN w:val="0"/>
        <w:adjustRightInd w:val="0"/>
        <w:snapToGrid w:val="0"/>
        <w:spacing w:line="480" w:lineRule="exact"/>
        <w:ind w:firstLine="496" w:firstLineChars="200"/>
        <w:jc w:val="both"/>
        <w:rPr>
          <w:rFonts w:ascii="Times New Roman" w:hAnsi="Times New Roman" w:eastAsia="宋体" w:cs="Times New Roman"/>
          <w:color w:val="000000"/>
          <w:spacing w:val="4"/>
          <w:kern w:val="2"/>
          <w:sz w:val="24"/>
          <w:szCs w:val="24"/>
          <w:shd w:val="clear" w:color="auto" w:fill="FFFFFF"/>
          <w:lang w:val="en-US" w:eastAsia="zh-CN" w:bidi="ar-SA"/>
        </w:rPr>
      </w:pP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县人民政府负责本辖区内淹没实物调查的组织协调工作，中南院负责技术指导和技术归口。</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4.1.2  实物指标调查的工作程序</w:t>
      </w:r>
    </w:p>
    <w:p>
      <w:pPr>
        <w:adjustRightInd w:val="0"/>
        <w:snapToGrid w:val="0"/>
        <w:spacing w:line="460" w:lineRule="exact"/>
        <w:ind w:firstLine="482"/>
        <w:rPr>
          <w:rFonts w:cs="Times New Roman"/>
          <w:color w:val="000000"/>
          <w:spacing w:val="4"/>
          <w:sz w:val="24"/>
          <w:szCs w:val="24"/>
        </w:rPr>
      </w:pPr>
      <w:r>
        <w:rPr>
          <w:rFonts w:hint="eastAsia" w:cs="Times New Roman"/>
          <w:color w:val="000000"/>
          <w:spacing w:val="4"/>
          <w:sz w:val="24"/>
          <w:szCs w:val="24"/>
        </w:rPr>
        <w:t>陆蓄公司</w:t>
      </w:r>
      <w:r>
        <w:rPr>
          <w:rFonts w:cs="Times New Roman"/>
          <w:color w:val="000000"/>
          <w:spacing w:val="4"/>
          <w:sz w:val="24"/>
          <w:szCs w:val="24"/>
        </w:rPr>
        <w:t>负责调查工作的总体组织及委托等工作，并参与指标调查及有关协调工作；</w:t>
      </w:r>
      <w:r>
        <w:rPr>
          <w:rFonts w:hint="eastAsia" w:cs="Times New Roman"/>
          <w:color w:val="000000"/>
          <w:spacing w:val="4"/>
          <w:sz w:val="24"/>
          <w:szCs w:val="24"/>
        </w:rPr>
        <w:t>陆河</w:t>
      </w:r>
      <w:r>
        <w:rPr>
          <w:rFonts w:cs="Times New Roman"/>
          <w:color w:val="000000"/>
          <w:spacing w:val="4"/>
          <w:sz w:val="24"/>
          <w:szCs w:val="24"/>
        </w:rPr>
        <w:t>县人民政府负责组织、实施和协调等工作；中南院负责技术归口；</w:t>
      </w:r>
      <w:r>
        <w:rPr>
          <w:rFonts w:hint="eastAsia" w:cs="Times New Roman"/>
          <w:color w:val="000000"/>
          <w:spacing w:val="4"/>
          <w:sz w:val="24"/>
          <w:szCs w:val="24"/>
        </w:rPr>
        <w:t>汕尾</w:t>
      </w:r>
      <w:r>
        <w:rPr>
          <w:rFonts w:cs="Times New Roman"/>
          <w:color w:val="000000"/>
          <w:spacing w:val="4"/>
          <w:sz w:val="24"/>
          <w:szCs w:val="24"/>
        </w:rPr>
        <w:t>市移民主管部门监督、指导工作组开展工作。</w:t>
      </w:r>
    </w:p>
    <w:p>
      <w:pPr>
        <w:adjustRightInd w:val="0"/>
        <w:snapToGrid w:val="0"/>
        <w:spacing w:line="460" w:lineRule="exact"/>
        <w:ind w:firstLine="482"/>
        <w:rPr>
          <w:rFonts w:cs="Times New Roman"/>
          <w:color w:val="000000"/>
          <w:spacing w:val="4"/>
          <w:sz w:val="24"/>
          <w:szCs w:val="24"/>
        </w:rPr>
      </w:pPr>
      <w:r>
        <w:rPr>
          <w:rFonts w:cs="Times New Roman"/>
          <w:color w:val="000000"/>
          <w:spacing w:val="4"/>
          <w:sz w:val="24"/>
          <w:szCs w:val="24"/>
        </w:rPr>
        <w:t>中南院和</w:t>
      </w:r>
      <w:r>
        <w:rPr>
          <w:rFonts w:hint="eastAsia" w:cs="Times New Roman"/>
          <w:color w:val="000000"/>
          <w:spacing w:val="4"/>
          <w:sz w:val="24"/>
          <w:szCs w:val="24"/>
        </w:rPr>
        <w:t>陆河</w:t>
      </w:r>
      <w:r>
        <w:rPr>
          <w:rFonts w:cs="Times New Roman"/>
          <w:color w:val="000000"/>
          <w:spacing w:val="4"/>
          <w:sz w:val="24"/>
          <w:szCs w:val="24"/>
        </w:rPr>
        <w:t>县人民政府及其有关</w:t>
      </w:r>
      <w:r>
        <w:rPr>
          <w:rFonts w:hint="eastAsia" w:cs="Times New Roman"/>
          <w:color w:val="000000"/>
          <w:spacing w:val="4"/>
          <w:sz w:val="24"/>
          <w:szCs w:val="24"/>
        </w:rPr>
        <w:t>管理</w:t>
      </w:r>
      <w:r>
        <w:rPr>
          <w:rFonts w:cs="Times New Roman"/>
          <w:color w:val="000000"/>
          <w:spacing w:val="4"/>
          <w:sz w:val="24"/>
          <w:szCs w:val="24"/>
        </w:rPr>
        <w:t>部门(包括移民、</w:t>
      </w:r>
      <w:r>
        <w:rPr>
          <w:rFonts w:hint="eastAsia" w:cs="Times New Roman"/>
          <w:color w:val="000000"/>
          <w:spacing w:val="4"/>
          <w:sz w:val="24"/>
          <w:szCs w:val="24"/>
        </w:rPr>
        <w:t>自然资源</w:t>
      </w:r>
      <w:r>
        <w:rPr>
          <w:rFonts w:cs="Times New Roman"/>
          <w:color w:val="000000"/>
          <w:spacing w:val="4"/>
          <w:sz w:val="24"/>
          <w:szCs w:val="24"/>
        </w:rPr>
        <w:t>、农业、林业、住建、房产管理、水利、电力、通信、交通、统计等)组成联合调查组，负责指定区域内的实物指标调查、资料统计、汇总和整理，县政府为组长单位，</w:t>
      </w:r>
      <w:r>
        <w:rPr>
          <w:rFonts w:hint="eastAsia" w:cs="Times New Roman"/>
          <w:color w:val="000000"/>
          <w:spacing w:val="4"/>
          <w:sz w:val="24"/>
          <w:szCs w:val="24"/>
        </w:rPr>
        <w:t>陆蓄公司、</w:t>
      </w:r>
      <w:r>
        <w:rPr>
          <w:rFonts w:cs="Times New Roman"/>
          <w:color w:val="000000"/>
          <w:spacing w:val="4"/>
          <w:sz w:val="24"/>
          <w:szCs w:val="24"/>
        </w:rPr>
        <w:t>中南院为副组长单位，</w:t>
      </w:r>
      <w:r>
        <w:rPr>
          <w:rFonts w:hint="eastAsia" w:cs="Times New Roman"/>
          <w:color w:val="000000"/>
          <w:spacing w:val="4"/>
          <w:sz w:val="24"/>
          <w:szCs w:val="24"/>
        </w:rPr>
        <w:t>中南院</w:t>
      </w:r>
      <w:r>
        <w:rPr>
          <w:rFonts w:cs="Times New Roman"/>
          <w:color w:val="000000"/>
          <w:spacing w:val="4"/>
          <w:sz w:val="24"/>
          <w:szCs w:val="24"/>
        </w:rPr>
        <w:t>负责技术归口。</w:t>
      </w:r>
    </w:p>
    <w:p>
      <w:pPr>
        <w:adjustRightInd w:val="0"/>
        <w:snapToGrid w:val="0"/>
        <w:spacing w:line="460" w:lineRule="exact"/>
        <w:ind w:firstLine="482"/>
        <w:rPr>
          <w:rFonts w:cs="Times New Roman"/>
          <w:color w:val="000000"/>
          <w:spacing w:val="4"/>
          <w:sz w:val="24"/>
          <w:szCs w:val="24"/>
        </w:rPr>
      </w:pPr>
      <w:r>
        <w:rPr>
          <w:rFonts w:cs="Times New Roman"/>
          <w:color w:val="000000"/>
          <w:spacing w:val="4"/>
          <w:sz w:val="24"/>
          <w:szCs w:val="24"/>
        </w:rPr>
        <w:t>为了使各方参加实物指标调查的工作人员，更好的掌握和理解本细则，便于在实际工作中合理运用本细则，项目法人应会同</w:t>
      </w:r>
      <w:r>
        <w:rPr>
          <w:rFonts w:hint="eastAsia" w:cs="Times New Roman"/>
          <w:color w:val="000000"/>
          <w:spacing w:val="4"/>
          <w:sz w:val="24"/>
          <w:szCs w:val="24"/>
        </w:rPr>
        <w:t>陆河</w:t>
      </w:r>
      <w:r>
        <w:rPr>
          <w:rFonts w:cs="Times New Roman"/>
          <w:color w:val="000000"/>
          <w:spacing w:val="4"/>
          <w:sz w:val="24"/>
          <w:szCs w:val="24"/>
        </w:rPr>
        <w:t>县政府，对参与实物指标调查人员进行移民政策法规和指标调查的技术培训，并向被调查区域群众广泛宣传移民政策法规和实物指标调查细则内容。</w:t>
      </w:r>
    </w:p>
    <w:p>
      <w:pPr>
        <w:adjustRightInd w:val="0"/>
        <w:snapToGrid w:val="0"/>
        <w:spacing w:line="460" w:lineRule="exact"/>
        <w:ind w:firstLine="482"/>
        <w:rPr>
          <w:rFonts w:cs="Times New Roman"/>
          <w:color w:val="000000"/>
          <w:spacing w:val="4"/>
          <w:sz w:val="24"/>
          <w:szCs w:val="24"/>
        </w:rPr>
      </w:pPr>
      <w:r>
        <w:rPr>
          <w:rFonts w:hint="eastAsia" w:cs="Times New Roman"/>
          <w:color w:val="000000"/>
          <w:spacing w:val="4"/>
          <w:sz w:val="24"/>
          <w:szCs w:val="24"/>
        </w:rPr>
        <w:t>陆河</w:t>
      </w:r>
      <w:r>
        <w:rPr>
          <w:rFonts w:cs="Times New Roman"/>
          <w:color w:val="000000"/>
          <w:spacing w:val="4"/>
          <w:sz w:val="24"/>
          <w:szCs w:val="24"/>
        </w:rPr>
        <w:t>抽水蓄能电站实物指标调查工作组织流程如下图：</w:t>
      </w:r>
    </w:p>
    <w:p>
      <w:pPr>
        <w:adjustRightInd w:val="0"/>
        <w:snapToGrid w:val="0"/>
        <w:spacing w:line="460" w:lineRule="exact"/>
        <w:ind w:firstLine="482"/>
        <w:jc w:val="center"/>
        <w:rPr>
          <w:rFonts w:hint="eastAsia" w:eastAsia="黑体" w:cs="Times New Roman"/>
          <w:color w:val="000000"/>
          <w:sz w:val="24"/>
          <w:szCs w:val="22"/>
        </w:rPr>
      </w:pPr>
      <w:r>
        <w:rPr>
          <w:rFonts w:cs="Times New Roman"/>
          <w:color w:val="000000"/>
          <w:sz w:val="24"/>
          <w:szCs w:val="22"/>
        </w:rPr>
        <w:br w:type="page"/>
      </w:r>
      <w:r>
        <w:rPr>
          <w:rFonts w:eastAsia="黑体" w:cs="Times New Roman"/>
          <w:color w:val="000000"/>
          <w:sz w:val="24"/>
          <w:szCs w:val="22"/>
        </w:rPr>
        <mc:AlternateContent>
          <mc:Choice Requires="wpc">
            <w:drawing>
              <wp:anchor distT="0" distB="0" distL="114300" distR="114300" simplePos="0" relativeHeight="251660288" behindDoc="0" locked="0" layoutInCell="1" allowOverlap="1">
                <wp:simplePos x="0" y="0"/>
                <wp:positionH relativeFrom="character">
                  <wp:posOffset>-2381250</wp:posOffset>
                </wp:positionH>
                <wp:positionV relativeFrom="line">
                  <wp:posOffset>123825</wp:posOffset>
                </wp:positionV>
                <wp:extent cx="4587240" cy="7280910"/>
                <wp:effectExtent l="0" t="0" r="0" b="0"/>
                <wp:wrapNone/>
                <wp:docPr id="64" name="画布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流程图: 过程 7"/>
                        <wps:cNvSpPr/>
                        <wps:spPr>
                          <a:xfrm>
                            <a:off x="882650" y="1933575"/>
                            <a:ext cx="2741930" cy="4749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Cs w:val="22"/>
                                </w:rPr>
                              </w:pPr>
                              <w:r>
                                <w:rPr>
                                  <w:rFonts w:hint="eastAsia" w:cs="Times New Roman"/>
                                  <w:szCs w:val="22"/>
                                </w:rPr>
                                <w:t>陆河县人民政府、陆蓄公司、中南院成立工作领导小组和联合调查组</w:t>
                              </w:r>
                            </w:p>
                          </w:txbxContent>
                        </wps:txbx>
                        <wps:bodyPr upright="1"/>
                      </wps:wsp>
                      <wps:wsp>
                        <wps:cNvPr id="8" name="流程图: 过程 8"/>
                        <wps:cNvSpPr/>
                        <wps:spPr>
                          <a:xfrm>
                            <a:off x="870585" y="2695575"/>
                            <a:ext cx="2800350" cy="3003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Cs w:val="22"/>
                                </w:rPr>
                              </w:pPr>
                              <w:r>
                                <w:rPr>
                                  <w:rFonts w:hint="eastAsia" w:cs="Times New Roman"/>
                                  <w:szCs w:val="22"/>
                                </w:rPr>
                                <w:t>开展调查人员培训及移民政策宣传工作</w:t>
                              </w:r>
                            </w:p>
                          </w:txbxContent>
                        </wps:txbx>
                        <wps:bodyPr upright="1"/>
                      </wps:wsp>
                      <wps:wsp>
                        <wps:cNvPr id="9" name="矩形 9"/>
                        <wps:cNvSpPr/>
                        <wps:spPr>
                          <a:xfrm>
                            <a:off x="822960" y="3816350"/>
                            <a:ext cx="2867025"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Cs w:val="22"/>
                                </w:rPr>
                              </w:pPr>
                              <w:r>
                                <w:rPr>
                                  <w:rFonts w:hint="eastAsia" w:cs="Times New Roman"/>
                                  <w:szCs w:val="22"/>
                                </w:rPr>
                                <w:t>联合调查组对分户调查成果现场签字确认</w:t>
                              </w:r>
                            </w:p>
                          </w:txbxContent>
                        </wps:txbx>
                        <wps:bodyPr upright="1"/>
                      </wps:wsp>
                      <wps:wsp>
                        <wps:cNvPr id="10" name="流程图: 过程 10"/>
                        <wps:cNvSpPr/>
                        <wps:spPr>
                          <a:xfrm>
                            <a:off x="222885" y="4382135"/>
                            <a:ext cx="4022725" cy="3181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Cs w:val="22"/>
                                </w:rPr>
                              </w:pPr>
                              <w:r>
                                <w:rPr>
                                  <w:rFonts w:hint="eastAsia" w:cs="Times New Roman"/>
                                  <w:szCs w:val="22"/>
                                </w:rPr>
                                <w:t>对实物指标调查成果张榜公示、复核、确认</w:t>
                              </w:r>
                            </w:p>
                          </w:txbxContent>
                        </wps:txbx>
                        <wps:bodyPr upright="1"/>
                      </wps:wsp>
                      <wps:wsp>
                        <wps:cNvPr id="11" name="流程图: 过程 11"/>
                        <wps:cNvSpPr/>
                        <wps:spPr>
                          <a:xfrm>
                            <a:off x="89535" y="3221990"/>
                            <a:ext cx="422910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Cs w:val="22"/>
                                </w:rPr>
                              </w:pPr>
                              <w:r>
                                <w:rPr>
                                  <w:rFonts w:hint="eastAsia" w:cs="Times New Roman"/>
                                  <w:szCs w:val="22"/>
                                </w:rPr>
                                <w:t>调查界桩验收、委托保管及实物指标调查、移民安置意愿调查工作</w:t>
                              </w:r>
                            </w:p>
                          </w:txbxContent>
                        </wps:txbx>
                        <wps:bodyPr upright="1"/>
                      </wps:wsp>
                      <wps:wsp>
                        <wps:cNvPr id="12" name="流程图: 过程 12"/>
                        <wps:cNvSpPr/>
                        <wps:spPr>
                          <a:xfrm>
                            <a:off x="956310" y="5005070"/>
                            <a:ext cx="251460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Cs w:val="22"/>
                                </w:rPr>
                              </w:pPr>
                              <w:r>
                                <w:rPr>
                                  <w:rFonts w:hint="eastAsia" w:cs="Times New Roman"/>
                                  <w:szCs w:val="22"/>
                                </w:rPr>
                                <w:t>编制实物指标调查汇总成果</w:t>
                              </w:r>
                            </w:p>
                            <w:p>
                              <w:pPr>
                                <w:jc w:val="center"/>
                                <w:rPr>
                                  <w:rFonts w:cs="Times New Roman"/>
                                  <w:szCs w:val="22"/>
                                </w:rPr>
                              </w:pPr>
                            </w:p>
                          </w:txbxContent>
                        </wps:txbx>
                        <wps:bodyPr upright="1"/>
                      </wps:wsp>
                      <wps:wsp>
                        <wps:cNvPr id="13" name="流程图: 过程 13"/>
                        <wps:cNvSpPr/>
                        <wps:spPr>
                          <a:xfrm>
                            <a:off x="956310" y="5599430"/>
                            <a:ext cx="2514600" cy="5232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Cs w:val="22"/>
                                </w:rPr>
                              </w:pPr>
                              <w:r>
                                <w:rPr>
                                  <w:rFonts w:hint="eastAsia" w:cs="Times New Roman"/>
                                  <w:szCs w:val="22"/>
                                </w:rPr>
                                <w:t>联合调查组对实物指标调查汇总成果</w:t>
                              </w:r>
                            </w:p>
                            <w:p>
                              <w:pPr>
                                <w:jc w:val="center"/>
                                <w:rPr>
                                  <w:rFonts w:hint="eastAsia" w:cs="Times New Roman"/>
                                  <w:szCs w:val="22"/>
                                </w:rPr>
                              </w:pPr>
                              <w:r>
                                <w:rPr>
                                  <w:rFonts w:hint="eastAsia" w:cs="Times New Roman"/>
                                  <w:szCs w:val="22"/>
                                </w:rPr>
                                <w:t>签字认可</w:t>
                              </w:r>
                            </w:p>
                          </w:txbxContent>
                        </wps:txbx>
                        <wps:bodyPr upright="1"/>
                      </wps:wsp>
                      <wps:wsp>
                        <wps:cNvPr id="52" name="流程图: 过程 52"/>
                        <wps:cNvSpPr/>
                        <wps:spPr>
                          <a:xfrm>
                            <a:off x="130175" y="1108710"/>
                            <a:ext cx="4067175" cy="4953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Cs w:val="22"/>
                                </w:rPr>
                              </w:pPr>
                              <w:r>
                                <w:rPr>
                                  <w:rFonts w:hint="eastAsia" w:cs="Times New Roman"/>
                                  <w:szCs w:val="22"/>
                                </w:rPr>
                                <w:t>根据审定的《实物指标调查细则》开展工作，</w:t>
                              </w:r>
                            </w:p>
                            <w:p>
                              <w:pPr>
                                <w:jc w:val="center"/>
                                <w:rPr>
                                  <w:rFonts w:hint="eastAsia" w:cs="Times New Roman"/>
                                  <w:szCs w:val="22"/>
                                </w:rPr>
                              </w:pPr>
                              <w:r>
                                <w:rPr>
                                  <w:rFonts w:hint="eastAsia" w:cs="Times New Roman"/>
                                  <w:szCs w:val="22"/>
                                </w:rPr>
                                <w:t>委托具有相关资质单位进行建设征地范围界桩测设</w:t>
                              </w:r>
                            </w:p>
                          </w:txbxContent>
                        </wps:txbx>
                        <wps:bodyPr upright="1"/>
                      </wps:wsp>
                      <wps:wsp>
                        <wps:cNvPr id="53" name="流程图: 过程 53"/>
                        <wps:cNvSpPr/>
                        <wps:spPr>
                          <a:xfrm>
                            <a:off x="654050" y="342265"/>
                            <a:ext cx="3084830" cy="45974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eastAsia" w:cs="Times New Roman"/>
                                  <w:szCs w:val="22"/>
                                </w:rPr>
                              </w:pPr>
                              <w:r>
                                <w:rPr>
                                  <w:rFonts w:hint="eastAsia" w:cs="Times New Roman"/>
                                  <w:szCs w:val="22"/>
                                </w:rPr>
                                <w:t>《实物指标</w:t>
                              </w:r>
                              <w:r>
                                <w:rPr>
                                  <w:rFonts w:cs="Times New Roman"/>
                                  <w:szCs w:val="22"/>
                                </w:rPr>
                                <w:t>调查细则</w:t>
                              </w:r>
                              <w:r>
                                <w:rPr>
                                  <w:rFonts w:hint="eastAsia" w:cs="Times New Roman"/>
                                  <w:szCs w:val="22"/>
                                </w:rPr>
                                <w:t>》审查，项目法人提出实物指标调查申请，并对实物调查工作作出安排</w:t>
                              </w:r>
                            </w:p>
                          </w:txbxContent>
                        </wps:txbx>
                        <wps:bodyPr upright="1"/>
                      </wps:wsp>
                      <wps:wsp>
                        <wps:cNvPr id="54" name="直接箭头连接符 54"/>
                        <wps:cNvCnPr/>
                        <wps:spPr>
                          <a:xfrm>
                            <a:off x="2197100" y="802005"/>
                            <a:ext cx="635" cy="274955"/>
                          </a:xfrm>
                          <a:prstGeom prst="straightConnector1">
                            <a:avLst/>
                          </a:prstGeom>
                          <a:ln w="9525" cap="flat" cmpd="sng">
                            <a:solidFill>
                              <a:srgbClr val="000000"/>
                            </a:solidFill>
                            <a:prstDash val="solid"/>
                            <a:headEnd type="none" w="med" len="med"/>
                            <a:tailEnd type="triangle" w="med" len="med"/>
                          </a:ln>
                        </wps:spPr>
                        <wps:bodyPr/>
                      </wps:wsp>
                      <wps:wsp>
                        <wps:cNvPr id="55" name="直接箭头连接符 55"/>
                        <wps:cNvCnPr/>
                        <wps:spPr>
                          <a:xfrm flipH="1">
                            <a:off x="2223135" y="6155690"/>
                            <a:ext cx="9525" cy="296545"/>
                          </a:xfrm>
                          <a:prstGeom prst="straightConnector1">
                            <a:avLst/>
                          </a:prstGeom>
                          <a:ln w="9525" cap="flat" cmpd="sng">
                            <a:solidFill>
                              <a:srgbClr val="000000"/>
                            </a:solidFill>
                            <a:prstDash val="solid"/>
                            <a:headEnd type="none" w="med" len="med"/>
                            <a:tailEnd type="triangle" w="med" len="med"/>
                          </a:ln>
                        </wps:spPr>
                        <wps:bodyPr/>
                      </wps:wsp>
                      <wps:wsp>
                        <wps:cNvPr id="56" name="直接连接符 56"/>
                        <wps:cNvCnPr/>
                        <wps:spPr>
                          <a:xfrm>
                            <a:off x="2216150" y="1613535"/>
                            <a:ext cx="635" cy="297180"/>
                          </a:xfrm>
                          <a:prstGeom prst="line">
                            <a:avLst/>
                          </a:prstGeom>
                          <a:ln w="9525" cap="flat" cmpd="sng">
                            <a:solidFill>
                              <a:srgbClr val="000000"/>
                            </a:solidFill>
                            <a:prstDash val="solid"/>
                            <a:headEnd type="none" w="med" len="med"/>
                            <a:tailEnd type="triangle" w="med" len="med"/>
                          </a:ln>
                        </wps:spPr>
                        <wps:bodyPr upright="1"/>
                      </wps:wsp>
                      <wps:wsp>
                        <wps:cNvPr id="57" name="直接连接符 57"/>
                        <wps:cNvCnPr/>
                        <wps:spPr>
                          <a:xfrm>
                            <a:off x="2222500" y="3519170"/>
                            <a:ext cx="635" cy="297180"/>
                          </a:xfrm>
                          <a:prstGeom prst="line">
                            <a:avLst/>
                          </a:prstGeom>
                          <a:ln w="9525" cap="flat" cmpd="sng">
                            <a:solidFill>
                              <a:srgbClr val="000000"/>
                            </a:solidFill>
                            <a:prstDash val="solid"/>
                            <a:headEnd type="none" w="med" len="med"/>
                            <a:tailEnd type="triangle" w="med" len="med"/>
                          </a:ln>
                        </wps:spPr>
                        <wps:bodyPr upright="1"/>
                      </wps:wsp>
                      <wps:wsp>
                        <wps:cNvPr id="58" name="流程图: 终止 58"/>
                        <wps:cNvSpPr/>
                        <wps:spPr>
                          <a:xfrm>
                            <a:off x="680085" y="6471920"/>
                            <a:ext cx="3200400" cy="5943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Cs w:val="22"/>
                                </w:rPr>
                              </w:pPr>
                              <w:r>
                                <w:rPr>
                                  <w:rFonts w:hint="eastAsia" w:cs="Times New Roman"/>
                                  <w:szCs w:val="22"/>
                                </w:rPr>
                                <w:t>陆河县人民政府对实物指标调查汇总成果签署意见</w:t>
                              </w:r>
                            </w:p>
                            <w:p>
                              <w:pPr>
                                <w:rPr>
                                  <w:rFonts w:cs="Times New Roman"/>
                                  <w:szCs w:val="22"/>
                                </w:rPr>
                              </w:pPr>
                            </w:p>
                          </w:txbxContent>
                        </wps:txbx>
                        <wps:bodyPr lIns="54000" tIns="10800" rIns="54000" bIns="10800" upright="1"/>
                      </wps:wsp>
                      <wps:wsp>
                        <wps:cNvPr id="59" name="直接箭头连接符 59"/>
                        <wps:cNvCnPr/>
                        <wps:spPr>
                          <a:xfrm flipH="1">
                            <a:off x="2223135" y="5302250"/>
                            <a:ext cx="9525" cy="296545"/>
                          </a:xfrm>
                          <a:prstGeom prst="straightConnector1">
                            <a:avLst/>
                          </a:prstGeom>
                          <a:ln w="9525" cap="flat" cmpd="sng">
                            <a:solidFill>
                              <a:srgbClr val="000000"/>
                            </a:solidFill>
                            <a:prstDash val="solid"/>
                            <a:headEnd type="none" w="med" len="med"/>
                            <a:tailEnd type="triangle" w="med" len="med"/>
                          </a:ln>
                        </wps:spPr>
                        <wps:bodyPr/>
                      </wps:wsp>
                      <wps:wsp>
                        <wps:cNvPr id="60" name="直接箭头连接符 60"/>
                        <wps:cNvCnPr/>
                        <wps:spPr>
                          <a:xfrm flipH="1">
                            <a:off x="2223135" y="4707890"/>
                            <a:ext cx="9525" cy="296545"/>
                          </a:xfrm>
                          <a:prstGeom prst="straightConnector1">
                            <a:avLst/>
                          </a:prstGeom>
                          <a:ln w="9525" cap="flat" cmpd="sng">
                            <a:solidFill>
                              <a:srgbClr val="000000"/>
                            </a:solidFill>
                            <a:prstDash val="solid"/>
                            <a:headEnd type="none" w="med" len="med"/>
                            <a:tailEnd type="triangle" w="med" len="med"/>
                          </a:ln>
                        </wps:spPr>
                        <wps:bodyPr/>
                      </wps:wsp>
                      <wps:wsp>
                        <wps:cNvPr id="61" name="直接箭头连接符 61"/>
                        <wps:cNvCnPr/>
                        <wps:spPr>
                          <a:xfrm flipH="1">
                            <a:off x="2223135" y="4094480"/>
                            <a:ext cx="9525" cy="296545"/>
                          </a:xfrm>
                          <a:prstGeom prst="straightConnector1">
                            <a:avLst/>
                          </a:prstGeom>
                          <a:ln w="9525" cap="flat" cmpd="sng">
                            <a:solidFill>
                              <a:srgbClr val="000000"/>
                            </a:solidFill>
                            <a:prstDash val="solid"/>
                            <a:headEnd type="none" w="med" len="med"/>
                            <a:tailEnd type="triangle" w="med" len="med"/>
                          </a:ln>
                        </wps:spPr>
                        <wps:bodyPr/>
                      </wps:wsp>
                      <wps:wsp>
                        <wps:cNvPr id="62" name="直接箭头连接符 62"/>
                        <wps:cNvCnPr/>
                        <wps:spPr>
                          <a:xfrm flipH="1">
                            <a:off x="2223135" y="2407920"/>
                            <a:ext cx="9525" cy="296545"/>
                          </a:xfrm>
                          <a:prstGeom prst="straightConnector1">
                            <a:avLst/>
                          </a:prstGeom>
                          <a:ln w="9525" cap="flat" cmpd="sng">
                            <a:solidFill>
                              <a:srgbClr val="000000"/>
                            </a:solidFill>
                            <a:prstDash val="solid"/>
                            <a:headEnd type="none" w="med" len="med"/>
                            <a:tailEnd type="triangle" w="med" len="med"/>
                          </a:ln>
                        </wps:spPr>
                        <wps:bodyPr/>
                      </wps:wsp>
                      <wps:wsp>
                        <wps:cNvPr id="63" name="直接连接符 63"/>
                        <wps:cNvCnPr/>
                        <wps:spPr>
                          <a:xfrm>
                            <a:off x="2221865" y="2995930"/>
                            <a:ext cx="1270" cy="226060"/>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187.5pt;margin-top:9.75pt;height:573.3pt;width:361.2pt;mso-position-horizontal-relative:char;mso-position-vertical-relative:line;z-index:251660288;mso-width-relative:page;mso-height-relative:page;" coordsize="4587240,7280910" editas="canvas" o:gfxdata="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&#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CWWAcr3QAAAAwBAAAPAAAAAAAAAAEAIAAAACIAAABk&#10;cnMvZG93bnJldi54bWxQSwECFAAUAAAACACHTuJAJ90LLAMGAACeLgAADgAAAAAAAAABACAAAAAs&#10;AQAAZHJzL2Uyb0RvYy54bWxQSwUGAAAAAAYABgBZAQAAoQkAAAAA&#10;">
                <o:lock v:ext="edit" aspectratio="f"/>
                <v:shape id="_x0000_s1026" o:spid="_x0000_s1026" style="position:absolute;left:0;top:0;height:7280910;width:4587240;" filled="f" stroked="f" coordsize="21600,21600" o:gfxdata="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WWAcr3QAAAAwBAAAPAAAAAAAAAAEAIAAAACIAAABkcnMvZG93bnJldi54bWxQSwECFAAUAAAA&#10;CACHTuJAFP2C2bIFAAAZLgAADgAAAAAAAAABACAAAAAsAQAAZHJzL2Uyb0RvYy54bWxQSwUGAAAA&#10;AAYABgBZAQAAUAkAAAAA&#10;">
                  <v:fill on="f" focussize="0,0"/>
                  <v:stroke on="f"/>
                  <v:imagedata o:title=""/>
                  <o:lock v:ext="edit" aspectratio="t"/>
                </v:shape>
                <v:shape id="_x0000_s1026" o:spid="_x0000_s1026" o:spt="109" type="#_x0000_t109" style="position:absolute;left:882650;top:1933575;height:474980;width:2741930;" fillcolor="#FFFFFF" filled="t" stroked="t" coordsize="21600,21600" o:gfxdata="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qD+I3AAAAAwBAAAPAAAAAAAAAAEAIAAAACIAAABkcnMvZG93bnJldi54bWxQSwECFAAU&#10;AAAACACHTuJAVB32kyYCAABLBAAADgAAAAAAAAABACAAAAArAQAAZHJzL2Uyb0RvYy54bWxQSwUG&#10;AAAAAAYABgBZAQAAwwUAAAAA&#10;">
                  <v:fill on="t" focussize="0,0"/>
                  <v:stroke color="#000000" joinstyle="miter"/>
                  <v:imagedata o:title=""/>
                  <o:lock v:ext="edit" aspectratio="f"/>
                  <v:textbox>
                    <w:txbxContent>
                      <w:p>
                        <w:pPr>
                          <w:jc w:val="center"/>
                          <w:rPr>
                            <w:rFonts w:hint="eastAsia" w:cs="Times New Roman"/>
                            <w:szCs w:val="22"/>
                          </w:rPr>
                        </w:pPr>
                        <w:r>
                          <w:rPr>
                            <w:rFonts w:hint="eastAsia" w:cs="Times New Roman"/>
                            <w:szCs w:val="22"/>
                          </w:rPr>
                          <w:t>陆河县人民政府、陆蓄公司、中南院成立工作领导小组和联合调查组</w:t>
                        </w:r>
                      </w:p>
                    </w:txbxContent>
                  </v:textbox>
                </v:shape>
                <v:shape id="_x0000_s1026" o:spid="_x0000_s1026" o:spt="109" type="#_x0000_t109" style="position:absolute;left:870585;top:2695575;height:300355;width:2800350;" fillcolor="#FFFFFF" filled="t" stroked="t" coordsize="21600,21600" o:gfxdata="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qD+I3AAAAAwBAAAPAAAAAAAAAAEAIAAAACIAAABkcnMvZG93bnJldi54bWxQSwECFAAUAAAA&#10;CACHTuJA5rA2OyMCAABLBAAADgAAAAAAAAABACAAAAArAQAAZHJzL2Uyb0RvYy54bWxQSwUGAAAA&#10;AAYABgBZAQAAwAUAAAAA&#10;">
                  <v:fill on="t" focussize="0,0"/>
                  <v:stroke color="#000000" joinstyle="miter"/>
                  <v:imagedata o:title=""/>
                  <o:lock v:ext="edit" aspectratio="f"/>
                  <v:textbox>
                    <w:txbxContent>
                      <w:p>
                        <w:pPr>
                          <w:jc w:val="center"/>
                          <w:rPr>
                            <w:rFonts w:hint="eastAsia" w:cs="Times New Roman"/>
                            <w:szCs w:val="22"/>
                          </w:rPr>
                        </w:pPr>
                        <w:r>
                          <w:rPr>
                            <w:rFonts w:hint="eastAsia" w:cs="Times New Roman"/>
                            <w:szCs w:val="22"/>
                          </w:rPr>
                          <w:t>开展调查人员培训及移民政策宣传工作</w:t>
                        </w:r>
                      </w:p>
                    </w:txbxContent>
                  </v:textbox>
                </v:shape>
                <v:rect id="_x0000_s1026" o:spid="_x0000_s1026" o:spt="1" style="position:absolute;left:822960;top:3816350;height:263525;width:2867025;" fillcolor="#FFFFFF" filled="t" stroked="t" coordsize="21600,21600" o:gfxdata="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hDIbaAAAADAEAAA8AAAAAAAAAAQAgAAAA&#10;IgAAAGRycy9kb3ducmV2LnhtbFBLAQIUABQAAAAIAIdO4kBuS9xgCQIAADQEAAAOAAAAAAAAAAEA&#10;IAAAACkBAABkcnMvZTJvRG9jLnhtbFBLBQYAAAAABgAGAFkBAACkBQAAAAA=&#10;">
                  <v:fill on="t" focussize="0,0"/>
                  <v:stroke color="#000000" joinstyle="miter"/>
                  <v:imagedata o:title=""/>
                  <o:lock v:ext="edit" aspectratio="f"/>
                  <v:textbox>
                    <w:txbxContent>
                      <w:p>
                        <w:pPr>
                          <w:jc w:val="center"/>
                          <w:rPr>
                            <w:rFonts w:hint="eastAsia" w:cs="Times New Roman"/>
                            <w:szCs w:val="22"/>
                          </w:rPr>
                        </w:pPr>
                        <w:r>
                          <w:rPr>
                            <w:rFonts w:hint="eastAsia" w:cs="Times New Roman"/>
                            <w:szCs w:val="22"/>
                          </w:rPr>
                          <w:t>联合调查组对分户调查成果现场签字确认</w:t>
                        </w:r>
                      </w:p>
                    </w:txbxContent>
                  </v:textbox>
                </v:rect>
                <v:shape id="_x0000_s1026" o:spid="_x0000_s1026" o:spt="109" type="#_x0000_t109" style="position:absolute;left:222885;top:4382135;height:318135;width:4022725;" fillcolor="#FFFFFF" filled="t" stroked="t" coordsize="21600,21600" o:gfxdata="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qD+I3AAAAAwBAAAPAAAAAAAAAAEAIAAAACIAAABkcnMvZG93bnJldi54bWxQSwECFAAUAAAA&#10;CACHTuJAjE4hriMCAABNBAAADgAAAAAAAAABACAAAAArAQAAZHJzL2Uyb0RvYy54bWxQSwUGAAAA&#10;AAYABgBZAQAAwAUAAAAA&#10;">
                  <v:fill on="t" focussize="0,0"/>
                  <v:stroke color="#000000" joinstyle="miter"/>
                  <v:imagedata o:title=""/>
                  <o:lock v:ext="edit" aspectratio="f"/>
                  <v:textbox>
                    <w:txbxContent>
                      <w:p>
                        <w:pPr>
                          <w:jc w:val="center"/>
                          <w:rPr>
                            <w:rFonts w:hint="eastAsia" w:cs="Times New Roman"/>
                            <w:szCs w:val="22"/>
                          </w:rPr>
                        </w:pPr>
                        <w:r>
                          <w:rPr>
                            <w:rFonts w:hint="eastAsia" w:cs="Times New Roman"/>
                            <w:szCs w:val="22"/>
                          </w:rPr>
                          <w:t>对实物指标调查成果张榜公示、复核、确认</w:t>
                        </w:r>
                      </w:p>
                    </w:txbxContent>
                  </v:textbox>
                </v:shape>
                <v:shape id="_x0000_s1026" o:spid="_x0000_s1026" o:spt="109" type="#_x0000_t109" style="position:absolute;left:89535;top:3221990;height:297180;width:4229100;" fillcolor="#FFFFFF" filled="t" stroked="t" coordsize="21600,21600" o:gfxdata="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GoP4jcAAAADAEAAA8AAAAAAAAAAQAgAAAAIgAAAGRycy9kb3ducmV2LnhtbFBLAQIUABQA&#10;AAAIAIdO4kDzeoUXJQIAAEwEAAAOAAAAAAAAAAEAIAAAACsBAABkcnMvZTJvRG9jLnhtbFBLBQYA&#10;AAAABgAGAFkBAADCBQAAAAA=&#10;">
                  <v:fill on="t" focussize="0,0"/>
                  <v:stroke color="#000000" joinstyle="miter"/>
                  <v:imagedata o:title=""/>
                  <o:lock v:ext="edit" aspectratio="f"/>
                  <v:textbox>
                    <w:txbxContent>
                      <w:p>
                        <w:pPr>
                          <w:jc w:val="center"/>
                          <w:rPr>
                            <w:rFonts w:cs="Times New Roman"/>
                            <w:szCs w:val="22"/>
                          </w:rPr>
                        </w:pPr>
                        <w:r>
                          <w:rPr>
                            <w:rFonts w:hint="eastAsia" w:cs="Times New Roman"/>
                            <w:szCs w:val="22"/>
                          </w:rPr>
                          <w:t>调查界桩验收、委托保管及实物指标调查、移民安置意愿调查工作</w:t>
                        </w:r>
                      </w:p>
                    </w:txbxContent>
                  </v:textbox>
                </v:shape>
                <v:shape id="_x0000_s1026" o:spid="_x0000_s1026" o:spt="109" type="#_x0000_t109" style="position:absolute;left:956310;top:5005070;height:297180;width:2514600;" fillcolor="#FFFFFF" filled="t" stroked="t" coordsize="21600,21600" o:gfxdata="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GoP4jcAAAADAEAAA8AAAAAAAAAAQAgAAAAIgAAAGRycy9kb3ducmV2LnhtbFBLAQIUABQA&#10;AAAIAIdO4kCZtfCCJQIAAE0EAAAOAAAAAAAAAAEAIAAAACsBAABkcnMvZTJvRG9jLnhtbFBLBQYA&#10;AAAABgAGAFkBAADCBQAAAAA=&#10;">
                  <v:fill on="t" focussize="0,0"/>
                  <v:stroke color="#000000" joinstyle="miter"/>
                  <v:imagedata o:title=""/>
                  <o:lock v:ext="edit" aspectratio="f"/>
                  <v:textbox>
                    <w:txbxContent>
                      <w:p>
                        <w:pPr>
                          <w:jc w:val="center"/>
                          <w:rPr>
                            <w:rFonts w:hint="eastAsia" w:cs="Times New Roman"/>
                            <w:szCs w:val="22"/>
                          </w:rPr>
                        </w:pPr>
                        <w:r>
                          <w:rPr>
                            <w:rFonts w:hint="eastAsia" w:cs="Times New Roman"/>
                            <w:szCs w:val="22"/>
                          </w:rPr>
                          <w:t>编制实物指标调查汇总成果</w:t>
                        </w:r>
                      </w:p>
                      <w:p>
                        <w:pPr>
                          <w:jc w:val="center"/>
                          <w:rPr>
                            <w:rFonts w:cs="Times New Roman"/>
                            <w:szCs w:val="22"/>
                          </w:rPr>
                        </w:pPr>
                      </w:p>
                    </w:txbxContent>
                  </v:textbox>
                </v:shape>
                <v:shape id="_x0000_s1026" o:spid="_x0000_s1026" o:spt="109" type="#_x0000_t109" style="position:absolute;left:956310;top:5599430;height:523240;width:2514600;" fillcolor="#FFFFFF" filled="t" stroked="t" coordsize="21600,21600" o:gfxdata="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ag/iNwAAAAMAQAADwAAAAAAAAABACAAAAAiAAAAZHJzL2Rvd25yZXYueG1sUEsBAhQAFAAA&#10;AAgAh07iQG2NTo4kAgAATQQAAA4AAAAAAAAAAQAgAAAAKwEAAGRycy9lMm9Eb2MueG1sUEsFBgAA&#10;AAAGAAYAWQEAAMEFAAAAAA==&#10;">
                  <v:fill on="t" focussize="0,0"/>
                  <v:stroke color="#000000" joinstyle="miter"/>
                  <v:imagedata o:title=""/>
                  <o:lock v:ext="edit" aspectratio="f"/>
                  <v:textbox>
                    <w:txbxContent>
                      <w:p>
                        <w:pPr>
                          <w:jc w:val="center"/>
                          <w:rPr>
                            <w:rFonts w:hint="eastAsia" w:cs="Times New Roman"/>
                            <w:szCs w:val="22"/>
                          </w:rPr>
                        </w:pPr>
                        <w:r>
                          <w:rPr>
                            <w:rFonts w:hint="eastAsia" w:cs="Times New Roman"/>
                            <w:szCs w:val="22"/>
                          </w:rPr>
                          <w:t>联合调查组对实物指标调查汇总成果</w:t>
                        </w:r>
                      </w:p>
                      <w:p>
                        <w:pPr>
                          <w:jc w:val="center"/>
                          <w:rPr>
                            <w:rFonts w:hint="eastAsia" w:cs="Times New Roman"/>
                            <w:szCs w:val="22"/>
                          </w:rPr>
                        </w:pPr>
                        <w:r>
                          <w:rPr>
                            <w:rFonts w:hint="eastAsia" w:cs="Times New Roman"/>
                            <w:szCs w:val="22"/>
                          </w:rPr>
                          <w:t>签字认可</w:t>
                        </w:r>
                      </w:p>
                    </w:txbxContent>
                  </v:textbox>
                </v:shape>
                <v:shape id="_x0000_s1026" o:spid="_x0000_s1026" o:spt="109" type="#_x0000_t109" style="position:absolute;left:130175;top:1108710;height:495300;width:4067175;" fillcolor="#FFFFFF" filled="t" stroked="t" coordsize="21600,21600" o:gfxdata="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GoP4jcAAAADAEAAA8AAAAAAAAAAQAgAAAAIgAAAGRycy9kb3ducmV2LnhtbFBLAQIUABQA&#10;AAAIAIdO4kB1FEzfJQIAAE0EAAAOAAAAAAAAAAEAIAAAACsBAABkcnMvZTJvRG9jLnhtbFBLBQYA&#10;AAAABgAGAFkBAADCBQAAAAA=&#10;">
                  <v:fill on="t" focussize="0,0"/>
                  <v:stroke color="#000000" joinstyle="miter"/>
                  <v:imagedata o:title=""/>
                  <o:lock v:ext="edit" aspectratio="f"/>
                  <v:textbox>
                    <w:txbxContent>
                      <w:p>
                        <w:pPr>
                          <w:jc w:val="center"/>
                          <w:rPr>
                            <w:rFonts w:hint="eastAsia" w:cs="Times New Roman"/>
                            <w:szCs w:val="22"/>
                          </w:rPr>
                        </w:pPr>
                        <w:r>
                          <w:rPr>
                            <w:rFonts w:hint="eastAsia" w:cs="Times New Roman"/>
                            <w:szCs w:val="22"/>
                          </w:rPr>
                          <w:t>根据审定的《实物指标调查细则》开展工作，</w:t>
                        </w:r>
                      </w:p>
                      <w:p>
                        <w:pPr>
                          <w:jc w:val="center"/>
                          <w:rPr>
                            <w:rFonts w:hint="eastAsia" w:cs="Times New Roman"/>
                            <w:szCs w:val="22"/>
                          </w:rPr>
                        </w:pPr>
                        <w:r>
                          <w:rPr>
                            <w:rFonts w:hint="eastAsia" w:cs="Times New Roman"/>
                            <w:szCs w:val="22"/>
                          </w:rPr>
                          <w:t>委托具有相关资质单位进行建设征地范围界桩测设</w:t>
                        </w:r>
                      </w:p>
                    </w:txbxContent>
                  </v:textbox>
                </v:shape>
                <v:shape id="_x0000_s1026" o:spid="_x0000_s1026" o:spt="109" type="#_x0000_t109" style="position:absolute;left:654050;top:342265;height:459740;width:3084830;" filled="f" stroked="t" coordsize="21600,21600" o:gfxdata="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vi&#10;9gHaAAAADAEAAA8AAAAAAAAAAQAgAAAAIgAAAGRycy9kb3ducmV2LnhtbFBLAQIUABQAAAAIAIdO&#10;4kCHmymIIQIAACMEAAAOAAAAAAAAAAEAIAAAACkBAABkcnMvZTJvRG9jLnhtbFBLBQYAAAAABgAG&#10;AFkBAAC8BQAAAAA=&#10;">
                  <v:fill on="f" focussize="0,0"/>
                  <v:stroke color="#000000" joinstyle="miter"/>
                  <v:imagedata o:title=""/>
                  <o:lock v:ext="edit" aspectratio="f"/>
                  <v:textbox>
                    <w:txbxContent>
                      <w:p>
                        <w:pPr>
                          <w:jc w:val="center"/>
                          <w:rPr>
                            <w:rFonts w:hint="eastAsia" w:cs="Times New Roman"/>
                            <w:szCs w:val="22"/>
                          </w:rPr>
                        </w:pPr>
                        <w:r>
                          <w:rPr>
                            <w:rFonts w:hint="eastAsia" w:cs="Times New Roman"/>
                            <w:szCs w:val="22"/>
                          </w:rPr>
                          <w:t>《实物指标</w:t>
                        </w:r>
                        <w:r>
                          <w:rPr>
                            <w:rFonts w:cs="Times New Roman"/>
                            <w:szCs w:val="22"/>
                          </w:rPr>
                          <w:t>调查细则</w:t>
                        </w:r>
                        <w:r>
                          <w:rPr>
                            <w:rFonts w:hint="eastAsia" w:cs="Times New Roman"/>
                            <w:szCs w:val="22"/>
                          </w:rPr>
                          <w:t>》审查，项目法人提出实物指标调查申请，并对实物调查工作作出安排</w:t>
                        </w:r>
                      </w:p>
                    </w:txbxContent>
                  </v:textbox>
                </v:shape>
                <v:shape id="_x0000_s1026" o:spid="_x0000_s1026" o:spt="32" type="#_x0000_t32" style="position:absolute;left:2197100;top:802005;height:274955;width:635;" filled="f" stroked="t" coordsize="21600,21600" o:gfxdata="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aNDg3AAAAAwBAAAP&#10;AAAAAAAAAAEAIAAAACIAAABkcnMvZG93bnJldi54bWxQSwECFAAUAAAACACHTuJA6E2mOBQCAAD+&#10;AwAADgAAAAAAAAABACAAAAArAQAAZHJzL2Uyb0RvYy54bWxQSwUGAAAAAAYABgBZAQAAsQUAAAAA&#10;">
                  <v:fill on="f" focussize="0,0"/>
                  <v:stroke color="#000000" joinstyle="round" endarrow="block"/>
                  <v:imagedata o:title=""/>
                  <o:lock v:ext="edit" aspectratio="f"/>
                </v:shape>
                <v:shape id="_x0000_s1026" o:spid="_x0000_s1026" o:spt="32" type="#_x0000_t32" style="position:absolute;left:2223135;top:6155690;flip:x;height:296545;width:9525;" filled="f" stroked="t" coordsize="21600,21600" o:gfxdata="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2oRljcAAAA&#10;DAEAAA8AAAAAAAAAAQAgAAAAIgAAAGRycy9kb3ducmV2LnhtbFBLAQIUABQAAAAIAIdO4kCRjnbL&#10;GQIAAAoEAAAOAAAAAAAAAAEAIAAAACsBAABkcnMvZTJvRG9jLnhtbFBLBQYAAAAABgAGAFkBAAC2&#10;BQAAAAA=&#10;">
                  <v:fill on="f" focussize="0,0"/>
                  <v:stroke color="#000000" joinstyle="round" endarrow="block"/>
                  <v:imagedata o:title=""/>
                  <o:lock v:ext="edit" aspectratio="f"/>
                </v:shape>
                <v:line id="_x0000_s1026" o:spid="_x0000_s1026" o:spt="20" style="position:absolute;left:2216150;top:1613535;height:297180;width:635;" filled="f" stroked="t" coordsize="21600,21600" o:gfxdata="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Negjo3QAAAAwBAAAPAAAAAAAA&#10;AAEAIAAAACIAAABkcnMvZG93bnJldi54bWxQSwECFAAUAAAACACHTuJA1jDHig0CAAD3AwAADgAA&#10;AAAAAAABACAAAAAsAQAAZHJzL2Uyb0RvYy54bWxQSwUGAAAAAAYABgBZAQAAqwUAAAAA&#10;">
                  <v:fill on="f" focussize="0,0"/>
                  <v:stroke color="#000000" joinstyle="round" endarrow="block"/>
                  <v:imagedata o:title=""/>
                  <o:lock v:ext="edit" aspectratio="f"/>
                </v:line>
                <v:line id="_x0000_s1026" o:spid="_x0000_s1026" o:spt="20" style="position:absolute;left:2222500;top:3519170;height:297180;width:635;" filled="f" stroked="t" coordsize="21600,21600" o:gfxdata="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16COjdAAAADAEAAA8AAAAAAAAA&#10;AQAgAAAAIgAAAGRycy9kb3ducmV2LnhtbFBLAQIUABQAAAAIAIdO4kAfOu6YDAIAAPcDAAAOAAAA&#10;AAAAAAEAIAAAACwBAABkcnMvZTJvRG9jLnhtbFBLBQYAAAAABgAGAFkBAACqBQAAAAA=&#10;">
                  <v:fill on="f" focussize="0,0"/>
                  <v:stroke color="#000000" joinstyle="round" endarrow="block"/>
                  <v:imagedata o:title=""/>
                  <o:lock v:ext="edit" aspectratio="f"/>
                </v:line>
                <v:shape id="_x0000_s1026" o:spid="_x0000_s1026" o:spt="116" type="#_x0000_t116" style="position:absolute;left:680085;top:6471920;height:594360;width:3200400;" fillcolor="#FFFFFF" filled="t" stroked="t" coordsize="21600,21600" o:gfxdata="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gNCl2wAAAAwBAAAPAAAAAAAAAAEA&#10;IAAAACIAAABkcnMvZG93bnJldi54bWxQSwECFAAUAAAACACHTuJAr+5kIkUCAACEBAAADgAAAAAA&#10;AAABACAAAAAqAQAAZHJzL2Uyb0RvYy54bWxQSwUGAAAAAAYABgBZAQAA4QUAAAAA&#10;">
                  <v:fill on="t" focussize="0,0"/>
                  <v:stroke color="#000000" joinstyle="miter"/>
                  <v:imagedata o:title=""/>
                  <o:lock v:ext="edit" aspectratio="f"/>
                  <v:textbox inset="1.5mm,0.3mm,1.5mm,0.3mm">
                    <w:txbxContent>
                      <w:p>
                        <w:pPr>
                          <w:jc w:val="center"/>
                          <w:rPr>
                            <w:rFonts w:cs="Times New Roman"/>
                            <w:szCs w:val="22"/>
                          </w:rPr>
                        </w:pPr>
                        <w:r>
                          <w:rPr>
                            <w:rFonts w:hint="eastAsia" w:cs="Times New Roman"/>
                            <w:szCs w:val="22"/>
                          </w:rPr>
                          <w:t>陆河县人民政府对实物指标调查汇总成果签署意见</w:t>
                        </w:r>
                      </w:p>
                      <w:p>
                        <w:pPr>
                          <w:rPr>
                            <w:rFonts w:cs="Times New Roman"/>
                            <w:szCs w:val="22"/>
                          </w:rPr>
                        </w:pPr>
                      </w:p>
                    </w:txbxContent>
                  </v:textbox>
                </v:shape>
                <v:shape id="_x0000_s1026" o:spid="_x0000_s1026" o:spt="32" type="#_x0000_t32" style="position:absolute;left:2223135;top:5302250;flip:x;height:296545;width:9525;" filled="f" stroked="t" coordsize="21600,21600" o:gfxdata="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2oRljcAAAADAEA&#10;AA8AAAAAAAAAAQAgAAAAIgAAAGRycy9kb3ducmV2LnhtbFBLAQIUABQAAAAIAIdO4kCq4UPTFgIA&#10;AAoEAAAOAAAAAAAAAAEAIAAAACsBAABkcnMvZTJvRG9jLnhtbFBLBQYAAAAABgAGAFkBAACzBQAA&#10;AAA=&#10;">
                  <v:fill on="f" focussize="0,0"/>
                  <v:stroke color="#000000" joinstyle="round" endarrow="block"/>
                  <v:imagedata o:title=""/>
                  <o:lock v:ext="edit" aspectratio="f"/>
                </v:shape>
                <v:shape id="_x0000_s1026" o:spid="_x0000_s1026" o:spt="32" type="#_x0000_t32" style="position:absolute;left:2223135;top:4707890;flip:x;height:296545;width:9525;" filled="f" stroked="t" coordsize="21600,21600" o:gfxdata="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hGWNwAAAAM&#10;AQAADwAAAAAAAAABACAAAAAiAAAAZHJzL2Rvd25yZXYueG1sUEsBAhQAFAAAAAgAh07iQPedjS8Y&#10;AgAACgQAAA4AAAAAAAAAAQAgAAAAKwEAAGRycy9lMm9Eb2MueG1sUEsFBgAAAAAGAAYAWQEAALUF&#10;AAAAAA==&#10;">
                  <v:fill on="f" focussize="0,0"/>
                  <v:stroke color="#000000" joinstyle="round" endarrow="block"/>
                  <v:imagedata o:title=""/>
                  <o:lock v:ext="edit" aspectratio="f"/>
                </v:shape>
                <v:shape id="_x0000_s1026" o:spid="_x0000_s1026" o:spt="32" type="#_x0000_t32" style="position:absolute;left:2223135;top:4094480;flip:x;height:296545;width:9525;" filled="f" stroked="t" coordsize="21600,21600" o:gfxdata="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hGWNwAAAAM&#10;AQAADwAAAAAAAAABACAAAAAiAAAAZHJzL2Rvd25yZXYueG1sUEsBAhQAFAAAAAgAh07iQAF+P20Y&#10;AgAACgQAAA4AAAAAAAAAAQAgAAAAKwEAAGRycy9lMm9Eb2MueG1sUEsFBgAAAAAGAAYAWQEAALUF&#10;AAAAAA==&#10;">
                  <v:fill on="f" focussize="0,0"/>
                  <v:stroke color="#000000" joinstyle="round" endarrow="block"/>
                  <v:imagedata o:title=""/>
                  <o:lock v:ext="edit" aspectratio="f"/>
                </v:shape>
                <v:shape id="_x0000_s1026" o:spid="_x0000_s1026" o:spt="32" type="#_x0000_t32" style="position:absolute;left:2223135;top:2407920;flip:x;height:296545;width:9525;" filled="f" stroked="t" coordsize="21600,21600" o:gfxdata="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qEZY3AAAAAwB&#10;AAAPAAAAAAAAAAEAIAAAACIAAABkcnMvZG93bnJldi54bWxQSwECFAAUAAAACACHTuJAgcdE9RcC&#10;AAAKBAAADgAAAAAAAAABACAAAAArAQAAZHJzL2Uyb0RvYy54bWxQSwUGAAAAAAYABgBZAQAAtAUA&#10;AAAA&#10;">
                  <v:fill on="f" focussize="0,0"/>
                  <v:stroke color="#000000" joinstyle="round" endarrow="block"/>
                  <v:imagedata o:title=""/>
                  <o:lock v:ext="edit" aspectratio="f"/>
                </v:shape>
                <v:line id="_x0000_s1026" o:spid="_x0000_s1026" o:spt="20" style="position:absolute;left:2221865;top:2995930;height:226060;width:1270;" filled="f" stroked="t" coordsize="21600,21600" o:gfxdata="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16COjdAAAADAEAAA8AAAAAAAAA&#10;AQAgAAAAIgAAAGRycy9kb3ducmV2LnhtbFBLAQIUABQAAAAIAIdO4kBDanjFDAIAAPgDAAAOAAAA&#10;AAAAAAEAIAAAACwBAABkcnMvZTJvRG9jLnhtbFBLBQYAAAAABgAGAFkBAACqBQAAAAA=&#10;">
                  <v:fill on="f" focussize="0,0"/>
                  <v:stroke color="#000000" joinstyle="round" endarrow="block"/>
                  <v:imagedata o:title=""/>
                  <o:lock v:ext="edit" aspectratio="f"/>
                </v:line>
              </v:group>
            </w:pict>
          </mc:Fallback>
        </mc:AlternateContent>
      </w:r>
      <w:r>
        <w:rPr>
          <w:rFonts w:hint="eastAsia" w:eastAsia="黑体" w:cs="Times New Roman"/>
          <w:color w:val="000000"/>
          <w:sz w:val="24"/>
          <w:szCs w:val="22"/>
        </w:rPr>
        <w:t xml:space="preserve"> </w:t>
      </w: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p>
    <w:p>
      <w:pPr>
        <w:adjustRightInd w:val="0"/>
        <w:snapToGrid w:val="0"/>
        <w:spacing w:line="460" w:lineRule="exact"/>
        <w:ind w:firstLine="482"/>
        <w:jc w:val="center"/>
        <w:rPr>
          <w:rFonts w:hint="eastAsia" w:eastAsia="黑体" w:cs="Times New Roman"/>
          <w:color w:val="000000"/>
          <w:sz w:val="24"/>
          <w:szCs w:val="22"/>
        </w:rPr>
      </w:pPr>
      <w:r>
        <w:rPr>
          <w:rFonts w:hint="eastAsia" w:eastAsia="黑体" w:cs="Times New Roman"/>
          <w:color w:val="000000"/>
          <w:sz w:val="24"/>
          <w:szCs w:val="22"/>
        </w:rPr>
        <w:t>陆河</w:t>
      </w:r>
      <w:r>
        <w:rPr>
          <w:rFonts w:eastAsia="黑体" w:cs="Times New Roman"/>
          <w:color w:val="000000"/>
          <w:sz w:val="24"/>
          <w:szCs w:val="22"/>
        </w:rPr>
        <w:t>抽水蓄能电站实物指标调查工作组织流程图</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84" w:name="_Toc90945241"/>
      <w:bookmarkStart w:id="585" w:name="_Toc86257949"/>
      <w:r>
        <w:rPr>
          <w:rFonts w:ascii="Times New Roman" w:hAnsi="Times New Roman" w:eastAsia="黑体" w:cs="Times New Roman"/>
          <w:bCs/>
          <w:snapToGrid w:val="0"/>
          <w:color w:val="000000"/>
          <w:kern w:val="0"/>
          <w:sz w:val="28"/>
          <w:szCs w:val="28"/>
          <w:lang w:val="en-US" w:eastAsia="zh-CN" w:bidi="ar-SA"/>
        </w:rPr>
        <w:t>4.2  实物指标调查工作各方的职责分工</w:t>
      </w:r>
      <w:bookmarkEnd w:id="584"/>
      <w:bookmarkEnd w:id="585"/>
    </w:p>
    <w:p>
      <w:pPr>
        <w:keepNext/>
        <w:keepLines/>
        <w:widowControl w:val="0"/>
        <w:adjustRightInd w:val="0"/>
        <w:snapToGrid w:val="0"/>
        <w:spacing w:line="460" w:lineRule="exact"/>
        <w:ind w:firstLine="480" w:firstLineChars="200"/>
        <w:jc w:val="both"/>
        <w:outlineLvl w:val="3"/>
        <w:rPr>
          <w:rFonts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 xml:space="preserve">1) </w:t>
      </w:r>
      <w:r>
        <w:rPr>
          <w:rFonts w:ascii="Times New Roman" w:hAnsi="Times New Roman" w:eastAsia="宋体" w:cs="Times New Roman"/>
          <w:bCs/>
          <w:color w:val="000000"/>
          <w:kern w:val="2"/>
          <w:sz w:val="24"/>
          <w:szCs w:val="24"/>
          <w:lang w:val="en-US" w:eastAsia="zh-CN" w:bidi="ar-SA"/>
        </w:rPr>
        <w:t>汕尾市人民政府相关部门</w:t>
      </w:r>
    </w:p>
    <w:p>
      <w:pPr>
        <w:adjustRightInd w:val="0"/>
        <w:snapToGrid w:val="0"/>
        <w:spacing w:line="460" w:lineRule="exact"/>
        <w:ind w:firstLine="480" w:firstLineChars="200"/>
        <w:rPr>
          <w:rFonts w:cs="Times New Roman"/>
          <w:color w:val="000000"/>
          <w:sz w:val="24"/>
          <w:szCs w:val="22"/>
        </w:rPr>
      </w:pPr>
      <w:r>
        <w:rPr>
          <w:rFonts w:cs="Times New Roman"/>
          <w:color w:val="000000"/>
          <w:sz w:val="24"/>
          <w:szCs w:val="22"/>
        </w:rPr>
        <w:t>a) 参与实物指标调查细则和调查登记工作方案的评审；</w:t>
      </w:r>
    </w:p>
    <w:p>
      <w:pPr>
        <w:adjustRightInd w:val="0"/>
        <w:snapToGrid w:val="0"/>
        <w:spacing w:line="460" w:lineRule="exact"/>
        <w:ind w:firstLine="480" w:firstLineChars="200"/>
        <w:rPr>
          <w:rFonts w:cs="Times New Roman"/>
          <w:color w:val="000000"/>
          <w:sz w:val="24"/>
          <w:szCs w:val="22"/>
        </w:rPr>
      </w:pPr>
      <w:r>
        <w:rPr>
          <w:rFonts w:cs="Times New Roman"/>
          <w:color w:val="000000"/>
          <w:sz w:val="24"/>
          <w:szCs w:val="22"/>
        </w:rPr>
        <w:t>b) 监督、指导、协调实物指标调查工作；</w:t>
      </w:r>
    </w:p>
    <w:p>
      <w:pPr>
        <w:adjustRightInd w:val="0"/>
        <w:snapToGrid w:val="0"/>
        <w:spacing w:line="460" w:lineRule="exact"/>
        <w:ind w:firstLine="480" w:firstLineChars="200"/>
        <w:rPr>
          <w:rFonts w:cs="Times New Roman"/>
          <w:color w:val="000000"/>
          <w:sz w:val="24"/>
          <w:szCs w:val="22"/>
        </w:rPr>
      </w:pPr>
      <w:r>
        <w:rPr>
          <w:rFonts w:cs="Times New Roman"/>
          <w:color w:val="000000"/>
          <w:sz w:val="24"/>
          <w:szCs w:val="22"/>
        </w:rPr>
        <w:t>c) 参与实物指标调查工作中重大问题的研究。</w:t>
      </w:r>
    </w:p>
    <w:p>
      <w:pPr>
        <w:keepNext/>
        <w:keepLines/>
        <w:widowControl w:val="0"/>
        <w:adjustRightInd w:val="0"/>
        <w:snapToGrid w:val="0"/>
        <w:spacing w:line="460" w:lineRule="exact"/>
        <w:ind w:firstLine="480" w:firstLineChars="200"/>
        <w:jc w:val="both"/>
        <w:outlineLvl w:val="3"/>
        <w:rPr>
          <w:rFonts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 xml:space="preserve">2) </w:t>
      </w:r>
      <w:r>
        <w:rPr>
          <w:rFonts w:ascii="Times New Roman" w:hAnsi="Times New Roman" w:eastAsia="宋体" w:cs="Times New Roman"/>
          <w:bCs/>
          <w:color w:val="000000"/>
          <w:kern w:val="2"/>
          <w:sz w:val="24"/>
          <w:szCs w:val="24"/>
          <w:lang w:val="en-US" w:eastAsia="zh-CN" w:bidi="ar-SA"/>
        </w:rPr>
        <w:t>陆河县人民政府及相关部门</w:t>
      </w:r>
    </w:p>
    <w:p>
      <w:pPr>
        <w:adjustRightInd w:val="0"/>
        <w:snapToGrid w:val="0"/>
        <w:spacing w:line="460" w:lineRule="exact"/>
        <w:ind w:firstLine="480" w:firstLineChars="200"/>
        <w:rPr>
          <w:rFonts w:cs="Times New Roman"/>
          <w:color w:val="000000"/>
          <w:sz w:val="24"/>
          <w:szCs w:val="22"/>
        </w:rPr>
      </w:pPr>
      <w:r>
        <w:rPr>
          <w:rFonts w:cs="Times New Roman"/>
          <w:color w:val="000000"/>
          <w:sz w:val="24"/>
          <w:szCs w:val="22"/>
        </w:rPr>
        <w:t>a) 参与调查细则和调查登记工作方案的评审；</w:t>
      </w:r>
    </w:p>
    <w:p>
      <w:pPr>
        <w:adjustRightInd w:val="0"/>
        <w:snapToGrid w:val="0"/>
        <w:spacing w:line="460" w:lineRule="exact"/>
        <w:ind w:firstLine="480" w:firstLineChars="200"/>
        <w:rPr>
          <w:rFonts w:cs="Times New Roman"/>
          <w:color w:val="000000"/>
          <w:sz w:val="24"/>
          <w:szCs w:val="22"/>
        </w:rPr>
      </w:pPr>
      <w:r>
        <w:rPr>
          <w:rFonts w:cs="Times New Roman"/>
          <w:color w:val="000000"/>
          <w:sz w:val="24"/>
          <w:szCs w:val="22"/>
        </w:rPr>
        <w:t>b) 负责界桩的保管工作；</w:t>
      </w:r>
    </w:p>
    <w:p>
      <w:pPr>
        <w:adjustRightInd w:val="0"/>
        <w:snapToGrid w:val="0"/>
        <w:spacing w:line="460" w:lineRule="exact"/>
        <w:ind w:firstLine="480" w:firstLineChars="200"/>
        <w:rPr>
          <w:rFonts w:cs="Times New Roman"/>
          <w:color w:val="000000"/>
          <w:sz w:val="24"/>
          <w:szCs w:val="22"/>
        </w:rPr>
      </w:pPr>
      <w:r>
        <w:rPr>
          <w:rFonts w:cs="Times New Roman"/>
          <w:color w:val="000000"/>
          <w:sz w:val="24"/>
          <w:szCs w:val="22"/>
        </w:rPr>
        <w:t>c) 负责与调查工作有关的宣传、动员与安全保障；</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d) 组织建设征地范围内实物指标调查工作；</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e) 负责调查过程中有关争议的处理；</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f) 主持实物指标调查工作中重大问题的研究；</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g) 负责组织移民与有关各方对调查成果签字、公示、复核；</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h) 负责对实物指标成果审核、签署意见；</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i) 负责提供正式、有效、合法的基础资料；</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j) 负责移民安置意愿调查；</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k) 对扩迁区搬迁安置对象出具正式确认文件；</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l) 负责制订和开展在实物指标调查过程中的维稳工作预案及应急措施。</w:t>
      </w:r>
    </w:p>
    <w:p>
      <w:pPr>
        <w:keepNext/>
        <w:keepLines/>
        <w:widowControl w:val="0"/>
        <w:adjustRightInd w:val="0"/>
        <w:snapToGrid w:val="0"/>
        <w:spacing w:line="480" w:lineRule="exact"/>
        <w:ind w:firstLine="480" w:firstLineChars="200"/>
        <w:jc w:val="both"/>
        <w:outlineLvl w:val="3"/>
        <w:rPr>
          <w:rFonts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 xml:space="preserve">3) </w:t>
      </w:r>
      <w:r>
        <w:rPr>
          <w:rFonts w:ascii="Times New Roman" w:hAnsi="Times New Roman" w:eastAsia="宋体" w:cs="Times New Roman"/>
          <w:bCs/>
          <w:color w:val="000000"/>
          <w:kern w:val="2"/>
          <w:sz w:val="24"/>
          <w:szCs w:val="24"/>
          <w:lang w:val="en-US" w:eastAsia="zh-CN" w:bidi="ar-SA"/>
        </w:rPr>
        <w:t>陆蓄公司</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a) 委托设计单位编制实物指标调查细则；</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b) 会同</w:t>
      </w:r>
      <w:r>
        <w:rPr>
          <w:rFonts w:hint="eastAsia" w:cs="Times New Roman"/>
          <w:color w:val="000000"/>
          <w:sz w:val="24"/>
          <w:szCs w:val="22"/>
        </w:rPr>
        <w:t>陆河</w:t>
      </w:r>
      <w:r>
        <w:rPr>
          <w:rFonts w:cs="Times New Roman"/>
          <w:color w:val="000000"/>
          <w:sz w:val="24"/>
          <w:szCs w:val="22"/>
        </w:rPr>
        <w:t>县人民政府组织相关单位、专家对调查细则进行审查；</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c) 会同</w:t>
      </w:r>
      <w:r>
        <w:rPr>
          <w:rFonts w:hint="eastAsia" w:cs="Times New Roman"/>
          <w:color w:val="000000"/>
          <w:sz w:val="24"/>
          <w:szCs w:val="22"/>
        </w:rPr>
        <w:t>中南院</w:t>
      </w:r>
      <w:r>
        <w:rPr>
          <w:rFonts w:cs="Times New Roman"/>
          <w:color w:val="000000"/>
          <w:sz w:val="24"/>
          <w:szCs w:val="22"/>
        </w:rPr>
        <w:t>落实实物指标调查工作的范围、内容与程序；</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d) 委托界桩测设；</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e) 负责界桩的验收和委托保管工作；</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f) 会同</w:t>
      </w:r>
      <w:r>
        <w:rPr>
          <w:rFonts w:hint="eastAsia" w:cs="Times New Roman"/>
          <w:color w:val="000000"/>
          <w:sz w:val="24"/>
          <w:szCs w:val="22"/>
        </w:rPr>
        <w:t>陆河</w:t>
      </w:r>
      <w:r>
        <w:rPr>
          <w:rFonts w:cs="Times New Roman"/>
          <w:color w:val="000000"/>
          <w:sz w:val="24"/>
          <w:szCs w:val="22"/>
        </w:rPr>
        <w:t>县人民政府，</w:t>
      </w:r>
      <w:r>
        <w:rPr>
          <w:rFonts w:hint="eastAsia" w:cs="Times New Roman"/>
          <w:color w:val="000000"/>
          <w:sz w:val="24"/>
          <w:szCs w:val="22"/>
        </w:rPr>
        <w:t>中南院</w:t>
      </w:r>
      <w:r>
        <w:rPr>
          <w:rFonts w:cs="Times New Roman"/>
          <w:color w:val="000000"/>
          <w:sz w:val="24"/>
          <w:szCs w:val="22"/>
        </w:rPr>
        <w:t>开展实物指标调查工作；</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g) 参与调查成果的签字、公示、复核、并对其签署意见；</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h) 参与研究实物指标调查工作中的重大问题；</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i) 负责协调各相关单位与地方政府的关系；</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j) 负责调查工作经费。</w:t>
      </w:r>
    </w:p>
    <w:p>
      <w:pPr>
        <w:keepNext/>
        <w:keepLines/>
        <w:widowControl w:val="0"/>
        <w:adjustRightInd w:val="0"/>
        <w:snapToGrid w:val="0"/>
        <w:spacing w:line="480" w:lineRule="exact"/>
        <w:ind w:firstLine="480" w:firstLineChars="200"/>
        <w:jc w:val="both"/>
        <w:outlineLvl w:val="3"/>
        <w:rPr>
          <w:rFonts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Times New Roman"/>
          <w:bCs/>
          <w:color w:val="000000"/>
          <w:kern w:val="2"/>
          <w:sz w:val="24"/>
          <w:szCs w:val="24"/>
          <w:lang w:val="en-US" w:eastAsia="zh-CN" w:bidi="ar-SA"/>
        </w:rPr>
        <w:t xml:space="preserve">4) </w:t>
      </w:r>
      <w:r>
        <w:rPr>
          <w:rFonts w:ascii="Times New Roman" w:hAnsi="Times New Roman" w:eastAsia="宋体" w:cs="Times New Roman"/>
          <w:bCs/>
          <w:color w:val="000000"/>
          <w:kern w:val="2"/>
          <w:sz w:val="24"/>
          <w:szCs w:val="24"/>
          <w:lang w:val="en-US" w:eastAsia="zh-CN" w:bidi="ar-SA"/>
        </w:rPr>
        <w:t>中南院</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a) 配合项目法人落实实物指标调查工作的范围、内容与程序；</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b) 配合项目法人落实文物、压覆矿产、林业、国土等专业单位调查工作事宜；</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c) 编制实物指标调查细则；</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d) 负责组织开展具体的调查工作和技术归口；</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e) 提供实物指标调查的技术服务工作；</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f) 参与实物指标调查工作中重大问题的研究；</w:t>
      </w:r>
    </w:p>
    <w:p>
      <w:pPr>
        <w:adjustRightInd w:val="0"/>
        <w:snapToGrid w:val="0"/>
        <w:spacing w:line="480" w:lineRule="exact"/>
        <w:ind w:firstLine="480" w:firstLineChars="200"/>
        <w:rPr>
          <w:rFonts w:cs="Times New Roman"/>
          <w:color w:val="000000"/>
          <w:sz w:val="24"/>
          <w:szCs w:val="22"/>
        </w:rPr>
      </w:pPr>
      <w:r>
        <w:rPr>
          <w:rFonts w:cs="Times New Roman"/>
          <w:color w:val="000000"/>
          <w:sz w:val="24"/>
          <w:szCs w:val="22"/>
        </w:rPr>
        <w:t>g) 参与调查成果的签字、汇总、公示、复核、确认。</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0"/>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根据</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抽水蓄能电站库区的实际情况，</w:t>
      </w:r>
      <w:r>
        <w:rPr>
          <w:rFonts w:hint="eastAsia" w:ascii="Times New Roman" w:hAnsi="宋体" w:eastAsia="宋体" w:cs="Times New Roman"/>
          <w:color w:val="000000"/>
          <w:kern w:val="2"/>
          <w:sz w:val="24"/>
          <w:szCs w:val="24"/>
          <w:shd w:val="clear" w:color="auto" w:fill="FFFFFF"/>
          <w:lang w:val="en-US" w:eastAsia="zh-CN" w:bidi="ar-SA"/>
        </w:rPr>
        <w:t>各方进行具体分工，</w:t>
      </w:r>
      <w:r>
        <w:rPr>
          <w:rFonts w:ascii="Times New Roman" w:hAnsi="宋体" w:eastAsia="宋体" w:cs="Times New Roman"/>
          <w:color w:val="000000"/>
          <w:kern w:val="2"/>
          <w:sz w:val="24"/>
          <w:szCs w:val="24"/>
          <w:shd w:val="clear" w:color="auto" w:fill="FFFFFF"/>
          <w:lang w:val="en-US" w:eastAsia="zh-CN" w:bidi="ar-SA"/>
        </w:rPr>
        <w:t>实物指标调查工作初步计划分为</w:t>
      </w:r>
      <w:r>
        <w:rPr>
          <w:rFonts w:ascii="Times New Roman" w:hAnsi="Times New Roman" w:eastAsia="宋体" w:cs="Times New Roman"/>
          <w:color w:val="000000"/>
          <w:kern w:val="2"/>
          <w:sz w:val="24"/>
          <w:szCs w:val="24"/>
          <w:shd w:val="clear" w:color="auto" w:fill="FFFFFF"/>
          <w:lang w:val="en-US" w:eastAsia="zh-CN" w:bidi="ar-SA"/>
        </w:rPr>
        <w:t>5</w:t>
      </w:r>
      <w:r>
        <w:rPr>
          <w:rFonts w:ascii="Times New Roman" w:hAnsi="宋体" w:eastAsia="宋体" w:cs="Times New Roman"/>
          <w:color w:val="000000"/>
          <w:kern w:val="2"/>
          <w:sz w:val="24"/>
          <w:szCs w:val="24"/>
          <w:shd w:val="clear" w:color="auto" w:fill="FFFFFF"/>
          <w:lang w:val="en-US" w:eastAsia="zh-CN" w:bidi="ar-SA"/>
        </w:rPr>
        <w:t>个组，即</w:t>
      </w:r>
      <w:r>
        <w:rPr>
          <w:rFonts w:ascii="Times New Roman" w:hAnsi="Times New Roman" w:eastAsia="宋体" w:cs="Times New Roman"/>
          <w:color w:val="000000"/>
          <w:kern w:val="2"/>
          <w:sz w:val="24"/>
          <w:szCs w:val="24"/>
          <w:shd w:val="clear" w:color="auto" w:fill="FFFFFF"/>
          <w:lang w:val="en-US" w:eastAsia="zh-CN" w:bidi="ar-SA"/>
        </w:rPr>
        <w:t>1</w:t>
      </w:r>
      <w:r>
        <w:rPr>
          <w:rFonts w:ascii="Times New Roman" w:hAnsi="宋体" w:eastAsia="宋体" w:cs="Times New Roman"/>
          <w:color w:val="000000"/>
          <w:kern w:val="2"/>
          <w:sz w:val="24"/>
          <w:szCs w:val="24"/>
          <w:shd w:val="clear" w:color="auto" w:fill="FFFFFF"/>
          <w:lang w:val="en-US" w:eastAsia="zh-CN" w:bidi="ar-SA"/>
        </w:rPr>
        <w:t>个组负责人口、房屋及附属设施调查；</w:t>
      </w:r>
      <w:r>
        <w:rPr>
          <w:rFonts w:ascii="Times New Roman" w:hAnsi="Times New Roman" w:eastAsia="宋体" w:cs="Times New Roman"/>
          <w:color w:val="000000"/>
          <w:kern w:val="2"/>
          <w:sz w:val="24"/>
          <w:szCs w:val="24"/>
          <w:shd w:val="clear" w:color="auto" w:fill="FFFFFF"/>
          <w:lang w:val="en-US" w:eastAsia="zh-CN" w:bidi="ar-SA"/>
        </w:rPr>
        <w:t>2</w:t>
      </w:r>
      <w:r>
        <w:rPr>
          <w:rFonts w:ascii="Times New Roman" w:hAnsi="宋体" w:eastAsia="宋体" w:cs="Times New Roman"/>
          <w:color w:val="000000"/>
          <w:kern w:val="2"/>
          <w:sz w:val="24"/>
          <w:szCs w:val="24"/>
          <w:shd w:val="clear" w:color="auto" w:fill="FFFFFF"/>
          <w:lang w:val="en-US" w:eastAsia="zh-CN" w:bidi="ar-SA"/>
        </w:rPr>
        <w:t>个组负责建设征地区的土地调查；</w:t>
      </w:r>
      <w:r>
        <w:rPr>
          <w:rFonts w:ascii="Times New Roman" w:hAnsi="Times New Roman" w:eastAsia="宋体" w:cs="Times New Roman"/>
          <w:color w:val="000000"/>
          <w:kern w:val="2"/>
          <w:sz w:val="24"/>
          <w:szCs w:val="24"/>
          <w:shd w:val="clear" w:color="auto" w:fill="FFFFFF"/>
          <w:lang w:val="en-US" w:eastAsia="zh-CN" w:bidi="ar-SA"/>
        </w:rPr>
        <w:t>1</w:t>
      </w:r>
      <w:r>
        <w:rPr>
          <w:rFonts w:ascii="Times New Roman" w:hAnsi="宋体" w:eastAsia="宋体" w:cs="Times New Roman"/>
          <w:color w:val="000000"/>
          <w:kern w:val="2"/>
          <w:sz w:val="24"/>
          <w:szCs w:val="24"/>
          <w:shd w:val="clear" w:color="auto" w:fill="FFFFFF"/>
          <w:lang w:val="en-US" w:eastAsia="zh-CN" w:bidi="ar-SA"/>
        </w:rPr>
        <w:t>个组负责专业项目及社会经济资料收集和内业工作，</w:t>
      </w:r>
      <w:r>
        <w:rPr>
          <w:rFonts w:ascii="Times New Roman" w:hAnsi="Times New Roman" w:eastAsia="宋体" w:cs="Times New Roman"/>
          <w:color w:val="000000"/>
          <w:kern w:val="2"/>
          <w:sz w:val="24"/>
          <w:szCs w:val="24"/>
          <w:shd w:val="clear" w:color="auto" w:fill="FFFFFF"/>
          <w:lang w:val="en-US" w:eastAsia="zh-CN" w:bidi="ar-SA"/>
        </w:rPr>
        <w:t>1</w:t>
      </w:r>
      <w:r>
        <w:rPr>
          <w:rFonts w:ascii="Times New Roman" w:hAnsi="宋体" w:eastAsia="宋体" w:cs="Times New Roman"/>
          <w:color w:val="000000"/>
          <w:kern w:val="2"/>
          <w:sz w:val="24"/>
          <w:szCs w:val="24"/>
          <w:shd w:val="clear" w:color="auto" w:fill="FFFFFF"/>
          <w:lang w:val="en-US" w:eastAsia="zh-CN" w:bidi="ar-SA"/>
        </w:rPr>
        <w:t>个组负责联合调查组的后勤保障工作；在实物指标调查完成并整理汇总后，立即组织人员对调查成果进行公示复核。工作各方的职责</w:t>
      </w:r>
      <w:r>
        <w:rPr>
          <w:rFonts w:ascii="Times New Roman" w:hAnsi="宋体" w:eastAsia="宋体" w:cs="Times New Roman"/>
          <w:color w:val="000000"/>
          <w:kern w:val="0"/>
          <w:sz w:val="24"/>
          <w:szCs w:val="24"/>
          <w:shd w:val="clear" w:color="auto" w:fill="FFFFFF"/>
          <w:lang w:val="en-US" w:eastAsia="zh-CN" w:bidi="ar-SA"/>
        </w:rPr>
        <w:t>如下：</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4.2.1  人口、房屋、附属建筑物调查工作组</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组长由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县人民政府指派协调组成员担任，副组长由中南院设计人员、</w:t>
      </w:r>
      <w:r>
        <w:rPr>
          <w:rFonts w:hint="eastAsia" w:ascii="Times New Roman" w:hAnsi="宋体" w:eastAsia="宋体" w:cs="Times New Roman"/>
          <w:color w:val="000000"/>
          <w:kern w:val="2"/>
          <w:sz w:val="24"/>
          <w:szCs w:val="24"/>
          <w:shd w:val="clear" w:color="auto" w:fill="FFFFFF"/>
          <w:lang w:val="en-US" w:eastAsia="zh-CN" w:bidi="ar-SA"/>
        </w:rPr>
        <w:t>广东能源陆河蓄能发电有限公司</w:t>
      </w:r>
      <w:r>
        <w:rPr>
          <w:rFonts w:ascii="Times New Roman" w:hAnsi="宋体" w:eastAsia="宋体" w:cs="Times New Roman"/>
          <w:color w:val="000000"/>
          <w:kern w:val="2"/>
          <w:sz w:val="24"/>
          <w:szCs w:val="24"/>
          <w:shd w:val="clear" w:color="auto" w:fill="FFFFFF"/>
          <w:lang w:val="en-US" w:eastAsia="zh-CN" w:bidi="ar-SA"/>
        </w:rPr>
        <w:t>担任，主要任务为丈量、清点及记录人口、房屋、附属建筑物和其他附着物等实物。组长</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单位</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负责调查过程中有关问题的全面协调、人员调度、资料收集、确认配合等工作，副组长</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单位</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负责实物丈量、清点、记录和计算统计等技术归口管理工作。成员由相关专业部门人员组成。</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4.2.2  </w:t>
      </w:r>
      <w:r>
        <w:rPr>
          <w:rFonts w:ascii="Times New Roman" w:hAnsi="宋体" w:eastAsia="黑体" w:cs="Times New Roman"/>
          <w:bCs/>
          <w:snapToGrid w:val="0"/>
          <w:color w:val="000000"/>
          <w:kern w:val="0"/>
          <w:sz w:val="24"/>
          <w:szCs w:val="24"/>
          <w:lang w:val="en-US" w:eastAsia="zh-CN" w:bidi="ar-SA"/>
        </w:rPr>
        <w:t>土地调查工作组</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组长由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县人民政府指派协调组成员担任，副组长由中南院设计人员、</w:t>
      </w:r>
      <w:r>
        <w:rPr>
          <w:rFonts w:hint="eastAsia" w:ascii="Times New Roman" w:hAnsi="宋体" w:eastAsia="宋体" w:cs="Times New Roman"/>
          <w:color w:val="000000"/>
          <w:kern w:val="2"/>
          <w:sz w:val="24"/>
          <w:szCs w:val="24"/>
          <w:shd w:val="clear" w:color="auto" w:fill="FFFFFF"/>
          <w:lang w:val="en-US" w:eastAsia="zh-CN" w:bidi="ar-SA"/>
        </w:rPr>
        <w:t>广东能源陆河蓄能发电有限公司</w:t>
      </w:r>
      <w:r>
        <w:rPr>
          <w:rFonts w:ascii="Times New Roman" w:hAnsi="宋体" w:eastAsia="宋体" w:cs="Times New Roman"/>
          <w:color w:val="000000"/>
          <w:kern w:val="2"/>
          <w:sz w:val="24"/>
          <w:szCs w:val="24"/>
          <w:shd w:val="clear" w:color="auto" w:fill="FFFFFF"/>
          <w:lang w:val="en-US" w:eastAsia="zh-CN" w:bidi="ar-SA"/>
        </w:rPr>
        <w:t>担任，主要任务为核实土地地类、划分区域界线等。组长</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单位</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负责调查过程中有关问题的全面协调、人员调度、资料收集、确认等工作，副组长</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单位</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负责全面的技术归口管理工作。成员由相关专业部门人员组成。</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4.2.3  专项设施调查工作组</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组长由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县人民政府指派协调组成员担任，副组长由各行业主管部门指派专员、中南院设计人员担任，主要任务为收集、认证和记录专业项目及经济社会资料等。组长</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单位</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负责内业工作监督、协调。副组长</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单位</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负责技术归口管理工作、调查成果的录入、汇总以及校验、分析等工作。成员由相关专业部门人员组成。</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4.2.4  </w:t>
      </w:r>
      <w:r>
        <w:rPr>
          <w:rFonts w:ascii="Times New Roman" w:hAnsi="宋体" w:eastAsia="黑体" w:cs="Times New Roman"/>
          <w:bCs/>
          <w:snapToGrid w:val="0"/>
          <w:color w:val="000000"/>
          <w:kern w:val="0"/>
          <w:sz w:val="24"/>
          <w:szCs w:val="24"/>
          <w:lang w:val="en-US" w:eastAsia="zh-CN" w:bidi="ar-SA"/>
        </w:rPr>
        <w:t>后勤保障工作组</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县人民政府指派协调组成员担任组长，负责联合调查组的后勤工作。包括安全、交通、资料印刷、通信联络、物资采购、生活保障等。</w:t>
      </w:r>
    </w:p>
    <w:p>
      <w:pPr>
        <w:spacing w:line="60" w:lineRule="exact"/>
        <w:rPr>
          <w:rFonts w:hint="eastAsia" w:cs="Times New Roman"/>
          <w:szCs w:val="22"/>
        </w:rPr>
      </w:pP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86" w:name="_Toc90945242"/>
      <w:bookmarkStart w:id="587" w:name="_Toc86257950"/>
      <w:r>
        <w:rPr>
          <w:rFonts w:ascii="Times New Roman" w:hAnsi="Times New Roman" w:eastAsia="黑体" w:cs="Times New Roman"/>
          <w:bCs/>
          <w:snapToGrid w:val="0"/>
          <w:color w:val="000000"/>
          <w:kern w:val="0"/>
          <w:sz w:val="28"/>
          <w:szCs w:val="28"/>
          <w:lang w:val="en-US" w:eastAsia="zh-CN" w:bidi="ar-SA"/>
        </w:rPr>
        <w:t xml:space="preserve">4.3  </w:t>
      </w:r>
      <w:r>
        <w:rPr>
          <w:rFonts w:ascii="Times New Roman" w:hAnsi="宋体" w:eastAsia="黑体" w:cs="Times New Roman"/>
          <w:bCs/>
          <w:snapToGrid w:val="0"/>
          <w:color w:val="000000"/>
          <w:kern w:val="0"/>
          <w:sz w:val="28"/>
          <w:szCs w:val="28"/>
          <w:lang w:val="en-US" w:eastAsia="zh-CN" w:bidi="ar-SA"/>
        </w:rPr>
        <w:t>宣传动员工作</w:t>
      </w:r>
      <w:bookmarkEnd w:id="586"/>
      <w:bookmarkEnd w:id="587"/>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2021</w:t>
      </w:r>
      <w:r>
        <w:rPr>
          <w:rFonts w:ascii="Times New Roman" w:hAnsi="宋体" w:eastAsia="宋体" w:cs="Times New Roman"/>
          <w:color w:val="000000"/>
          <w:kern w:val="2"/>
          <w:sz w:val="24"/>
          <w:szCs w:val="24"/>
          <w:shd w:val="clear" w:color="auto" w:fill="FFFFFF"/>
          <w:lang w:val="en-US" w:eastAsia="zh-CN" w:bidi="ar-SA"/>
        </w:rPr>
        <w:t>年</w:t>
      </w:r>
      <w:r>
        <w:rPr>
          <w:rFonts w:ascii="Times New Roman" w:hAnsi="Times New Roman" w:eastAsia="宋体" w:cs="Times New Roman"/>
          <w:color w:val="000000"/>
          <w:kern w:val="2"/>
          <w:sz w:val="24"/>
          <w:szCs w:val="24"/>
          <w:shd w:val="clear" w:color="auto" w:fill="FFFFFF"/>
          <w:lang w:val="en-US" w:eastAsia="zh-CN" w:bidi="ar-SA"/>
        </w:rPr>
        <w:t>10</w:t>
      </w:r>
      <w:r>
        <w:rPr>
          <w:rFonts w:ascii="Times New Roman" w:hAnsi="宋体" w:eastAsia="宋体" w:cs="Times New Roman"/>
          <w:color w:val="000000"/>
          <w:kern w:val="2"/>
          <w:sz w:val="24"/>
          <w:szCs w:val="24"/>
          <w:shd w:val="clear" w:color="auto" w:fill="FFFFFF"/>
          <w:lang w:val="en-US" w:eastAsia="zh-CN" w:bidi="ar-SA"/>
        </w:rPr>
        <w:t>月</w:t>
      </w:r>
      <w:r>
        <w:rPr>
          <w:rFonts w:ascii="Times New Roman" w:hAnsi="Times New Roman" w:eastAsia="宋体" w:cs="Times New Roman"/>
          <w:color w:val="000000"/>
          <w:kern w:val="2"/>
          <w:sz w:val="24"/>
          <w:szCs w:val="24"/>
          <w:shd w:val="clear" w:color="auto" w:fill="FFFFFF"/>
          <w:lang w:val="en-US" w:eastAsia="zh-CN" w:bidi="ar-SA"/>
        </w:rPr>
        <w:t>16</w:t>
      </w:r>
      <w:r>
        <w:rPr>
          <w:rFonts w:ascii="Times New Roman" w:hAnsi="宋体" w:eastAsia="宋体" w:cs="Times New Roman"/>
          <w:color w:val="000000"/>
          <w:kern w:val="2"/>
          <w:sz w:val="24"/>
          <w:szCs w:val="24"/>
          <w:shd w:val="clear" w:color="auto" w:fill="FFFFFF"/>
          <w:lang w:val="en-US" w:eastAsia="zh-CN" w:bidi="ar-SA"/>
        </w:rPr>
        <w:t>日，由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县人民政府组织召开了</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抽水蓄能电站实物指标调查启动会议，</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县人民政府及相关职能部门、各乡镇人民政府、项目法人及设计单位有关领导及人员参加了会议。会议中县主要领导就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抽水蓄能电站实物指标调查工作的重要性进行了宣传动员，并由中南院代表对参加本次实物指标调查工作的人员进行了业务培训。</w:t>
      </w:r>
      <w:r>
        <w:rPr>
          <w:rFonts w:ascii="Times New Roman" w:hAnsi="Times New Roman" w:eastAsia="宋体" w:cs="Times New Roman"/>
          <w:color w:val="000000"/>
          <w:kern w:val="2"/>
          <w:sz w:val="24"/>
          <w:szCs w:val="24"/>
          <w:shd w:val="clear" w:color="auto" w:fill="FFFFFF"/>
          <w:lang w:val="en-US" w:eastAsia="zh-CN" w:bidi="ar-SA"/>
        </w:rPr>
        <w:t>2021</w:t>
      </w:r>
      <w:r>
        <w:rPr>
          <w:rFonts w:ascii="Times New Roman" w:hAnsi="宋体" w:eastAsia="宋体" w:cs="Times New Roman"/>
          <w:color w:val="000000"/>
          <w:kern w:val="2"/>
          <w:sz w:val="24"/>
          <w:szCs w:val="24"/>
          <w:shd w:val="clear" w:color="auto" w:fill="FFFFFF"/>
          <w:lang w:val="en-US" w:eastAsia="zh-CN" w:bidi="ar-SA"/>
        </w:rPr>
        <w:t>年</w:t>
      </w:r>
      <w:r>
        <w:rPr>
          <w:rFonts w:ascii="Times New Roman" w:hAnsi="Times New Roman" w:eastAsia="宋体" w:cs="Times New Roman"/>
          <w:color w:val="000000"/>
          <w:kern w:val="2"/>
          <w:sz w:val="24"/>
          <w:szCs w:val="24"/>
          <w:shd w:val="clear" w:color="auto" w:fill="FFFFFF"/>
          <w:lang w:val="en-US" w:eastAsia="zh-CN" w:bidi="ar-SA"/>
        </w:rPr>
        <w:t>10</w:t>
      </w:r>
      <w:r>
        <w:rPr>
          <w:rFonts w:ascii="Times New Roman" w:hAnsi="宋体" w:eastAsia="宋体" w:cs="Times New Roman"/>
          <w:color w:val="000000"/>
          <w:kern w:val="2"/>
          <w:sz w:val="24"/>
          <w:szCs w:val="24"/>
          <w:shd w:val="clear" w:color="auto" w:fill="FFFFFF"/>
          <w:lang w:val="en-US" w:eastAsia="zh-CN" w:bidi="ar-SA"/>
        </w:rPr>
        <w:t>月</w:t>
      </w:r>
      <w:r>
        <w:rPr>
          <w:rFonts w:ascii="Times New Roman" w:hAnsi="Times New Roman" w:eastAsia="宋体" w:cs="Times New Roman"/>
          <w:color w:val="000000"/>
          <w:kern w:val="2"/>
          <w:sz w:val="24"/>
          <w:szCs w:val="24"/>
          <w:shd w:val="clear" w:color="auto" w:fill="FFFFFF"/>
          <w:lang w:val="en-US" w:eastAsia="zh-CN" w:bidi="ar-SA"/>
        </w:rPr>
        <w:t>1</w:t>
      </w:r>
      <w:r>
        <w:rPr>
          <w:rFonts w:hint="eastAsia" w:ascii="Times New Roman" w:hAnsi="Times New Roman" w:eastAsia="宋体" w:cs="Times New Roman"/>
          <w:color w:val="000000"/>
          <w:kern w:val="2"/>
          <w:sz w:val="24"/>
          <w:szCs w:val="24"/>
          <w:shd w:val="clear" w:color="auto" w:fill="FFFFFF"/>
          <w:lang w:val="en-US" w:eastAsia="zh-CN" w:bidi="ar-SA"/>
        </w:rPr>
        <w:t>7</w:t>
      </w:r>
      <w:r>
        <w:rPr>
          <w:rFonts w:ascii="Times New Roman" w:hAnsi="宋体" w:eastAsia="宋体" w:cs="Times New Roman"/>
          <w:color w:val="000000"/>
          <w:kern w:val="2"/>
          <w:sz w:val="24"/>
          <w:szCs w:val="24"/>
          <w:shd w:val="clear" w:color="auto" w:fill="FFFFFF"/>
          <w:lang w:val="en-US" w:eastAsia="zh-CN" w:bidi="ar-SA"/>
        </w:rPr>
        <w:t>日</w:t>
      </w:r>
      <w:r>
        <w:rPr>
          <w:rFonts w:hint="eastAsia" w:ascii="Times New Roman" w:hAnsi="宋体" w:eastAsia="宋体" w:cs="Times New Roman"/>
          <w:color w:val="000000"/>
          <w:kern w:val="2"/>
          <w:sz w:val="24"/>
          <w:szCs w:val="24"/>
          <w:shd w:val="clear" w:color="auto" w:fill="FFFFFF"/>
          <w:lang w:val="en-US" w:eastAsia="zh-CN" w:bidi="ar-SA"/>
        </w:rPr>
        <w:t>至12月21日，已全面完成了房屋、专业项目、土地的调查工作。</w:t>
      </w:r>
    </w:p>
    <w:p>
      <w:pPr>
        <w:widowControl w:val="0"/>
        <w:adjustRightInd w:val="0"/>
        <w:snapToGrid w:val="0"/>
        <w:spacing w:before="300" w:after="120" w:line="480" w:lineRule="exact"/>
        <w:jc w:val="left"/>
        <w:outlineLvl w:val="0"/>
        <w:rPr>
          <w:rFonts w:ascii="Times New Roman" w:hAnsi="Times New Roman" w:eastAsia="黑体" w:cs="Times New Roman"/>
          <w:bCs/>
          <w:color w:val="000000"/>
          <w:kern w:val="44"/>
          <w:sz w:val="32"/>
          <w:szCs w:val="32"/>
          <w:lang w:val="en-US" w:eastAsia="zh-CN" w:bidi="ar-SA"/>
        </w:rPr>
      </w:pPr>
      <w:r>
        <w:rPr>
          <w:rFonts w:ascii="Times New Roman" w:hAnsi="Times New Roman" w:eastAsia="黑体" w:cs="Times New Roman"/>
          <w:bCs/>
          <w:color w:val="000000"/>
          <w:kern w:val="44"/>
          <w:sz w:val="32"/>
          <w:szCs w:val="32"/>
          <w:lang w:val="en-US" w:eastAsia="zh-CN" w:bidi="ar-SA"/>
        </w:rPr>
        <w:br w:type="page"/>
      </w:r>
      <w:bookmarkStart w:id="588" w:name="_Toc90945243"/>
      <w:bookmarkStart w:id="589" w:name="_Toc86257951"/>
      <w:r>
        <w:rPr>
          <w:rFonts w:ascii="Times New Roman" w:hAnsi="Times New Roman" w:eastAsia="黑体" w:cs="Times New Roman"/>
          <w:bCs/>
          <w:color w:val="000000"/>
          <w:kern w:val="44"/>
          <w:sz w:val="32"/>
          <w:szCs w:val="32"/>
          <w:lang w:val="en-US" w:eastAsia="zh-CN" w:bidi="ar-SA"/>
        </w:rPr>
        <w:t>5  建设征地处理范围</w:t>
      </w:r>
      <w:bookmarkEnd w:id="588"/>
      <w:bookmarkEnd w:id="589"/>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本工程建设征地处理范围包括水库淹没影响区和枢纽工程建设区。其中水库淹没影响区包括水库淹没区、水库影响区和其他影响区，水库淹没区包括水库正常蓄水位以下的淹没区域，以及水库正常蓄水位以上受风浪等因素影响致临时淹没的区域，水库影响区应包括由蓄水引起的滑坡、塌岸、浸没、变形库岸、内涝、水库渗漏等需要处理的区域，其他影响区是指因建设征地致使失去基本生产生活条件的库周和孤岛等其他受水库蓄水影响需要处理的区域。枢纽工程建设区应主要包括转料场、渣场和施工场地等。</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90" w:name="_Toc90945244"/>
      <w:bookmarkStart w:id="591" w:name="_Toc86257952"/>
      <w:r>
        <w:rPr>
          <w:rFonts w:ascii="Times New Roman" w:hAnsi="Times New Roman" w:eastAsia="黑体" w:cs="Times New Roman"/>
          <w:bCs/>
          <w:snapToGrid w:val="0"/>
          <w:color w:val="000000"/>
          <w:kern w:val="0"/>
          <w:sz w:val="28"/>
          <w:szCs w:val="28"/>
          <w:lang w:val="en-US" w:eastAsia="zh-CN" w:bidi="ar-SA"/>
        </w:rPr>
        <w:t>5.1  水库淹没影响区</w:t>
      </w:r>
      <w:bookmarkEnd w:id="590"/>
      <w:bookmarkEnd w:id="591"/>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5.1.1  </w:t>
      </w:r>
      <w:r>
        <w:rPr>
          <w:rFonts w:ascii="Times New Roman" w:hAnsi="宋体" w:eastAsia="黑体" w:cs="Times New Roman"/>
          <w:bCs/>
          <w:snapToGrid w:val="0"/>
          <w:color w:val="000000"/>
          <w:kern w:val="0"/>
          <w:sz w:val="24"/>
          <w:szCs w:val="24"/>
          <w:lang w:val="en-US" w:eastAsia="zh-CN" w:bidi="ar-SA"/>
        </w:rPr>
        <w:t>水库淹没区</w:t>
      </w:r>
    </w:p>
    <w:p>
      <w:pPr>
        <w:widowControl w:val="0"/>
        <w:adjustRightInd w:val="0"/>
        <w:snapToGrid w:val="0"/>
        <w:spacing w:line="480" w:lineRule="exact"/>
        <w:jc w:val="both"/>
        <w:outlineLvl w:val="3"/>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 xml:space="preserve">5.1.1.1  </w:t>
      </w:r>
      <w:r>
        <w:rPr>
          <w:rFonts w:ascii="Times New Roman" w:hAnsi="宋体" w:eastAsia="宋体" w:cs="Times New Roman"/>
          <w:bCs/>
          <w:color w:val="000000"/>
          <w:kern w:val="2"/>
          <w:sz w:val="24"/>
          <w:szCs w:val="24"/>
          <w:lang w:val="en-US" w:eastAsia="zh-CN" w:bidi="ar-SA"/>
        </w:rPr>
        <w:t>设计洪水标准</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根据NB/T 10338-2019《水电工程建设征地处理范围界定规范》及GB50201-2014《防洪标准》和相关专业项目技术标准，水库淹没对象处理设计洪水标准如下：</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1) 耕地、园地的设计洪水标准为5年一遇(P=20%)；</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2) 各类林地、草地、未利用地，设计洪水标准为正常蓄水位；</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3) 农村居民点、房屋及附属设施，设计洪水标准为20年一遇(P=5%)；</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4) 专业项目：根据GB50201-2014《防洪标准》和相关专业项目技术标准确定设计洪水标准，GB50201-2014《防洪标准》和相关专业项目技术标准无规定的如农村道路、机耕道、四级公路、水利、电力、电信、文物古迹、小水电站、文教卫设施等及企事业单位等专项设施设计洪水标准为20年一遇(P=5%)；</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spacing w:val="4"/>
          <w:kern w:val="0"/>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5) 水库泥沙淤积年限考虑20年。</w:t>
      </w:r>
    </w:p>
    <w:p>
      <w:pPr>
        <w:widowControl w:val="0"/>
        <w:adjustRightInd w:val="0"/>
        <w:snapToGrid w:val="0"/>
        <w:spacing w:line="480" w:lineRule="exact"/>
        <w:jc w:val="both"/>
        <w:outlineLvl w:val="3"/>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 xml:space="preserve">5.1.1.2  </w:t>
      </w:r>
      <w:r>
        <w:rPr>
          <w:rFonts w:ascii="Times New Roman" w:hAnsi="宋体" w:eastAsia="宋体" w:cs="Times New Roman"/>
          <w:bCs/>
          <w:color w:val="000000"/>
          <w:kern w:val="2"/>
          <w:sz w:val="24"/>
          <w:szCs w:val="24"/>
          <w:lang w:val="en-US" w:eastAsia="zh-CN" w:bidi="ar-SA"/>
        </w:rPr>
        <w:t>调查水位</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根据《</w:t>
      </w:r>
      <w:r>
        <w:rPr>
          <w:rFonts w:hint="eastAsia" w:ascii="Times New Roman" w:hAnsi="宋体" w:eastAsia="宋体" w:cs="Times New Roman"/>
          <w:color w:val="000000"/>
          <w:kern w:val="2"/>
          <w:sz w:val="24"/>
          <w:szCs w:val="24"/>
          <w:shd w:val="clear" w:color="auto" w:fill="FFFFFF"/>
          <w:lang w:val="en-US" w:eastAsia="zh-CN" w:bidi="ar-SA"/>
        </w:rPr>
        <w:t>广东陆河</w:t>
      </w:r>
      <w:r>
        <w:rPr>
          <w:rFonts w:ascii="Times New Roman" w:hAnsi="宋体" w:eastAsia="宋体" w:cs="Times New Roman"/>
          <w:color w:val="000000"/>
          <w:kern w:val="2"/>
          <w:sz w:val="24"/>
          <w:szCs w:val="24"/>
          <w:shd w:val="clear" w:color="auto" w:fill="FFFFFF"/>
          <w:lang w:val="en-US" w:eastAsia="zh-CN" w:bidi="ar-SA"/>
        </w:rPr>
        <w:t>抽水蓄能电站可行性研究阶段正常蓄水位选择专题报告》的推荐方案，</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抽水蓄能电站上、下水库正常蓄水位分别为</w:t>
      </w:r>
      <w:r>
        <w:rPr>
          <w:rFonts w:ascii="Times New Roman" w:hAnsi="Times New Roman" w:eastAsia="宋体" w:cs="Times New Roman"/>
          <w:color w:val="000000"/>
          <w:kern w:val="2"/>
          <w:sz w:val="24"/>
          <w:szCs w:val="24"/>
          <w:shd w:val="clear" w:color="auto" w:fill="FFFFFF"/>
          <w:lang w:val="en-US" w:eastAsia="zh-CN" w:bidi="ar-SA"/>
        </w:rPr>
        <w:t>851.00m</w:t>
      </w:r>
      <w:r>
        <w:rPr>
          <w:rFonts w:ascii="Times New Roman" w:hAnsi="宋体" w:eastAsia="宋体" w:cs="Times New Roman"/>
          <w:color w:val="000000"/>
          <w:kern w:val="2"/>
          <w:sz w:val="24"/>
          <w:szCs w:val="24"/>
          <w:shd w:val="clear" w:color="auto" w:fill="FFFFFF"/>
          <w:lang w:val="en-US" w:eastAsia="zh-CN" w:bidi="ar-SA"/>
        </w:rPr>
        <w:t>、</w:t>
      </w:r>
      <w:r>
        <w:rPr>
          <w:rFonts w:ascii="Times New Roman" w:hAnsi="Times New Roman" w:eastAsia="宋体" w:cs="Times New Roman"/>
          <w:color w:val="000000"/>
          <w:kern w:val="2"/>
          <w:sz w:val="24"/>
          <w:szCs w:val="24"/>
          <w:shd w:val="clear" w:color="auto" w:fill="FFFFFF"/>
          <w:lang w:val="en-US" w:eastAsia="zh-CN" w:bidi="ar-SA"/>
        </w:rPr>
        <w:t>232.00m</w:t>
      </w:r>
      <w:r>
        <w:rPr>
          <w:rFonts w:ascii="Times New Roman" w:hAnsi="宋体" w:eastAsia="宋体" w:cs="Times New Roman"/>
          <w:color w:val="000000"/>
          <w:kern w:val="2"/>
          <w:sz w:val="24"/>
          <w:szCs w:val="24"/>
          <w:shd w:val="clear" w:color="auto" w:fill="FFFFFF"/>
          <w:lang w:val="en-US" w:eastAsia="zh-CN" w:bidi="ar-SA"/>
        </w:rPr>
        <w:t>。</w:t>
      </w:r>
    </w:p>
    <w:p>
      <w:pPr>
        <w:widowControl w:val="0"/>
        <w:adjustRightInd w:val="0"/>
        <w:snapToGrid w:val="0"/>
        <w:spacing w:line="480" w:lineRule="exact"/>
        <w:jc w:val="both"/>
        <w:outlineLvl w:val="3"/>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 xml:space="preserve">5.1.1.3  </w:t>
      </w:r>
      <w:r>
        <w:rPr>
          <w:rFonts w:ascii="Times New Roman" w:hAnsi="宋体" w:eastAsia="宋体" w:cs="Times New Roman"/>
          <w:bCs/>
          <w:color w:val="000000"/>
          <w:kern w:val="2"/>
          <w:sz w:val="24"/>
          <w:szCs w:val="24"/>
          <w:lang w:val="en-US" w:eastAsia="zh-CN" w:bidi="ar-SA"/>
        </w:rPr>
        <w:t>水库淹没处理范围</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00"/>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a) </w:t>
      </w:r>
      <w:r>
        <w:rPr>
          <w:rFonts w:ascii="Times New Roman" w:hAnsi="宋体" w:eastAsia="宋体" w:cs="Times New Roman"/>
          <w:color w:val="000000"/>
          <w:kern w:val="2"/>
          <w:sz w:val="24"/>
          <w:szCs w:val="24"/>
          <w:shd w:val="clear" w:color="auto" w:fill="FFFFFF"/>
          <w:lang w:val="en-US" w:eastAsia="zh-CN" w:bidi="ar-SA"/>
        </w:rPr>
        <w:t>上水库</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bCs/>
          <w:snapToGrid w:val="0"/>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上水库位于陆河县新田镇坪天栋西面的下坪田水库，上水库流域面积小、水面宽广、河道距离短且坡降陡，水库形态呈盆状。结合库盆条件和河道特性，上水库建成后的水面四周均被大坝和山体围绕，库内各冲沟的平均坡降在10%~15%之间，远大于临界坡降，洪水时为急流状态，不会产生回水上延，因此，上水库不进行回水计。库区P=5%、20%洪水的回水曲线即坝前最高水位的水平线。经调洪计算，推荐方案P=5%、20%频率洪水坝前最高水位分别为852.18m(壅高值大于1m)、和851.75m(壅高值大于0.5m)上水库淹没处理范围如下：</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bCs/>
          <w:snapToGrid w:val="0"/>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1) 农村居民、房屋及附属设施、一般专项设施等，按P=5%频率洪水坝前最高水位(852.18m)确定淹没处理范围。</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bCs/>
          <w:snapToGrid w:val="0"/>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2) 耕地、园地按P=20%频率洪水坝前最高水位(851.75m)确定淹没处理范围。</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bCs/>
          <w:snapToGrid w:val="0"/>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3) 各类林地、草地、未利用地，按正常蓄水位851m确定淹没处理范围。</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
        </w:rPr>
      </w:pPr>
      <w:r>
        <w:rPr>
          <w:rFonts w:hint="eastAsia" w:ascii="Times New Roman" w:hAnsi="宋体" w:eastAsia="宋体" w:cs="Times New Roman"/>
          <w:bCs/>
          <w:snapToGrid w:val="0"/>
          <w:color w:val="000000"/>
          <w:kern w:val="2"/>
          <w:sz w:val="24"/>
          <w:szCs w:val="24"/>
          <w:shd w:val="clear" w:color="auto" w:fill="FFFFFF"/>
          <w:lang w:val="en-US" w:eastAsia="zh-CN" w:bidi="ar-SA"/>
        </w:rPr>
        <w:t>4) 专业项目：项目淹没影响涉及的水利、电力、通信、交通等专项设施，按P=5%频率洪水坝前最高水位(852.18m)确定淹没处理范围。</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b) </w:t>
      </w:r>
      <w:r>
        <w:rPr>
          <w:rFonts w:ascii="Times New Roman" w:hAnsi="宋体" w:eastAsia="宋体" w:cs="Times New Roman"/>
          <w:color w:val="000000"/>
          <w:kern w:val="2"/>
          <w:sz w:val="24"/>
          <w:szCs w:val="24"/>
          <w:shd w:val="clear" w:color="auto" w:fill="FFFFFF"/>
          <w:lang w:val="en-US" w:eastAsia="zh-CN" w:bidi="ar-SA"/>
        </w:rPr>
        <w:t>下水库</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bCs/>
          <w:snapToGrid w:val="0"/>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下库位于激石溪村，地形开阔，地势平坦，专业项目和耕地比较集中。下水库淹没处理范围如下：</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bCs/>
          <w:snapToGrid w:val="0"/>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1) 农村居民、房屋及附属设施、一般专项设施等，按正常蓄水位加1m(232m)与20年一遇洪水回水组成的外包线确定淹没处理范围。</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bCs/>
          <w:snapToGrid w:val="0"/>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2) 耕地、园地，按正常蓄水位加0.5m(232.5m)与5年一遇洪水回水组成的外包线确定淹没处理范围。</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bCs/>
          <w:snapToGrid w:val="0"/>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3) 各类林地、草地、未利用地，按正常蓄水位232m确定淹没处理范围。</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宋体" w:eastAsia="宋体" w:cs="Times New Roman"/>
          <w:bCs/>
          <w:snapToGrid w:val="0"/>
          <w:color w:val="000000"/>
          <w:kern w:val="2"/>
          <w:sz w:val="24"/>
          <w:szCs w:val="24"/>
          <w:shd w:val="clear" w:color="auto" w:fill="FFFFFF"/>
          <w:lang w:val="en-US" w:eastAsia="zh-CN" w:bidi="ar-SA"/>
        </w:rPr>
        <w:t>4) 根据《水电工程建设征地处理范围界定规范》(NB/T 10338-2019)，以设计洪水回水水面线与同频率天然洪水水面线差值为0.3m处的计算断面为水库回水末端断面，末端断面水平延伸至天然多年平均流量水面线相交处为处理终点。</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
        </w:rPr>
      </w:pPr>
      <w:r>
        <w:rPr>
          <w:rFonts w:ascii="Times New Roman" w:hAnsi="宋体" w:eastAsia="宋体" w:cs="Times New Roman"/>
          <w:color w:val="000000"/>
          <w:kern w:val="2"/>
          <w:sz w:val="24"/>
          <w:szCs w:val="24"/>
          <w:shd w:val="clear" w:color="auto" w:fill="FFFFFF"/>
          <w:lang w:val="en-US" w:eastAsia="zh-CN" w:bidi="ar"/>
        </w:rPr>
        <w:t>下水库各频率回水计算成果详见表</w:t>
      </w:r>
      <w:r>
        <w:rPr>
          <w:rFonts w:ascii="Times New Roman" w:hAnsi="Times New Roman" w:eastAsia="宋体" w:cs="Times New Roman"/>
          <w:color w:val="000000"/>
          <w:kern w:val="2"/>
          <w:sz w:val="24"/>
          <w:szCs w:val="24"/>
          <w:shd w:val="clear" w:color="auto" w:fill="FFFFFF"/>
          <w:lang w:val="en-US" w:eastAsia="zh-CN" w:bidi="ar"/>
        </w:rPr>
        <w:t>5.1-1</w:t>
      </w:r>
      <w:r>
        <w:rPr>
          <w:rFonts w:ascii="Times New Roman" w:hAnsi="宋体" w:eastAsia="宋体" w:cs="Times New Roman"/>
          <w:color w:val="000000"/>
          <w:kern w:val="2"/>
          <w:sz w:val="24"/>
          <w:szCs w:val="24"/>
          <w:shd w:val="clear" w:color="auto" w:fill="FFFFFF"/>
          <w:lang w:val="en-US" w:eastAsia="zh-CN" w:bidi="ar"/>
        </w:rPr>
        <w:t>。</w:t>
      </w:r>
    </w:p>
    <w:p>
      <w:pPr>
        <w:adjustRightInd w:val="0"/>
        <w:snapToGrid w:val="0"/>
        <w:spacing w:line="480" w:lineRule="exact"/>
        <w:ind w:firstLine="480" w:firstLineChars="200"/>
        <w:rPr>
          <w:rFonts w:hint="eastAsia" w:cs="Times New Roman"/>
          <w:color w:val="000000"/>
          <w:sz w:val="24"/>
          <w:szCs w:val="24"/>
        </w:rPr>
      </w:pPr>
    </w:p>
    <w:p>
      <w:pPr>
        <w:adjustRightInd w:val="0"/>
        <w:snapToGrid w:val="0"/>
        <w:spacing w:line="480" w:lineRule="exact"/>
        <w:ind w:firstLine="480" w:firstLineChars="200"/>
        <w:rPr>
          <w:rFonts w:hint="eastAsia" w:cs="Times New Roman"/>
          <w:color w:val="000000"/>
          <w:sz w:val="24"/>
          <w:szCs w:val="24"/>
        </w:rPr>
      </w:pPr>
    </w:p>
    <w:p>
      <w:pPr>
        <w:adjustRightInd w:val="0"/>
        <w:snapToGrid w:val="0"/>
        <w:spacing w:line="480" w:lineRule="exact"/>
        <w:ind w:firstLine="480" w:firstLineChars="200"/>
        <w:rPr>
          <w:rFonts w:hint="eastAsia"/>
          <w:color w:val="000000"/>
          <w:sz w:val="24"/>
          <w:szCs w:val="24"/>
        </w:rPr>
        <w:sectPr>
          <w:footerReference r:id="rId27" w:type="default"/>
          <w:pgSz w:w="11906" w:h="16838"/>
          <w:pgMar w:top="1588" w:right="1559" w:bottom="1531" w:left="1559" w:header="1134" w:footer="1247" w:gutter="0"/>
          <w:pgNumType w:start="1"/>
          <w:cols w:space="720" w:num="1"/>
          <w:docGrid w:linePitch="326" w:charSpace="0"/>
        </w:sectPr>
      </w:pPr>
    </w:p>
    <w:p>
      <w:pPr>
        <w:widowControl w:val="0"/>
        <w:adjustRightInd w:val="0"/>
        <w:snapToGrid w:val="0"/>
        <w:spacing w:line="460" w:lineRule="exact"/>
        <w:jc w:val="center"/>
        <w:rPr>
          <w:rFonts w:ascii="Times New Roman" w:hAnsi="宋体" w:eastAsia="黑体" w:cs="Times New Roman"/>
          <w:color w:val="000000"/>
          <w:kern w:val="2"/>
          <w:sz w:val="24"/>
          <w:szCs w:val="24"/>
          <w:lang w:val="en-US" w:eastAsia="zh-CN" w:bidi="ar"/>
        </w:rPr>
      </w:pPr>
      <w:r>
        <w:rPr>
          <w:rFonts w:hint="eastAsia" w:ascii="Times New Roman" w:hAnsi="宋体" w:eastAsia="黑体" w:cs="Times New Roman"/>
          <w:color w:val="000000"/>
          <w:kern w:val="2"/>
          <w:sz w:val="24"/>
          <w:szCs w:val="24"/>
          <w:lang w:val="en-US" w:eastAsia="zh-CN" w:bidi="ar"/>
        </w:rPr>
        <w:t>表</w:t>
      </w:r>
      <w:r>
        <w:rPr>
          <w:rFonts w:ascii="Times New Roman" w:hAnsi="宋体" w:eastAsia="黑体" w:cs="Times New Roman"/>
          <w:color w:val="000000"/>
          <w:kern w:val="2"/>
          <w:sz w:val="24"/>
          <w:szCs w:val="24"/>
          <w:lang w:val="en-US" w:eastAsia="zh-CN" w:bidi="ar"/>
        </w:rPr>
        <w:t>5</w:t>
      </w:r>
      <w:r>
        <w:rPr>
          <w:rFonts w:hint="eastAsia" w:ascii="Times New Roman" w:hAnsi="宋体" w:eastAsia="黑体" w:cs="Times New Roman"/>
          <w:color w:val="000000"/>
          <w:kern w:val="2"/>
          <w:sz w:val="24"/>
          <w:szCs w:val="24"/>
          <w:lang w:val="en-US" w:eastAsia="zh-CN" w:bidi="ar"/>
        </w:rPr>
        <w:t>.</w:t>
      </w:r>
      <w:r>
        <w:rPr>
          <w:rFonts w:ascii="Times New Roman" w:hAnsi="宋体" w:eastAsia="黑体" w:cs="Times New Roman"/>
          <w:color w:val="000000"/>
          <w:kern w:val="2"/>
          <w:sz w:val="24"/>
          <w:szCs w:val="24"/>
          <w:lang w:val="en-US" w:eastAsia="zh-CN" w:bidi="ar"/>
        </w:rPr>
        <w:t xml:space="preserve">1-1  </w:t>
      </w:r>
      <w:r>
        <w:rPr>
          <w:rFonts w:hint="eastAsia" w:ascii="Times New Roman" w:hAnsi="宋体" w:eastAsia="黑体" w:cs="Times New Roman"/>
          <w:color w:val="000000"/>
          <w:kern w:val="2"/>
          <w:sz w:val="24"/>
          <w:szCs w:val="24"/>
          <w:lang w:val="en-US" w:eastAsia="zh-CN" w:bidi="ar"/>
        </w:rPr>
        <w:t>陆河抽水蓄能电站下水库淹没处理范围计算成果</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14"/>
        <w:gridCol w:w="1043"/>
        <w:gridCol w:w="1513"/>
        <w:gridCol w:w="1246"/>
        <w:gridCol w:w="1041"/>
        <w:gridCol w:w="1513"/>
        <w:gridCol w:w="1041"/>
        <w:gridCol w:w="1046"/>
        <w:gridCol w:w="1123"/>
        <w:gridCol w:w="1123"/>
        <w:gridCol w:w="105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restart"/>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序号</w:t>
            </w:r>
          </w:p>
        </w:tc>
        <w:tc>
          <w:tcPr>
            <w:tcW w:w="1043" w:type="dxa"/>
            <w:vMerge w:val="restart"/>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断面</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间距</w:t>
            </w:r>
          </w:p>
        </w:tc>
        <w:tc>
          <w:tcPr>
            <w:tcW w:w="1513" w:type="dxa"/>
            <w:vMerge w:val="restart"/>
            <w:noWrap/>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距坝</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里程</w:t>
            </w:r>
          </w:p>
        </w:tc>
        <w:tc>
          <w:tcPr>
            <w:tcW w:w="9187" w:type="dxa"/>
            <w:gridSpan w:val="8"/>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推荐方案回水淹没计算成果及淹没处理范围线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continue"/>
            <w:noWrap/>
            <w:vAlign w:val="center"/>
          </w:tcPr>
          <w:p>
            <w:pPr>
              <w:adjustRightInd w:val="0"/>
              <w:snapToGrid w:val="0"/>
              <w:ind w:left="-105" w:leftChars="-50" w:right="-105" w:rightChars="-50"/>
              <w:jc w:val="center"/>
              <w:rPr>
                <w:rFonts w:cs="Times New Roman"/>
                <w:color w:val="000000"/>
                <w:szCs w:val="21"/>
              </w:rPr>
            </w:pPr>
          </w:p>
        </w:tc>
        <w:tc>
          <w:tcPr>
            <w:tcW w:w="1043" w:type="dxa"/>
            <w:vMerge w:val="continue"/>
            <w:noWrap w:val="0"/>
            <w:vAlign w:val="center"/>
          </w:tcPr>
          <w:p>
            <w:pPr>
              <w:adjustRightInd w:val="0"/>
              <w:snapToGrid w:val="0"/>
              <w:ind w:left="-105" w:leftChars="-50" w:right="-105" w:rightChars="-50"/>
              <w:jc w:val="center"/>
              <w:rPr>
                <w:rFonts w:cs="Times New Roman"/>
                <w:color w:val="000000"/>
                <w:szCs w:val="21"/>
              </w:rPr>
            </w:pPr>
          </w:p>
        </w:tc>
        <w:tc>
          <w:tcPr>
            <w:tcW w:w="1513" w:type="dxa"/>
            <w:vMerge w:val="continue"/>
            <w:noWrap/>
            <w:vAlign w:val="center"/>
          </w:tcPr>
          <w:p>
            <w:pPr>
              <w:adjustRightInd w:val="0"/>
              <w:snapToGrid w:val="0"/>
              <w:ind w:left="-105" w:leftChars="-50" w:right="-105" w:rightChars="-50"/>
              <w:jc w:val="center"/>
              <w:rPr>
                <w:rFonts w:cs="Times New Roman"/>
                <w:color w:val="000000"/>
                <w:szCs w:val="21"/>
              </w:rPr>
            </w:pPr>
          </w:p>
        </w:tc>
        <w:tc>
          <w:tcPr>
            <w:tcW w:w="2287" w:type="dxa"/>
            <w:gridSpan w:val="2"/>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多年平均</w:t>
            </w:r>
          </w:p>
        </w:tc>
        <w:tc>
          <w:tcPr>
            <w:tcW w:w="3600" w:type="dxa"/>
            <w:gridSpan w:val="3"/>
            <w:noWrap/>
            <w:vAlign w:val="center"/>
          </w:tcPr>
          <w:p>
            <w:pPr>
              <w:widowControl/>
              <w:adjustRightInd w:val="0"/>
              <w:snapToGrid w:val="0"/>
              <w:ind w:left="-105" w:leftChars="-50" w:right="-105" w:rightChars="-50"/>
              <w:jc w:val="center"/>
              <w:textAlignment w:val="center"/>
              <w:rPr>
                <w:rFonts w:cs="Times New Roman"/>
                <w:color w:val="000000"/>
                <w:szCs w:val="21"/>
              </w:rPr>
            </w:pPr>
            <w:r>
              <w:rPr>
                <w:rFonts w:cs="Times New Roman"/>
                <w:color w:val="000000"/>
                <w:kern w:val="0"/>
                <w:szCs w:val="21"/>
                <w:lang w:bidi="ar"/>
              </w:rPr>
              <w:t>P=5%</w:t>
            </w:r>
          </w:p>
        </w:tc>
        <w:tc>
          <w:tcPr>
            <w:tcW w:w="3300" w:type="dxa"/>
            <w:gridSpan w:val="3"/>
            <w:noWrap/>
            <w:vAlign w:val="center"/>
          </w:tcPr>
          <w:p>
            <w:pPr>
              <w:widowControl/>
              <w:adjustRightInd w:val="0"/>
              <w:snapToGrid w:val="0"/>
              <w:ind w:left="-105" w:leftChars="-50" w:right="-105" w:rightChars="-50"/>
              <w:jc w:val="center"/>
              <w:textAlignment w:val="center"/>
              <w:rPr>
                <w:rFonts w:cs="Times New Roman"/>
                <w:color w:val="000000"/>
                <w:szCs w:val="21"/>
              </w:rPr>
            </w:pPr>
            <w:r>
              <w:rPr>
                <w:rFonts w:cs="Times New Roman"/>
                <w:color w:val="000000"/>
                <w:kern w:val="0"/>
                <w:szCs w:val="21"/>
                <w:lang w:bidi="ar"/>
              </w:rPr>
              <w:t>P=20%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continue"/>
            <w:noWrap/>
            <w:vAlign w:val="center"/>
          </w:tcPr>
          <w:p>
            <w:pPr>
              <w:adjustRightInd w:val="0"/>
              <w:snapToGrid w:val="0"/>
              <w:ind w:left="-105" w:leftChars="-50" w:right="-105" w:rightChars="-50"/>
              <w:jc w:val="center"/>
              <w:rPr>
                <w:rFonts w:cs="Times New Roman"/>
                <w:color w:val="000000"/>
                <w:szCs w:val="21"/>
              </w:rPr>
            </w:pPr>
          </w:p>
        </w:tc>
        <w:tc>
          <w:tcPr>
            <w:tcW w:w="1043" w:type="dxa"/>
            <w:vMerge w:val="continue"/>
            <w:noWrap w:val="0"/>
            <w:vAlign w:val="center"/>
          </w:tcPr>
          <w:p>
            <w:pPr>
              <w:adjustRightInd w:val="0"/>
              <w:snapToGrid w:val="0"/>
              <w:ind w:left="-105" w:leftChars="-50" w:right="-105" w:rightChars="-50"/>
              <w:jc w:val="center"/>
              <w:rPr>
                <w:rFonts w:cs="Times New Roman"/>
                <w:color w:val="000000"/>
                <w:szCs w:val="21"/>
              </w:rPr>
            </w:pPr>
          </w:p>
        </w:tc>
        <w:tc>
          <w:tcPr>
            <w:tcW w:w="1513" w:type="dxa"/>
            <w:vMerge w:val="continue"/>
            <w:noWrap/>
            <w:vAlign w:val="center"/>
          </w:tcPr>
          <w:p>
            <w:pPr>
              <w:adjustRightInd w:val="0"/>
              <w:snapToGrid w:val="0"/>
              <w:ind w:left="-105" w:leftChars="-50" w:right="-105" w:rightChars="-50"/>
              <w:jc w:val="center"/>
              <w:rPr>
                <w:rFonts w:cs="Times New Roman"/>
                <w:color w:val="000000"/>
                <w:szCs w:val="21"/>
              </w:rPr>
            </w:pPr>
          </w:p>
        </w:tc>
        <w:tc>
          <w:tcPr>
            <w:tcW w:w="1246"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多年平均</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041"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林草地征收线</w:t>
            </w:r>
          </w:p>
        </w:tc>
        <w:tc>
          <w:tcPr>
            <w:tcW w:w="1513"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天然</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041"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回水线</w:t>
            </w:r>
          </w:p>
        </w:tc>
        <w:tc>
          <w:tcPr>
            <w:tcW w:w="1046"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居民</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迁移线</w:t>
            </w:r>
          </w:p>
        </w:tc>
        <w:tc>
          <w:tcPr>
            <w:tcW w:w="1123"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天然</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123"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回水线</w:t>
            </w:r>
          </w:p>
        </w:tc>
        <w:tc>
          <w:tcPr>
            <w:tcW w:w="1054"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耕园地征收线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continue"/>
            <w:noWrap/>
            <w:vAlign w:val="center"/>
          </w:tcPr>
          <w:p>
            <w:pPr>
              <w:jc w:val="center"/>
              <w:rPr>
                <w:rFonts w:cs="Times New Roman"/>
                <w:color w:val="000000"/>
                <w:szCs w:val="21"/>
              </w:rPr>
            </w:pPr>
          </w:p>
        </w:tc>
        <w:tc>
          <w:tcPr>
            <w:tcW w:w="104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5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24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041"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5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041"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04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12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12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05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04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0</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0</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162.5</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164.76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164.33</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118.55</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118.55</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168.23</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170.86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170.59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81.71</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200.26</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171.06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173.89</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173.54</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4</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90.35</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290.61</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174.41</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176.96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176.67</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89.76</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380.37</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180.01</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182.04</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181.71</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84.12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464.49</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182.5</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185.32</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184.97</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118.01</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582.5</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190.7</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192.86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192.51</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8</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96.25</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678.75</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195.01</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197.04</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196.83</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55.46</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734.21</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198.12</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200.57</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200.31</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44.18</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778.39</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200.04</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202.32</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201.98</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11</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49.81</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828.2</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206.06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208.3</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208.02</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12</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45.41</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873.61</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210.01</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211.81</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211.48</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bl>
    <w:p>
      <w:pPr>
        <w:widowControl w:val="0"/>
        <w:adjustRightInd w:val="0"/>
        <w:snapToGrid w:val="0"/>
        <w:spacing w:line="460" w:lineRule="exact"/>
        <w:jc w:val="center"/>
        <w:rPr>
          <w:rFonts w:hint="eastAsia" w:ascii="Times New Roman" w:hAnsi="宋体" w:eastAsia="黑体" w:cs="Times New Roman"/>
          <w:color w:val="000000"/>
          <w:kern w:val="2"/>
          <w:sz w:val="24"/>
          <w:szCs w:val="24"/>
          <w:lang w:val="en-US" w:eastAsia="zh-CN" w:bidi="ar"/>
        </w:rPr>
      </w:pPr>
      <w:r>
        <w:rPr>
          <w:rFonts w:hint="eastAsia" w:ascii="Times New Roman" w:hAnsi="宋体" w:eastAsia="黑体" w:cs="Times New Roman"/>
          <w:color w:val="000000"/>
          <w:kern w:val="2"/>
          <w:sz w:val="24"/>
          <w:szCs w:val="24"/>
          <w:lang w:val="en-US" w:eastAsia="zh-CN" w:bidi="ar"/>
        </w:rPr>
        <w:t>表</w:t>
      </w:r>
      <w:r>
        <w:rPr>
          <w:rFonts w:ascii="Times New Roman" w:hAnsi="宋体" w:eastAsia="黑体" w:cs="Times New Roman"/>
          <w:color w:val="000000"/>
          <w:kern w:val="2"/>
          <w:sz w:val="24"/>
          <w:szCs w:val="24"/>
          <w:lang w:val="en-US" w:eastAsia="zh-CN" w:bidi="ar"/>
        </w:rPr>
        <w:t>5</w:t>
      </w:r>
      <w:r>
        <w:rPr>
          <w:rFonts w:hint="eastAsia" w:ascii="Times New Roman" w:hAnsi="宋体" w:eastAsia="黑体" w:cs="Times New Roman"/>
          <w:color w:val="000000"/>
          <w:kern w:val="2"/>
          <w:sz w:val="24"/>
          <w:szCs w:val="24"/>
          <w:lang w:val="en-US" w:eastAsia="zh-CN" w:bidi="ar"/>
        </w:rPr>
        <w:t>.</w:t>
      </w:r>
      <w:r>
        <w:rPr>
          <w:rFonts w:ascii="Times New Roman" w:hAnsi="宋体" w:eastAsia="黑体" w:cs="Times New Roman"/>
          <w:color w:val="000000"/>
          <w:kern w:val="2"/>
          <w:sz w:val="24"/>
          <w:szCs w:val="24"/>
          <w:lang w:val="en-US" w:eastAsia="zh-CN" w:bidi="ar"/>
        </w:rPr>
        <w:t>1-1</w:t>
      </w:r>
      <w:r>
        <w:rPr>
          <w:rFonts w:hint="eastAsia" w:ascii="Times New Roman" w:hAnsi="宋体" w:eastAsia="黑体" w:cs="Times New Roman"/>
          <w:color w:val="000000"/>
          <w:kern w:val="2"/>
          <w:sz w:val="24"/>
          <w:szCs w:val="24"/>
          <w:lang w:val="en-US" w:eastAsia="zh-CN" w:bidi="ar"/>
        </w:rPr>
        <w:t>(续)</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14"/>
        <w:gridCol w:w="1043"/>
        <w:gridCol w:w="1513"/>
        <w:gridCol w:w="1246"/>
        <w:gridCol w:w="1041"/>
        <w:gridCol w:w="1513"/>
        <w:gridCol w:w="1041"/>
        <w:gridCol w:w="1046"/>
        <w:gridCol w:w="1123"/>
        <w:gridCol w:w="1123"/>
        <w:gridCol w:w="105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restart"/>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序号</w:t>
            </w:r>
          </w:p>
        </w:tc>
        <w:tc>
          <w:tcPr>
            <w:tcW w:w="1043" w:type="dxa"/>
            <w:vMerge w:val="restart"/>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断面</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间距</w:t>
            </w:r>
          </w:p>
        </w:tc>
        <w:tc>
          <w:tcPr>
            <w:tcW w:w="1513" w:type="dxa"/>
            <w:vMerge w:val="restart"/>
            <w:noWrap/>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距坝</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里程</w:t>
            </w:r>
          </w:p>
        </w:tc>
        <w:tc>
          <w:tcPr>
            <w:tcW w:w="9187" w:type="dxa"/>
            <w:gridSpan w:val="8"/>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推荐方案回水淹没计算成果及淹没处理范围线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continue"/>
            <w:noWrap/>
            <w:vAlign w:val="center"/>
          </w:tcPr>
          <w:p>
            <w:pPr>
              <w:adjustRightInd w:val="0"/>
              <w:snapToGrid w:val="0"/>
              <w:ind w:left="-105" w:leftChars="-50" w:right="-105" w:rightChars="-50"/>
              <w:jc w:val="center"/>
              <w:rPr>
                <w:rFonts w:cs="Times New Roman"/>
                <w:color w:val="000000"/>
                <w:szCs w:val="21"/>
              </w:rPr>
            </w:pPr>
          </w:p>
        </w:tc>
        <w:tc>
          <w:tcPr>
            <w:tcW w:w="1043" w:type="dxa"/>
            <w:vMerge w:val="continue"/>
            <w:noWrap w:val="0"/>
            <w:vAlign w:val="center"/>
          </w:tcPr>
          <w:p>
            <w:pPr>
              <w:adjustRightInd w:val="0"/>
              <w:snapToGrid w:val="0"/>
              <w:ind w:left="-105" w:leftChars="-50" w:right="-105" w:rightChars="-50"/>
              <w:jc w:val="center"/>
              <w:rPr>
                <w:rFonts w:cs="Times New Roman"/>
                <w:color w:val="000000"/>
                <w:szCs w:val="21"/>
              </w:rPr>
            </w:pPr>
          </w:p>
        </w:tc>
        <w:tc>
          <w:tcPr>
            <w:tcW w:w="1513" w:type="dxa"/>
            <w:vMerge w:val="continue"/>
            <w:noWrap/>
            <w:vAlign w:val="center"/>
          </w:tcPr>
          <w:p>
            <w:pPr>
              <w:adjustRightInd w:val="0"/>
              <w:snapToGrid w:val="0"/>
              <w:ind w:left="-105" w:leftChars="-50" w:right="-105" w:rightChars="-50"/>
              <w:jc w:val="center"/>
              <w:rPr>
                <w:rFonts w:cs="Times New Roman"/>
                <w:color w:val="000000"/>
                <w:szCs w:val="21"/>
              </w:rPr>
            </w:pPr>
          </w:p>
        </w:tc>
        <w:tc>
          <w:tcPr>
            <w:tcW w:w="2287" w:type="dxa"/>
            <w:gridSpan w:val="2"/>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多年平均</w:t>
            </w:r>
          </w:p>
        </w:tc>
        <w:tc>
          <w:tcPr>
            <w:tcW w:w="3600" w:type="dxa"/>
            <w:gridSpan w:val="3"/>
            <w:noWrap/>
            <w:vAlign w:val="center"/>
          </w:tcPr>
          <w:p>
            <w:pPr>
              <w:widowControl/>
              <w:adjustRightInd w:val="0"/>
              <w:snapToGrid w:val="0"/>
              <w:ind w:left="-105" w:leftChars="-50" w:right="-105" w:rightChars="-50"/>
              <w:jc w:val="center"/>
              <w:textAlignment w:val="center"/>
              <w:rPr>
                <w:rFonts w:cs="Times New Roman"/>
                <w:color w:val="000000"/>
                <w:szCs w:val="21"/>
              </w:rPr>
            </w:pPr>
            <w:r>
              <w:rPr>
                <w:rFonts w:cs="Times New Roman"/>
                <w:color w:val="000000"/>
                <w:kern w:val="0"/>
                <w:szCs w:val="21"/>
                <w:lang w:bidi="ar"/>
              </w:rPr>
              <w:t>P=5%</w:t>
            </w:r>
          </w:p>
        </w:tc>
        <w:tc>
          <w:tcPr>
            <w:tcW w:w="3300" w:type="dxa"/>
            <w:gridSpan w:val="3"/>
            <w:noWrap/>
            <w:vAlign w:val="center"/>
          </w:tcPr>
          <w:p>
            <w:pPr>
              <w:widowControl/>
              <w:adjustRightInd w:val="0"/>
              <w:snapToGrid w:val="0"/>
              <w:ind w:left="-105" w:leftChars="-50" w:right="-105" w:rightChars="-50"/>
              <w:jc w:val="center"/>
              <w:textAlignment w:val="center"/>
              <w:rPr>
                <w:rFonts w:cs="Times New Roman"/>
                <w:color w:val="000000"/>
                <w:szCs w:val="21"/>
              </w:rPr>
            </w:pPr>
            <w:r>
              <w:rPr>
                <w:rFonts w:cs="Times New Roman"/>
                <w:color w:val="000000"/>
                <w:kern w:val="0"/>
                <w:szCs w:val="21"/>
                <w:lang w:bidi="ar"/>
              </w:rPr>
              <w:t>P=20%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continue"/>
            <w:noWrap/>
            <w:vAlign w:val="center"/>
          </w:tcPr>
          <w:p>
            <w:pPr>
              <w:adjustRightInd w:val="0"/>
              <w:snapToGrid w:val="0"/>
              <w:ind w:left="-105" w:leftChars="-50" w:right="-105" w:rightChars="-50"/>
              <w:jc w:val="center"/>
              <w:rPr>
                <w:rFonts w:cs="Times New Roman"/>
                <w:color w:val="000000"/>
                <w:szCs w:val="21"/>
              </w:rPr>
            </w:pPr>
          </w:p>
        </w:tc>
        <w:tc>
          <w:tcPr>
            <w:tcW w:w="1043" w:type="dxa"/>
            <w:vMerge w:val="continue"/>
            <w:noWrap w:val="0"/>
            <w:vAlign w:val="center"/>
          </w:tcPr>
          <w:p>
            <w:pPr>
              <w:adjustRightInd w:val="0"/>
              <w:snapToGrid w:val="0"/>
              <w:ind w:left="-105" w:leftChars="-50" w:right="-105" w:rightChars="-50"/>
              <w:jc w:val="center"/>
              <w:rPr>
                <w:rFonts w:cs="Times New Roman"/>
                <w:color w:val="000000"/>
                <w:szCs w:val="21"/>
              </w:rPr>
            </w:pPr>
          </w:p>
        </w:tc>
        <w:tc>
          <w:tcPr>
            <w:tcW w:w="1513" w:type="dxa"/>
            <w:vMerge w:val="continue"/>
            <w:noWrap/>
            <w:vAlign w:val="center"/>
          </w:tcPr>
          <w:p>
            <w:pPr>
              <w:adjustRightInd w:val="0"/>
              <w:snapToGrid w:val="0"/>
              <w:ind w:left="-105" w:leftChars="-50" w:right="-105" w:rightChars="-50"/>
              <w:jc w:val="center"/>
              <w:rPr>
                <w:rFonts w:cs="Times New Roman"/>
                <w:color w:val="000000"/>
                <w:szCs w:val="21"/>
              </w:rPr>
            </w:pPr>
          </w:p>
        </w:tc>
        <w:tc>
          <w:tcPr>
            <w:tcW w:w="1246"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多年平均</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041"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林草地征收线</w:t>
            </w:r>
          </w:p>
        </w:tc>
        <w:tc>
          <w:tcPr>
            <w:tcW w:w="1513"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天然</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041"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回水线</w:t>
            </w:r>
          </w:p>
        </w:tc>
        <w:tc>
          <w:tcPr>
            <w:tcW w:w="1046"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居民</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迁移线</w:t>
            </w:r>
          </w:p>
        </w:tc>
        <w:tc>
          <w:tcPr>
            <w:tcW w:w="1123"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天然</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123"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回水线</w:t>
            </w:r>
          </w:p>
        </w:tc>
        <w:tc>
          <w:tcPr>
            <w:tcW w:w="1054"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耕园地征收线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continue"/>
            <w:noWrap/>
            <w:vAlign w:val="center"/>
          </w:tcPr>
          <w:p>
            <w:pPr>
              <w:jc w:val="center"/>
              <w:rPr>
                <w:rFonts w:cs="Times New Roman"/>
                <w:color w:val="000000"/>
                <w:szCs w:val="21"/>
              </w:rPr>
            </w:pPr>
          </w:p>
        </w:tc>
        <w:tc>
          <w:tcPr>
            <w:tcW w:w="104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5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24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041"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5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041"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04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12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12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c>
          <w:tcPr>
            <w:tcW w:w="105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13</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47.96</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921.57</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213.54</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215.89</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215.63</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14</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71.22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992.79</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216.04</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218.73</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218.48</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15</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42.94</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1035.73</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220.66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223.06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222.68</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noWrap/>
            <w:vAlign w:val="center"/>
          </w:tcPr>
          <w:p>
            <w:pPr>
              <w:widowControl/>
              <w:jc w:val="center"/>
              <w:textAlignment w:val="center"/>
              <w:rPr>
                <w:rFonts w:cs="Times New Roman"/>
                <w:color w:val="000000"/>
                <w:szCs w:val="21"/>
              </w:rPr>
            </w:pPr>
            <w:r>
              <w:rPr>
                <w:rFonts w:cs="Times New Roman"/>
                <w:color w:val="000000"/>
                <w:kern w:val="0"/>
                <w:szCs w:val="21"/>
                <w:lang w:bidi="ar"/>
              </w:rPr>
              <w:t>16</w:t>
            </w:r>
          </w:p>
        </w:tc>
        <w:tc>
          <w:tcPr>
            <w:tcW w:w="104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28.16</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1063.89</w:t>
            </w:r>
          </w:p>
        </w:tc>
        <w:tc>
          <w:tcPr>
            <w:tcW w:w="12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223.56</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232</w:t>
            </w:r>
          </w:p>
        </w:tc>
        <w:tc>
          <w:tcPr>
            <w:tcW w:w="151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225.74</w:t>
            </w:r>
          </w:p>
        </w:tc>
        <w:tc>
          <w:tcPr>
            <w:tcW w:w="1041"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04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233.49</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225.44</w:t>
            </w:r>
          </w:p>
        </w:tc>
        <w:tc>
          <w:tcPr>
            <w:tcW w:w="112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c>
          <w:tcPr>
            <w:tcW w:w="105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233.08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cs="Times New Roman"/>
                <w:color w:val="000000"/>
                <w:kern w:val="0"/>
                <w:szCs w:val="21"/>
                <w:lang w:bidi="ar"/>
              </w:rPr>
            </w:pPr>
            <w:r>
              <w:rPr>
                <w:rFonts w:cs="Times New Roman"/>
                <w:color w:val="000000"/>
                <w:kern w:val="0"/>
                <w:szCs w:val="21"/>
                <w:lang w:bidi="ar"/>
              </w:rPr>
              <w:t>17</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34.5</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1098.39</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226.22</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232</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229.25</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233.51</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233.51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228.9</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233.12</w:t>
            </w: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233.12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cs="Times New Roman"/>
                <w:color w:val="000000"/>
                <w:kern w:val="0"/>
                <w:szCs w:val="21"/>
                <w:lang w:bidi="ar"/>
              </w:rPr>
            </w:pPr>
            <w:r>
              <w:rPr>
                <w:rFonts w:cs="Times New Roman"/>
                <w:color w:val="000000"/>
                <w:kern w:val="0"/>
                <w:szCs w:val="21"/>
                <w:lang w:bidi="ar"/>
              </w:rPr>
              <w:t>18</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44.87</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1143.26</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230</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232</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232.9</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233.8</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233.8</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232.61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233.43</w:t>
            </w: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233.43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P=20%</w:t>
            </w:r>
          </w:p>
          <w:p>
            <w:pPr>
              <w:widowControl/>
              <w:jc w:val="center"/>
              <w:textAlignment w:val="center"/>
              <w:rPr>
                <w:rFonts w:cs="Times New Roman"/>
                <w:color w:val="000000"/>
                <w:kern w:val="0"/>
                <w:szCs w:val="21"/>
                <w:lang w:bidi="ar"/>
              </w:rPr>
            </w:pPr>
            <w:r>
              <w:rPr>
                <w:rFonts w:cs="Times New Roman"/>
                <w:color w:val="000000"/>
                <w:kern w:val="0"/>
                <w:szCs w:val="21"/>
                <w:lang w:bidi="ar"/>
              </w:rPr>
              <w:t>回水末端断面</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18.74</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1162</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233.78</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P=5%</w:t>
            </w:r>
          </w:p>
          <w:p>
            <w:pPr>
              <w:widowControl/>
              <w:jc w:val="center"/>
              <w:textAlignment w:val="center"/>
              <w:rPr>
                <w:rFonts w:cs="Times New Roman"/>
                <w:color w:val="000000"/>
                <w:kern w:val="0"/>
                <w:szCs w:val="21"/>
                <w:lang w:bidi="ar"/>
              </w:rPr>
            </w:pPr>
            <w:r>
              <w:rPr>
                <w:rFonts w:cs="Times New Roman"/>
                <w:color w:val="000000"/>
                <w:kern w:val="0"/>
                <w:szCs w:val="21"/>
                <w:lang w:bidi="ar"/>
              </w:rPr>
              <w:t>回水末端断面</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19.52</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1162.78</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234.21</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cs="Times New Roman"/>
                <w:color w:val="000000"/>
                <w:kern w:val="0"/>
                <w:szCs w:val="21"/>
                <w:lang w:bidi="ar"/>
              </w:rPr>
            </w:pPr>
            <w:r>
              <w:rPr>
                <w:rFonts w:cs="Times New Roman"/>
                <w:color w:val="000000"/>
                <w:kern w:val="0"/>
                <w:szCs w:val="21"/>
                <w:lang w:bidi="ar"/>
              </w:rPr>
              <w:t>19</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26.03</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1169.29</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231.6</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232</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234.64</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234.74</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234.24</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234.31</w:t>
            </w: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cs="Times New Roman"/>
                <w:color w:val="000000"/>
                <w:kern w:val="0"/>
                <w:szCs w:val="21"/>
                <w:lang w:bidi="ar"/>
              </w:rPr>
            </w:pPr>
            <w:r>
              <w:rPr>
                <w:rFonts w:cs="Times New Roman"/>
                <w:color w:val="000000"/>
                <w:kern w:val="0"/>
                <w:szCs w:val="21"/>
                <w:lang w:bidi="ar"/>
              </w:rPr>
              <w:t>林草地处理终点</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27.59</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1196.88</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232</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232</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cs="Times New Roman"/>
                <w:color w:val="000000"/>
                <w:kern w:val="0"/>
                <w:szCs w:val="21"/>
                <w:lang w:bidi="ar"/>
              </w:rPr>
            </w:pPr>
            <w:r>
              <w:rPr>
                <w:rFonts w:cs="Times New Roman"/>
                <w:color w:val="000000"/>
                <w:kern w:val="0"/>
                <w:szCs w:val="21"/>
                <w:lang w:bidi="ar"/>
              </w:rPr>
              <w:t>20</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28.48</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1197.77</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232.23</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236.02</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236.06</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235.49</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235.53</w:t>
            </w: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cs="Times New Roman"/>
                <w:color w:val="000000"/>
                <w:kern w:val="0"/>
                <w:szCs w:val="21"/>
                <w:lang w:bidi="ar"/>
              </w:rPr>
            </w:pPr>
            <w:r>
              <w:rPr>
                <w:rFonts w:cs="Times New Roman"/>
                <w:color w:val="000000"/>
                <w:kern w:val="0"/>
                <w:szCs w:val="21"/>
                <w:lang w:bidi="ar"/>
              </w:rPr>
              <w:t>21</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23.47</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1221.24</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233.55</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236.88</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236.9</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236.35</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236.36</w:t>
            </w: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r>
    </w:tbl>
    <w:p>
      <w:pPr>
        <w:widowControl w:val="0"/>
        <w:adjustRightInd w:val="0"/>
        <w:snapToGrid w:val="0"/>
        <w:spacing w:line="460" w:lineRule="exact"/>
        <w:jc w:val="center"/>
        <w:rPr>
          <w:rFonts w:hint="eastAsia" w:ascii="Times New Roman" w:hAnsi="宋体" w:eastAsia="黑体" w:cs="Times New Roman"/>
          <w:color w:val="000000"/>
          <w:kern w:val="2"/>
          <w:sz w:val="24"/>
          <w:szCs w:val="24"/>
          <w:lang w:val="en-US" w:eastAsia="zh-CN" w:bidi="ar"/>
        </w:rPr>
      </w:pPr>
      <w:r>
        <w:rPr>
          <w:rFonts w:hint="eastAsia" w:ascii="Times New Roman" w:hAnsi="宋体" w:eastAsia="黑体" w:cs="Times New Roman"/>
          <w:color w:val="000000"/>
          <w:kern w:val="2"/>
          <w:sz w:val="24"/>
          <w:szCs w:val="24"/>
          <w:lang w:val="en-US" w:eastAsia="zh-CN" w:bidi="ar"/>
        </w:rPr>
        <w:t>表</w:t>
      </w:r>
      <w:r>
        <w:rPr>
          <w:rFonts w:ascii="Times New Roman" w:hAnsi="宋体" w:eastAsia="黑体" w:cs="Times New Roman"/>
          <w:color w:val="000000"/>
          <w:kern w:val="2"/>
          <w:sz w:val="24"/>
          <w:szCs w:val="24"/>
          <w:lang w:val="en-US" w:eastAsia="zh-CN" w:bidi="ar"/>
        </w:rPr>
        <w:t>5</w:t>
      </w:r>
      <w:r>
        <w:rPr>
          <w:rFonts w:hint="eastAsia" w:ascii="Times New Roman" w:hAnsi="宋体" w:eastAsia="黑体" w:cs="Times New Roman"/>
          <w:color w:val="000000"/>
          <w:kern w:val="2"/>
          <w:sz w:val="24"/>
          <w:szCs w:val="24"/>
          <w:lang w:val="en-US" w:eastAsia="zh-CN" w:bidi="ar"/>
        </w:rPr>
        <w:t>.</w:t>
      </w:r>
      <w:r>
        <w:rPr>
          <w:rFonts w:ascii="Times New Roman" w:hAnsi="宋体" w:eastAsia="黑体" w:cs="Times New Roman"/>
          <w:color w:val="000000"/>
          <w:kern w:val="2"/>
          <w:sz w:val="24"/>
          <w:szCs w:val="24"/>
          <w:lang w:val="en-US" w:eastAsia="zh-CN" w:bidi="ar"/>
        </w:rPr>
        <w:t>1-1</w:t>
      </w:r>
      <w:r>
        <w:rPr>
          <w:rFonts w:hint="eastAsia" w:ascii="Times New Roman" w:hAnsi="宋体" w:eastAsia="黑体" w:cs="Times New Roman"/>
          <w:color w:val="000000"/>
          <w:kern w:val="2"/>
          <w:sz w:val="24"/>
          <w:szCs w:val="24"/>
          <w:lang w:val="en-US" w:eastAsia="zh-CN" w:bidi="ar"/>
        </w:rPr>
        <w:t>(续)</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14"/>
        <w:gridCol w:w="1043"/>
        <w:gridCol w:w="1513"/>
        <w:gridCol w:w="1246"/>
        <w:gridCol w:w="1041"/>
        <w:gridCol w:w="1513"/>
        <w:gridCol w:w="1041"/>
        <w:gridCol w:w="1046"/>
        <w:gridCol w:w="1123"/>
        <w:gridCol w:w="1123"/>
        <w:gridCol w:w="105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restart"/>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序号</w:t>
            </w:r>
          </w:p>
        </w:tc>
        <w:tc>
          <w:tcPr>
            <w:tcW w:w="1043" w:type="dxa"/>
            <w:vMerge w:val="restart"/>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断面</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间距</w:t>
            </w:r>
          </w:p>
        </w:tc>
        <w:tc>
          <w:tcPr>
            <w:tcW w:w="1513" w:type="dxa"/>
            <w:vMerge w:val="restart"/>
            <w:noWrap/>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距坝</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里程</w:t>
            </w:r>
          </w:p>
        </w:tc>
        <w:tc>
          <w:tcPr>
            <w:tcW w:w="9187" w:type="dxa"/>
            <w:gridSpan w:val="8"/>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推荐方案回水淹没计算成果及淹没处理范围线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continue"/>
            <w:noWrap/>
            <w:vAlign w:val="center"/>
          </w:tcPr>
          <w:p>
            <w:pPr>
              <w:adjustRightInd w:val="0"/>
              <w:snapToGrid w:val="0"/>
              <w:ind w:left="-105" w:leftChars="-50" w:right="-105" w:rightChars="-50"/>
              <w:jc w:val="center"/>
              <w:rPr>
                <w:rFonts w:cs="Times New Roman"/>
                <w:color w:val="000000"/>
                <w:szCs w:val="21"/>
              </w:rPr>
            </w:pPr>
          </w:p>
        </w:tc>
        <w:tc>
          <w:tcPr>
            <w:tcW w:w="1043" w:type="dxa"/>
            <w:vMerge w:val="continue"/>
            <w:noWrap w:val="0"/>
            <w:vAlign w:val="center"/>
          </w:tcPr>
          <w:p>
            <w:pPr>
              <w:adjustRightInd w:val="0"/>
              <w:snapToGrid w:val="0"/>
              <w:ind w:left="-105" w:leftChars="-50" w:right="-105" w:rightChars="-50"/>
              <w:jc w:val="center"/>
              <w:rPr>
                <w:rFonts w:cs="Times New Roman"/>
                <w:color w:val="000000"/>
                <w:szCs w:val="21"/>
              </w:rPr>
            </w:pPr>
          </w:p>
        </w:tc>
        <w:tc>
          <w:tcPr>
            <w:tcW w:w="1513" w:type="dxa"/>
            <w:vMerge w:val="continue"/>
            <w:noWrap/>
            <w:vAlign w:val="center"/>
          </w:tcPr>
          <w:p>
            <w:pPr>
              <w:adjustRightInd w:val="0"/>
              <w:snapToGrid w:val="0"/>
              <w:ind w:left="-105" w:leftChars="-50" w:right="-105" w:rightChars="-50"/>
              <w:jc w:val="center"/>
              <w:rPr>
                <w:rFonts w:cs="Times New Roman"/>
                <w:color w:val="000000"/>
                <w:szCs w:val="21"/>
              </w:rPr>
            </w:pPr>
          </w:p>
        </w:tc>
        <w:tc>
          <w:tcPr>
            <w:tcW w:w="2287" w:type="dxa"/>
            <w:gridSpan w:val="2"/>
            <w:noWrap/>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多年平均</w:t>
            </w:r>
          </w:p>
        </w:tc>
        <w:tc>
          <w:tcPr>
            <w:tcW w:w="3600" w:type="dxa"/>
            <w:gridSpan w:val="3"/>
            <w:noWrap/>
            <w:vAlign w:val="center"/>
          </w:tcPr>
          <w:p>
            <w:pPr>
              <w:widowControl/>
              <w:adjustRightInd w:val="0"/>
              <w:snapToGrid w:val="0"/>
              <w:ind w:left="-105" w:leftChars="-50" w:right="-105" w:rightChars="-50"/>
              <w:jc w:val="center"/>
              <w:textAlignment w:val="center"/>
              <w:rPr>
                <w:rFonts w:cs="Times New Roman"/>
                <w:color w:val="000000"/>
                <w:szCs w:val="21"/>
              </w:rPr>
            </w:pPr>
            <w:r>
              <w:rPr>
                <w:rFonts w:cs="Times New Roman"/>
                <w:color w:val="000000"/>
                <w:kern w:val="0"/>
                <w:szCs w:val="21"/>
                <w:lang w:bidi="ar"/>
              </w:rPr>
              <w:t>P=5%</w:t>
            </w:r>
          </w:p>
        </w:tc>
        <w:tc>
          <w:tcPr>
            <w:tcW w:w="3300" w:type="dxa"/>
            <w:gridSpan w:val="3"/>
            <w:noWrap/>
            <w:vAlign w:val="center"/>
          </w:tcPr>
          <w:p>
            <w:pPr>
              <w:widowControl/>
              <w:adjustRightInd w:val="0"/>
              <w:snapToGrid w:val="0"/>
              <w:ind w:left="-105" w:leftChars="-50" w:right="-105" w:rightChars="-50"/>
              <w:jc w:val="center"/>
              <w:textAlignment w:val="center"/>
              <w:rPr>
                <w:rFonts w:cs="Times New Roman"/>
                <w:color w:val="000000"/>
                <w:szCs w:val="21"/>
              </w:rPr>
            </w:pPr>
            <w:r>
              <w:rPr>
                <w:rFonts w:cs="Times New Roman"/>
                <w:color w:val="000000"/>
                <w:kern w:val="0"/>
                <w:szCs w:val="21"/>
                <w:lang w:bidi="ar"/>
              </w:rPr>
              <w:t>P=20%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914" w:type="dxa"/>
            <w:vMerge w:val="continue"/>
            <w:noWrap/>
            <w:vAlign w:val="center"/>
          </w:tcPr>
          <w:p>
            <w:pPr>
              <w:adjustRightInd w:val="0"/>
              <w:snapToGrid w:val="0"/>
              <w:ind w:left="-105" w:leftChars="-50" w:right="-105" w:rightChars="-50"/>
              <w:jc w:val="center"/>
              <w:rPr>
                <w:rFonts w:cs="Times New Roman"/>
                <w:color w:val="000000"/>
                <w:szCs w:val="21"/>
              </w:rPr>
            </w:pPr>
          </w:p>
        </w:tc>
        <w:tc>
          <w:tcPr>
            <w:tcW w:w="1043" w:type="dxa"/>
            <w:vMerge w:val="continue"/>
            <w:noWrap w:val="0"/>
            <w:vAlign w:val="center"/>
          </w:tcPr>
          <w:p>
            <w:pPr>
              <w:adjustRightInd w:val="0"/>
              <w:snapToGrid w:val="0"/>
              <w:ind w:left="-105" w:leftChars="-50" w:right="-105" w:rightChars="-50"/>
              <w:jc w:val="center"/>
              <w:rPr>
                <w:rFonts w:cs="Times New Roman"/>
                <w:color w:val="000000"/>
                <w:szCs w:val="21"/>
              </w:rPr>
            </w:pPr>
          </w:p>
        </w:tc>
        <w:tc>
          <w:tcPr>
            <w:tcW w:w="1513" w:type="dxa"/>
            <w:vMerge w:val="continue"/>
            <w:noWrap/>
            <w:vAlign w:val="center"/>
          </w:tcPr>
          <w:p>
            <w:pPr>
              <w:adjustRightInd w:val="0"/>
              <w:snapToGrid w:val="0"/>
              <w:ind w:left="-105" w:leftChars="-50" w:right="-105" w:rightChars="-50"/>
              <w:jc w:val="center"/>
              <w:rPr>
                <w:rFonts w:cs="Times New Roman"/>
                <w:color w:val="000000"/>
                <w:szCs w:val="21"/>
              </w:rPr>
            </w:pPr>
          </w:p>
        </w:tc>
        <w:tc>
          <w:tcPr>
            <w:tcW w:w="1246"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多年平均</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041"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林草地征收线</w:t>
            </w:r>
          </w:p>
        </w:tc>
        <w:tc>
          <w:tcPr>
            <w:tcW w:w="1513"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天然</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041"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回水线</w:t>
            </w:r>
          </w:p>
        </w:tc>
        <w:tc>
          <w:tcPr>
            <w:tcW w:w="1046"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居民</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迁移线</w:t>
            </w:r>
          </w:p>
        </w:tc>
        <w:tc>
          <w:tcPr>
            <w:tcW w:w="1123" w:type="dxa"/>
            <w:noWrap w:val="0"/>
            <w:vAlign w:val="center"/>
          </w:tcPr>
          <w:p>
            <w:pPr>
              <w:widowControl/>
              <w:adjustRightInd w:val="0"/>
              <w:snapToGrid w:val="0"/>
              <w:ind w:left="-105" w:leftChars="-50" w:right="-105" w:rightChars="-50"/>
              <w:jc w:val="center"/>
              <w:textAlignment w:val="center"/>
              <w:rPr>
                <w:rFonts w:hint="eastAsia" w:hAnsi="宋体" w:cs="Times New Roman"/>
                <w:color w:val="000000"/>
                <w:kern w:val="0"/>
                <w:szCs w:val="21"/>
                <w:lang w:bidi="ar"/>
              </w:rPr>
            </w:pPr>
            <w:r>
              <w:rPr>
                <w:rFonts w:hAnsi="宋体" w:cs="Times New Roman"/>
                <w:color w:val="000000"/>
                <w:kern w:val="0"/>
                <w:szCs w:val="21"/>
                <w:lang w:bidi="ar"/>
              </w:rPr>
              <w:t>天然</w:t>
            </w:r>
          </w:p>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水面线</w:t>
            </w:r>
          </w:p>
        </w:tc>
        <w:tc>
          <w:tcPr>
            <w:tcW w:w="1123"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回水线</w:t>
            </w:r>
          </w:p>
        </w:tc>
        <w:tc>
          <w:tcPr>
            <w:tcW w:w="1054" w:type="dxa"/>
            <w:noWrap w:val="0"/>
            <w:vAlign w:val="center"/>
          </w:tcPr>
          <w:p>
            <w:pPr>
              <w:widowControl/>
              <w:adjustRightInd w:val="0"/>
              <w:snapToGrid w:val="0"/>
              <w:ind w:left="-105" w:leftChars="-50" w:right="-105" w:rightChars="-50"/>
              <w:jc w:val="center"/>
              <w:textAlignment w:val="center"/>
              <w:rPr>
                <w:rFonts w:cs="Times New Roman"/>
                <w:color w:val="000000"/>
                <w:szCs w:val="21"/>
              </w:rPr>
            </w:pPr>
            <w:r>
              <w:rPr>
                <w:rFonts w:hAnsi="宋体" w:cs="Times New Roman"/>
                <w:color w:val="000000"/>
                <w:kern w:val="0"/>
                <w:szCs w:val="21"/>
                <w:lang w:bidi="ar"/>
              </w:rPr>
              <w:t>耕园地征收线</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P=20%</w:t>
            </w:r>
          </w:p>
          <w:p>
            <w:pPr>
              <w:widowControl/>
              <w:jc w:val="center"/>
              <w:textAlignment w:val="center"/>
              <w:rPr>
                <w:rFonts w:cs="Times New Roman"/>
                <w:color w:val="000000"/>
                <w:kern w:val="0"/>
                <w:szCs w:val="21"/>
                <w:lang w:bidi="ar"/>
              </w:rPr>
            </w:pPr>
            <w:r>
              <w:rPr>
                <w:rFonts w:cs="Times New Roman"/>
                <w:color w:val="000000"/>
                <w:kern w:val="0"/>
                <w:szCs w:val="21"/>
                <w:lang w:bidi="ar"/>
              </w:rPr>
              <w:t>处理终点</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7.19</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1228.43</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P=5%</w:t>
            </w:r>
          </w:p>
          <w:p>
            <w:pPr>
              <w:widowControl/>
              <w:jc w:val="center"/>
              <w:textAlignment w:val="center"/>
              <w:rPr>
                <w:rFonts w:cs="Times New Roman"/>
                <w:color w:val="000000"/>
                <w:kern w:val="0"/>
                <w:szCs w:val="21"/>
                <w:lang w:bidi="ar"/>
              </w:rPr>
            </w:pPr>
            <w:r>
              <w:rPr>
                <w:rFonts w:cs="Times New Roman"/>
                <w:color w:val="000000"/>
                <w:kern w:val="0"/>
                <w:szCs w:val="21"/>
                <w:lang w:bidi="ar"/>
              </w:rPr>
              <w:t>处理终点</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12.72</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1233.96</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234.51</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000000" w:sz="4" w:space="0"/>
              <w:right w:val="single" w:color="000000" w:sz="4" w:space="0"/>
            </w:tcBorders>
            <w:noWrap/>
            <w:vAlign w:val="center"/>
          </w:tcPr>
          <w:p>
            <w:pPr>
              <w:widowControl/>
              <w:jc w:val="center"/>
              <w:textAlignment w:val="center"/>
              <w:rPr>
                <w:rFonts w:cs="Times New Roman"/>
                <w:color w:val="000000"/>
                <w:kern w:val="0"/>
                <w:szCs w:val="21"/>
                <w:lang w:bidi="ar"/>
              </w:rPr>
            </w:pPr>
            <w:r>
              <w:rPr>
                <w:rFonts w:cs="Times New Roman"/>
                <w:color w:val="000000"/>
                <w:kern w:val="0"/>
                <w:szCs w:val="21"/>
                <w:lang w:bidi="ar"/>
              </w:rPr>
              <w:t>22</w:t>
            </w:r>
          </w:p>
        </w:tc>
        <w:tc>
          <w:tcPr>
            <w:tcW w:w="104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39.51</w:t>
            </w: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1260.75</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236.54</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51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239.31</w:t>
            </w:r>
          </w:p>
        </w:tc>
        <w:tc>
          <w:tcPr>
            <w:tcW w:w="1041"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239.31</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238.88</w:t>
            </w:r>
          </w:p>
        </w:tc>
        <w:tc>
          <w:tcPr>
            <w:tcW w:w="1123" w:type="dxa"/>
            <w:tcBorders>
              <w:top w:val="single" w:color="000000" w:sz="4" w:space="0"/>
              <w:left w:val="single" w:color="000000" w:sz="4" w:space="0"/>
              <w:bottom w:val="single" w:color="000000" w:sz="4"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238.88</w:t>
            </w:r>
          </w:p>
        </w:tc>
        <w:tc>
          <w:tcPr>
            <w:tcW w:w="1054" w:type="dxa"/>
            <w:tcBorders>
              <w:top w:val="single" w:color="000000" w:sz="4" w:space="0"/>
              <w:left w:val="single" w:color="000000" w:sz="4" w:space="0"/>
              <w:bottom w:val="single" w:color="000000" w:sz="4"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914" w:type="dxa"/>
            <w:tcBorders>
              <w:top w:val="single" w:color="000000" w:sz="4" w:space="0"/>
              <w:left w:val="single" w:color="auto" w:sz="12" w:space="0"/>
              <w:bottom w:val="single" w:color="auto" w:sz="12" w:space="0"/>
              <w:right w:val="single" w:color="000000" w:sz="4" w:space="0"/>
            </w:tcBorders>
            <w:noWrap/>
            <w:vAlign w:val="center"/>
          </w:tcPr>
          <w:p>
            <w:pPr>
              <w:widowControl/>
              <w:jc w:val="center"/>
              <w:textAlignment w:val="center"/>
              <w:rPr>
                <w:rFonts w:cs="Times New Roman"/>
                <w:color w:val="000000"/>
                <w:kern w:val="0"/>
                <w:szCs w:val="21"/>
                <w:lang w:bidi="ar"/>
              </w:rPr>
            </w:pPr>
            <w:r>
              <w:rPr>
                <w:rFonts w:cs="Times New Roman"/>
                <w:color w:val="000000"/>
                <w:kern w:val="0"/>
                <w:szCs w:val="21"/>
                <w:lang w:bidi="ar"/>
              </w:rPr>
              <w:t>23</w:t>
            </w:r>
          </w:p>
        </w:tc>
        <w:tc>
          <w:tcPr>
            <w:tcW w:w="1043"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31.75</w:t>
            </w:r>
          </w:p>
        </w:tc>
        <w:tc>
          <w:tcPr>
            <w:tcW w:w="1513"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1292.5</w:t>
            </w:r>
          </w:p>
        </w:tc>
        <w:tc>
          <w:tcPr>
            <w:tcW w:w="1246"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238.62</w:t>
            </w:r>
          </w:p>
        </w:tc>
        <w:tc>
          <w:tcPr>
            <w:tcW w:w="1041"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513"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241.2</w:t>
            </w:r>
          </w:p>
        </w:tc>
        <w:tc>
          <w:tcPr>
            <w:tcW w:w="1041"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241.2</w:t>
            </w:r>
          </w:p>
        </w:tc>
        <w:tc>
          <w:tcPr>
            <w:tcW w:w="1046"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p>
        </w:tc>
        <w:tc>
          <w:tcPr>
            <w:tcW w:w="1123"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240.82</w:t>
            </w:r>
          </w:p>
        </w:tc>
        <w:tc>
          <w:tcPr>
            <w:tcW w:w="1123" w:type="dxa"/>
            <w:tcBorders>
              <w:top w:val="single" w:color="000000" w:sz="4" w:space="0"/>
              <w:left w:val="single" w:color="000000" w:sz="4" w:space="0"/>
              <w:bottom w:val="single" w:color="auto" w:sz="12" w:space="0"/>
              <w:right w:val="single" w:color="000000" w:sz="4"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cs="Times New Roman"/>
                <w:color w:val="000000"/>
                <w:kern w:val="0"/>
                <w:szCs w:val="21"/>
                <w:lang w:bidi="ar"/>
              </w:rPr>
              <w:t>240.82</w:t>
            </w:r>
          </w:p>
        </w:tc>
        <w:tc>
          <w:tcPr>
            <w:tcW w:w="1054" w:type="dxa"/>
            <w:tcBorders>
              <w:top w:val="single" w:color="000000" w:sz="4" w:space="0"/>
              <w:left w:val="single" w:color="000000" w:sz="4" w:space="0"/>
              <w:bottom w:val="single" w:color="auto" w:sz="12" w:space="0"/>
              <w:right w:val="single" w:color="auto" w:sz="12" w:space="0"/>
            </w:tcBorders>
            <w:noWrap/>
            <w:vAlign w:val="center"/>
          </w:tcPr>
          <w:p>
            <w:pPr>
              <w:widowControl/>
              <w:ind w:left="-105" w:leftChars="-50" w:right="-105" w:rightChars="-50"/>
              <w:jc w:val="center"/>
              <w:textAlignment w:val="center"/>
              <w:rPr>
                <w:rFonts w:cs="Times New Roman"/>
                <w:color w:val="000000"/>
                <w:kern w:val="0"/>
                <w:szCs w:val="21"/>
                <w:lang w:bidi="ar"/>
              </w:rPr>
            </w:pPr>
          </w:p>
        </w:tc>
      </w:tr>
    </w:tbl>
    <w:p>
      <w:pPr>
        <w:widowControl w:val="0"/>
        <w:adjustRightInd w:val="0"/>
        <w:snapToGrid w:val="0"/>
        <w:spacing w:line="480" w:lineRule="exact"/>
        <w:jc w:val="center"/>
        <w:rPr>
          <w:rFonts w:ascii="Times New Roman" w:hAnsi="Times New Roman" w:eastAsia="黑体" w:cs="Times New Roman"/>
          <w:color w:val="000000"/>
          <w:kern w:val="2"/>
          <w:sz w:val="24"/>
          <w:szCs w:val="24"/>
          <w:lang w:val="en-US" w:eastAsia="zh-CN" w:bidi="ar"/>
        </w:rPr>
      </w:pPr>
    </w:p>
    <w:p>
      <w:pPr>
        <w:adjustRightInd w:val="0"/>
        <w:snapToGrid w:val="0"/>
        <w:spacing w:line="480" w:lineRule="exact"/>
        <w:jc w:val="center"/>
        <w:rPr>
          <w:rFonts w:eastAsia="黑体" w:cs="宋体"/>
          <w:color w:val="000000"/>
          <w:sz w:val="24"/>
          <w:szCs w:val="21"/>
          <w:lang w:bidi="ar"/>
        </w:rPr>
      </w:pPr>
    </w:p>
    <w:p>
      <w:pPr>
        <w:widowControl w:val="0"/>
        <w:adjustRightInd w:val="0"/>
        <w:snapToGrid w:val="0"/>
        <w:spacing w:line="460" w:lineRule="exact"/>
        <w:jc w:val="center"/>
        <w:rPr>
          <w:rFonts w:ascii="Times New Roman" w:hAnsi="宋体" w:eastAsia="黑体" w:cs="Times New Roman"/>
          <w:color w:val="000000"/>
          <w:kern w:val="2"/>
          <w:sz w:val="24"/>
          <w:szCs w:val="24"/>
          <w:lang w:val="en-US" w:eastAsia="zh-CN" w:bidi="ar"/>
        </w:rPr>
      </w:pPr>
    </w:p>
    <w:p>
      <w:pPr>
        <w:overflowPunct w:val="0"/>
        <w:autoSpaceDE w:val="0"/>
        <w:autoSpaceDN w:val="0"/>
        <w:adjustRightInd w:val="0"/>
        <w:snapToGrid w:val="0"/>
        <w:spacing w:line="360" w:lineRule="auto"/>
        <w:rPr>
          <w:color w:val="000000"/>
          <w:sz w:val="22"/>
          <w:szCs w:val="24"/>
        </w:rPr>
        <w:sectPr>
          <w:footerReference r:id="rId28" w:type="default"/>
          <w:pgSz w:w="16838" w:h="11906" w:orient="landscape"/>
          <w:pgMar w:top="1588" w:right="1559" w:bottom="1531" w:left="1559" w:header="1134" w:footer="1247" w:gutter="0"/>
          <w:cols w:space="720" w:num="1"/>
          <w:docGrid w:linePitch="312" w:charSpace="0"/>
        </w:sectPr>
      </w:pP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5.1.2  </w:t>
      </w:r>
      <w:r>
        <w:rPr>
          <w:rFonts w:ascii="Times New Roman" w:hAnsi="宋体" w:eastAsia="黑体" w:cs="Times New Roman"/>
          <w:bCs/>
          <w:snapToGrid w:val="0"/>
          <w:color w:val="000000"/>
          <w:kern w:val="0"/>
          <w:sz w:val="24"/>
          <w:szCs w:val="24"/>
          <w:lang w:val="en-US" w:eastAsia="zh-CN" w:bidi="ar-SA"/>
        </w:rPr>
        <w:t>水库影响区</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bookmarkStart w:id="592" w:name="_Hlk86152368"/>
      <w:r>
        <w:rPr>
          <w:rFonts w:hint="eastAsia" w:ascii="Times New Roman" w:hAnsi="宋体" w:eastAsia="宋体" w:cs="Times New Roman"/>
          <w:color w:val="000000"/>
          <w:kern w:val="2"/>
          <w:sz w:val="24"/>
          <w:szCs w:val="24"/>
          <w:shd w:val="clear" w:color="auto" w:fill="FFFFFF"/>
          <w:lang w:val="en-US" w:eastAsia="zh-CN" w:bidi="ar-SA"/>
        </w:rPr>
        <w:t>水库影响区应包括由蓄水引起的滑坡、塌岸、浸没、变形库岸、内涝、水库渗漏等需要处理的区域，以及减水河段、失去基本生产生活条件的库周和孤岛等其他受水库蓄水影响需要处理的区域。</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根据审定的《广东陆河抽水蓄能电站可行性研究阶段正常蓄水位选择专题报告》，库岸边坡整体较简单，以风化土质坡为主。现场平面地质调查未见大的堆积体，库盆边坡整体稳定性较好。自然状态下，库周外边坡稳定。工程区下伏岩体为燕山三期花岗岩，除坝基及上库副坝区需进行防渗处理，其余部位不存在库水外渗问题，水库蓄水后，库外岸坡基本不受水库蓄水影响，本工程不存在水库影响区。</w:t>
      </w:r>
    </w:p>
    <w:bookmarkEnd w:id="592"/>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93" w:name="_Toc90945245"/>
      <w:bookmarkStart w:id="594" w:name="_Toc86257953"/>
      <w:r>
        <w:rPr>
          <w:rFonts w:ascii="Times New Roman" w:hAnsi="Times New Roman" w:eastAsia="黑体" w:cs="Times New Roman"/>
          <w:bCs/>
          <w:snapToGrid w:val="0"/>
          <w:color w:val="000000"/>
          <w:kern w:val="0"/>
          <w:sz w:val="28"/>
          <w:szCs w:val="28"/>
          <w:lang w:val="en-US" w:eastAsia="zh-CN" w:bidi="ar-SA"/>
        </w:rPr>
        <w:t>5.2  枢纽工程建设区</w:t>
      </w:r>
      <w:bookmarkEnd w:id="593"/>
      <w:bookmarkEnd w:id="594"/>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按照确定的施工总布置，本工程建设征地主要遵循以下基本原则：</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a) </w:t>
      </w:r>
      <w:r>
        <w:rPr>
          <w:rFonts w:ascii="Times New Roman" w:hAnsi="宋体" w:eastAsia="宋体" w:cs="Times New Roman"/>
          <w:color w:val="000000"/>
          <w:kern w:val="2"/>
          <w:sz w:val="24"/>
          <w:szCs w:val="24"/>
          <w:shd w:val="clear" w:color="auto" w:fill="FFFFFF"/>
          <w:lang w:val="en-US" w:eastAsia="zh-CN" w:bidi="ar-SA"/>
        </w:rPr>
        <w:t>节约用地，尽量利用荒地、坡地，少占耕地和林地，施工区尽量远离居民集中区、尽量减少移民搬迁、降低移民工作难度。</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b) </w:t>
      </w:r>
      <w:r>
        <w:rPr>
          <w:rFonts w:ascii="Times New Roman" w:hAnsi="宋体" w:eastAsia="宋体" w:cs="Times New Roman"/>
          <w:color w:val="000000"/>
          <w:kern w:val="2"/>
          <w:sz w:val="24"/>
          <w:szCs w:val="24"/>
          <w:shd w:val="clear" w:color="auto" w:fill="FFFFFF"/>
          <w:lang w:val="en-US" w:eastAsia="zh-CN" w:bidi="ar-SA"/>
        </w:rPr>
        <w:t>根据施工进度和分标规划，考虑施工场地在不同时段的重复利用，提高已征土地的利用率，达到减少占地的目的。</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c) </w:t>
      </w:r>
      <w:r>
        <w:rPr>
          <w:rFonts w:ascii="Times New Roman" w:hAnsi="宋体" w:eastAsia="宋体" w:cs="Times New Roman"/>
          <w:color w:val="000000"/>
          <w:kern w:val="2"/>
          <w:sz w:val="24"/>
          <w:szCs w:val="24"/>
          <w:shd w:val="clear" w:color="auto" w:fill="FFFFFF"/>
          <w:lang w:val="en-US" w:eastAsia="zh-CN" w:bidi="ar-SA"/>
        </w:rPr>
        <w:t>永久占地与临时用地相结合，尽量在库区淹没线以下和永久占地范围内布置施工临建设施。</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d) </w:t>
      </w:r>
      <w:r>
        <w:rPr>
          <w:rFonts w:ascii="Times New Roman" w:hAnsi="宋体" w:eastAsia="宋体" w:cs="Times New Roman"/>
          <w:color w:val="000000"/>
          <w:kern w:val="2"/>
          <w:sz w:val="24"/>
          <w:szCs w:val="24"/>
          <w:shd w:val="clear" w:color="auto" w:fill="FFFFFF"/>
          <w:lang w:val="en-US" w:eastAsia="zh-CN" w:bidi="ar-SA"/>
        </w:rPr>
        <w:t>按闭合边界确定用地范围，连片规划，避免小块交错穿插。</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e) </w:t>
      </w:r>
      <w:r>
        <w:rPr>
          <w:rFonts w:ascii="Times New Roman" w:hAnsi="宋体" w:eastAsia="宋体" w:cs="Times New Roman"/>
          <w:color w:val="000000"/>
          <w:kern w:val="2"/>
          <w:sz w:val="24"/>
          <w:szCs w:val="24"/>
          <w:shd w:val="clear" w:color="auto" w:fill="FFFFFF"/>
          <w:lang w:val="en-US" w:eastAsia="zh-CN" w:bidi="ar-SA"/>
        </w:rPr>
        <w:t>对于部分临时用地，包括渣场、部分生活营地，作到恢复植被和再利用。</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00"/>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f) </w:t>
      </w:r>
      <w:r>
        <w:rPr>
          <w:rFonts w:ascii="Times New Roman" w:hAnsi="宋体" w:eastAsia="宋体" w:cs="Times New Roman"/>
          <w:color w:val="000000"/>
          <w:kern w:val="2"/>
          <w:sz w:val="24"/>
          <w:szCs w:val="24"/>
          <w:shd w:val="clear" w:color="auto" w:fill="FFFFFF"/>
          <w:lang w:val="en-US" w:eastAsia="zh-CN" w:bidi="ar-SA"/>
        </w:rPr>
        <w:t>遵守环境保护和水土保持的有关法律法规，保护生态环境，防止污染，尽量减少对当地居民生产生活的干扰和不利影响。</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依据本工程可研阶段《</w:t>
      </w:r>
      <w:r>
        <w:rPr>
          <w:rFonts w:hint="eastAsia" w:ascii="Times New Roman" w:hAnsi="宋体" w:eastAsia="宋体" w:cs="Times New Roman"/>
          <w:color w:val="000000"/>
          <w:kern w:val="2"/>
          <w:sz w:val="24"/>
          <w:szCs w:val="24"/>
          <w:shd w:val="clear" w:color="auto" w:fill="FFFFFF"/>
          <w:lang w:val="en-US" w:eastAsia="zh-CN" w:bidi="ar-SA"/>
        </w:rPr>
        <w:t>广东陆河</w:t>
      </w:r>
      <w:r>
        <w:rPr>
          <w:rFonts w:ascii="Times New Roman" w:hAnsi="宋体" w:eastAsia="宋体" w:cs="Times New Roman"/>
          <w:color w:val="000000"/>
          <w:kern w:val="2"/>
          <w:sz w:val="24"/>
          <w:szCs w:val="24"/>
          <w:shd w:val="clear" w:color="auto" w:fill="FFFFFF"/>
          <w:lang w:val="en-US" w:eastAsia="zh-CN" w:bidi="ar-SA"/>
        </w:rPr>
        <w:t>抽水蓄能电站可行性研究阶段施工总布置规划专题报告》相关成果，枢纽工程建设区处理范围根据所在区域不同、占地性质不同进行划分，具体划分如下：</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a) 根据区域划分为以下几个区块：上水库施工区、上下库连接路施工区、下水库施工区、自流排水洞出口。</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b) 枢纽工程建设区用地按最终用途确定用地性质，分为永久征地和临时征地。枢纽建筑物、永久道路和业主永久营地、水库淹没区、工程永久管理区等作为永久征地；其余如临建设施、临时道路、弃渣场、料场等作为临时征地。</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c) 用地界限主要考虑到以下因素：枢纽布置、场地、道路等在开挖或填筑范围线外留有适当余地。</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00"/>
          <w:lang w:val="en-US" w:eastAsia="zh-CN" w:bidi="ar-SA"/>
        </w:rPr>
      </w:pPr>
      <w:r>
        <w:rPr>
          <w:rFonts w:ascii="Times New Roman" w:hAnsi="宋体" w:eastAsia="宋体" w:cs="Times New Roman"/>
          <w:color w:val="000000"/>
          <w:kern w:val="2"/>
          <w:sz w:val="24"/>
          <w:szCs w:val="24"/>
          <w:shd w:val="clear" w:color="auto" w:fill="FFFFFF"/>
          <w:lang w:val="en-US" w:eastAsia="zh-CN" w:bidi="ar-SA"/>
        </w:rPr>
        <w:t>根据工程枢纽区施工用地规划原则，结合水库淹没区永久用地，工程建设征地范围见表</w:t>
      </w:r>
      <w:r>
        <w:rPr>
          <w:rFonts w:ascii="Times New Roman" w:hAnsi="Times New Roman" w:eastAsia="宋体" w:cs="Times New Roman"/>
          <w:color w:val="000000"/>
          <w:kern w:val="2"/>
          <w:sz w:val="24"/>
          <w:szCs w:val="24"/>
          <w:shd w:val="clear" w:color="auto" w:fill="FFFFFF"/>
          <w:lang w:val="en-US" w:eastAsia="zh-CN" w:bidi="ar-SA"/>
        </w:rPr>
        <w:t>5.2-1</w:t>
      </w:r>
      <w:r>
        <w:rPr>
          <w:rFonts w:ascii="Times New Roman" w:hAnsi="宋体" w:eastAsia="宋体" w:cs="Times New Roman"/>
          <w:color w:val="000000"/>
          <w:kern w:val="2"/>
          <w:sz w:val="24"/>
          <w:szCs w:val="24"/>
          <w:shd w:val="clear" w:color="auto" w:fill="FFFFFF"/>
          <w:lang w:val="en-US" w:eastAsia="zh-CN" w:bidi="ar-SA"/>
        </w:rPr>
        <w:t>。枢纽工程建设区与水库淹没区重叠部分，纳入水库淹没区，但按用地时序要求归入枢纽工程建设区先行处理。</w:t>
      </w:r>
    </w:p>
    <w:p>
      <w:pPr>
        <w:overflowPunct w:val="0"/>
        <w:autoSpaceDE w:val="0"/>
        <w:autoSpaceDN w:val="0"/>
        <w:snapToGrid w:val="0"/>
        <w:spacing w:line="360" w:lineRule="auto"/>
        <w:rPr>
          <w:rFonts w:hint="eastAsia" w:cs="Times New Roman"/>
          <w:color w:val="000000"/>
          <w:kern w:val="0"/>
          <w:sz w:val="24"/>
          <w:szCs w:val="24"/>
          <w:shd w:val="clear" w:color="auto" w:fill="FFFF00"/>
        </w:rPr>
      </w:pPr>
    </w:p>
    <w:p>
      <w:pPr>
        <w:overflowPunct w:val="0"/>
        <w:autoSpaceDE w:val="0"/>
        <w:autoSpaceDN w:val="0"/>
        <w:snapToGrid w:val="0"/>
        <w:spacing w:line="360" w:lineRule="auto"/>
        <w:rPr>
          <w:rFonts w:hint="eastAsia"/>
          <w:color w:val="000000"/>
          <w:kern w:val="0"/>
          <w:sz w:val="24"/>
          <w:szCs w:val="24"/>
          <w:shd w:val="clear" w:color="auto" w:fill="FFFF00"/>
        </w:rPr>
        <w:sectPr>
          <w:footerReference r:id="rId29" w:type="default"/>
          <w:pgSz w:w="11906" w:h="16838"/>
          <w:pgMar w:top="1588" w:right="1559" w:bottom="1531" w:left="1559" w:header="1134" w:footer="1247" w:gutter="0"/>
          <w:cols w:space="720" w:num="1"/>
          <w:docGrid w:linePitch="312" w:charSpace="0"/>
        </w:sectPr>
      </w:pPr>
    </w:p>
    <w:p>
      <w:pPr>
        <w:widowControl w:val="0"/>
        <w:spacing w:line="480" w:lineRule="exact"/>
        <w:jc w:val="center"/>
        <w:rPr>
          <w:rFonts w:ascii="Times New Roman" w:hAnsi="Times New Roman" w:eastAsia="黑体" w:cs="Times New Roman"/>
          <w:bCs/>
          <w:kern w:val="44"/>
          <w:sz w:val="32"/>
          <w:szCs w:val="32"/>
          <w:highlight w:val="lightGray"/>
          <w:lang w:val="en-US" w:eastAsia="zh-CN" w:bidi="ar-SA"/>
        </w:rPr>
      </w:pPr>
      <w:r>
        <w:rPr>
          <w:rFonts w:hint="eastAsia" w:ascii="Times New Roman" w:hAnsi="Times New Roman" w:eastAsia="黑体" w:cs="Times New Roman"/>
          <w:kern w:val="2"/>
          <w:sz w:val="24"/>
          <w:szCs w:val="22"/>
          <w:lang w:val="en-US" w:eastAsia="zh-CN" w:bidi="ar-SA"/>
        </w:rPr>
        <w:t>表</w:t>
      </w:r>
      <w:r>
        <w:rPr>
          <w:rFonts w:ascii="Times New Roman" w:hAnsi="Times New Roman" w:eastAsia="黑体" w:cs="Times New Roman"/>
          <w:kern w:val="2"/>
          <w:sz w:val="24"/>
          <w:szCs w:val="22"/>
          <w:lang w:val="en-US" w:eastAsia="zh-CN" w:bidi="ar-SA"/>
        </w:rPr>
        <w:t>5.2-1</w:t>
      </w:r>
      <w:r>
        <w:rPr>
          <w:rFonts w:hint="eastAsia" w:ascii="Times New Roman" w:hAnsi="Times New Roman" w:eastAsia="黑体" w:cs="Times New Roman"/>
          <w:kern w:val="2"/>
          <w:sz w:val="24"/>
          <w:szCs w:val="22"/>
          <w:lang w:val="en-US" w:eastAsia="zh-CN" w:bidi="ar-SA"/>
        </w:rPr>
        <w:t xml:space="preserve">  </w:t>
      </w:r>
      <w:r>
        <w:rPr>
          <w:rFonts w:ascii="Times New Roman" w:hAnsi="Times New Roman" w:eastAsia="黑体" w:cs="Times New Roman"/>
          <w:kern w:val="0"/>
          <w:sz w:val="24"/>
          <w:szCs w:val="22"/>
          <w:lang w:val="en-US" w:eastAsia="zh-CN" w:bidi="ar-SA"/>
        </w:rPr>
        <w:t>施工征地面积明细表</w:t>
      </w:r>
    </w:p>
    <w:tbl>
      <w:tblPr>
        <w:tblStyle w:val="79"/>
        <w:tblW w:w="136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3544"/>
        <w:gridCol w:w="3996"/>
        <w:gridCol w:w="2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685" w:type="dxa"/>
            <w:gridSpan w:val="4"/>
            <w:tcBorders>
              <w:top w:val="single" w:color="auto" w:sz="12" w:space="0"/>
            </w:tcBorders>
            <w:noWrap w:val="0"/>
            <w:vAlign w:val="center"/>
          </w:tcPr>
          <w:p>
            <w:pPr>
              <w:widowControl/>
              <w:jc w:val="center"/>
              <w:rPr>
                <w:rFonts w:cs="Times New Roman"/>
                <w:b/>
                <w:bCs/>
                <w:color w:val="000000"/>
                <w:kern w:val="0"/>
                <w:szCs w:val="21"/>
              </w:rPr>
            </w:pPr>
            <w:r>
              <w:rPr>
                <w:rFonts w:cs="Times New Roman"/>
                <w:b/>
                <w:bCs/>
                <w:color w:val="000000"/>
                <w:kern w:val="0"/>
                <w:szCs w:val="21"/>
              </w:rPr>
              <w:t>永久用地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402" w:type="dxa"/>
            <w:noWrap w:val="0"/>
            <w:vAlign w:val="center"/>
          </w:tcPr>
          <w:p>
            <w:pPr>
              <w:widowControl/>
              <w:jc w:val="center"/>
              <w:rPr>
                <w:rFonts w:cs="Times New Roman"/>
                <w:color w:val="000000"/>
                <w:kern w:val="0"/>
                <w:szCs w:val="21"/>
              </w:rPr>
            </w:pPr>
            <w:r>
              <w:rPr>
                <w:rFonts w:cs="Times New Roman"/>
                <w:color w:val="000000"/>
                <w:kern w:val="0"/>
                <w:szCs w:val="21"/>
              </w:rPr>
              <w:t>施工区域</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子块编号</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地块名称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征地面积(亩)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restart"/>
            <w:noWrap w:val="0"/>
            <w:vAlign w:val="center"/>
          </w:tcPr>
          <w:p>
            <w:pPr>
              <w:widowControl/>
              <w:jc w:val="center"/>
              <w:rPr>
                <w:rFonts w:cs="Times New Roman"/>
                <w:color w:val="000000"/>
                <w:kern w:val="0"/>
                <w:szCs w:val="21"/>
              </w:rPr>
            </w:pPr>
            <w:r>
              <w:rPr>
                <w:rFonts w:cs="Times New Roman"/>
                <w:color w:val="000000"/>
                <w:kern w:val="0"/>
                <w:szCs w:val="21"/>
              </w:rPr>
              <w:t>上库施工区</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上库副坝及防渗墙用地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325.15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上库环库道路用地1</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上库环库道路用地2</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70.98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上库环库道路用地3</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70.91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5</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上库库周修整用地1</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25.18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6</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上库库周修整用地2</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7</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副坝五防渗墙用地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8</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上水库淹没区</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872.79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9</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上库进出水口用地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49.87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10</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上库大坝用地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196.17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11</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副坝五用地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12</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上库调压井道路用地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9.33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13</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上库调压井用地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8.98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b/>
                <w:bCs/>
                <w:color w:val="000000"/>
                <w:kern w:val="0"/>
                <w:szCs w:val="21"/>
              </w:rPr>
            </w:pPr>
          </w:p>
        </w:tc>
        <w:tc>
          <w:tcPr>
            <w:tcW w:w="3996" w:type="dxa"/>
            <w:noWrap/>
            <w:vAlign w:val="center"/>
          </w:tcPr>
          <w:p>
            <w:pPr>
              <w:widowControl/>
              <w:jc w:val="center"/>
              <w:rPr>
                <w:rFonts w:cs="Times New Roman"/>
                <w:b/>
                <w:bCs/>
                <w:color w:val="000000"/>
                <w:kern w:val="0"/>
                <w:szCs w:val="21"/>
              </w:rPr>
            </w:pPr>
            <w:r>
              <w:rPr>
                <w:rFonts w:cs="Times New Roman"/>
                <w:b/>
                <w:bCs/>
                <w:color w:val="000000"/>
                <w:kern w:val="0"/>
                <w:szCs w:val="21"/>
              </w:rPr>
              <w:t>合计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1715.35</w:t>
            </w:r>
          </w:p>
        </w:tc>
      </w:tr>
    </w:tbl>
    <w:p>
      <w:pPr>
        <w:widowControl w:val="0"/>
        <w:spacing w:line="480" w:lineRule="exact"/>
        <w:jc w:val="center"/>
        <w:rPr>
          <w:rFonts w:ascii="Times New Roman" w:hAnsi="Times New Roman" w:eastAsia="黑体" w:cs="Times New Roman"/>
          <w:bCs/>
          <w:kern w:val="44"/>
          <w:sz w:val="32"/>
          <w:szCs w:val="32"/>
          <w:highlight w:val="lightGray"/>
          <w:lang w:val="en-US" w:eastAsia="zh-CN" w:bidi="ar-SA"/>
        </w:rPr>
      </w:pPr>
      <w:r>
        <w:rPr>
          <w:rFonts w:ascii="Times New Roman" w:hAnsi="Times New Roman" w:eastAsia="黑体" w:cs="Times New Roman"/>
          <w:kern w:val="2"/>
          <w:sz w:val="24"/>
          <w:szCs w:val="22"/>
          <w:lang w:val="en-US" w:eastAsia="zh-CN" w:bidi="ar-SA"/>
        </w:rPr>
        <w:br w:type="page"/>
      </w:r>
      <w:r>
        <w:rPr>
          <w:rFonts w:hint="eastAsia" w:ascii="Times New Roman" w:hAnsi="Times New Roman" w:eastAsia="黑体" w:cs="Times New Roman"/>
          <w:kern w:val="2"/>
          <w:sz w:val="24"/>
          <w:szCs w:val="22"/>
          <w:lang w:val="en-US" w:eastAsia="zh-CN" w:bidi="ar-SA"/>
        </w:rPr>
        <w:t>表</w:t>
      </w:r>
      <w:r>
        <w:rPr>
          <w:rFonts w:ascii="Times New Roman" w:hAnsi="Times New Roman" w:eastAsia="黑体" w:cs="Times New Roman"/>
          <w:kern w:val="2"/>
          <w:sz w:val="24"/>
          <w:szCs w:val="22"/>
          <w:lang w:val="en-US" w:eastAsia="zh-CN" w:bidi="ar-SA"/>
        </w:rPr>
        <w:t>5.2-1</w:t>
      </w:r>
      <w:r>
        <w:rPr>
          <w:rFonts w:hint="eastAsia" w:ascii="Times New Roman" w:hAnsi="Times New Roman" w:eastAsia="黑体" w:cs="Times New Roman"/>
          <w:kern w:val="2"/>
          <w:sz w:val="24"/>
          <w:szCs w:val="22"/>
          <w:lang w:val="en-US" w:eastAsia="zh-CN" w:bidi="ar-SA"/>
        </w:rPr>
        <w:t>(续)</w:t>
      </w:r>
    </w:p>
    <w:tbl>
      <w:tblPr>
        <w:tblStyle w:val="79"/>
        <w:tblW w:w="136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3544"/>
        <w:gridCol w:w="3996"/>
        <w:gridCol w:w="2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685" w:type="dxa"/>
            <w:gridSpan w:val="4"/>
            <w:tcBorders>
              <w:top w:val="single" w:color="auto" w:sz="12" w:space="0"/>
            </w:tcBorders>
            <w:noWrap w:val="0"/>
            <w:vAlign w:val="center"/>
          </w:tcPr>
          <w:p>
            <w:pPr>
              <w:widowControl/>
              <w:jc w:val="center"/>
              <w:rPr>
                <w:rFonts w:cs="Times New Roman"/>
                <w:b/>
                <w:bCs/>
                <w:color w:val="000000"/>
                <w:kern w:val="0"/>
                <w:szCs w:val="21"/>
              </w:rPr>
            </w:pPr>
            <w:r>
              <w:rPr>
                <w:rFonts w:cs="Times New Roman"/>
                <w:b/>
                <w:bCs/>
                <w:color w:val="000000"/>
                <w:kern w:val="0"/>
                <w:szCs w:val="21"/>
              </w:rPr>
              <w:t>永久用地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402" w:type="dxa"/>
            <w:noWrap w:val="0"/>
            <w:vAlign w:val="center"/>
          </w:tcPr>
          <w:p>
            <w:pPr>
              <w:widowControl/>
              <w:jc w:val="center"/>
              <w:rPr>
                <w:rFonts w:cs="Times New Roman"/>
                <w:color w:val="000000"/>
                <w:kern w:val="0"/>
                <w:szCs w:val="21"/>
              </w:rPr>
            </w:pPr>
            <w:r>
              <w:rPr>
                <w:rFonts w:cs="Times New Roman"/>
                <w:color w:val="000000"/>
                <w:kern w:val="0"/>
                <w:szCs w:val="21"/>
              </w:rPr>
              <w:t>施工区域</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子块编号</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地块名称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征地面积(亩)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restart"/>
            <w:noWrap w:val="0"/>
            <w:vAlign w:val="center"/>
          </w:tcPr>
          <w:p>
            <w:pPr>
              <w:widowControl/>
              <w:jc w:val="center"/>
              <w:rPr>
                <w:rFonts w:cs="Times New Roman"/>
                <w:color w:val="000000"/>
                <w:kern w:val="0"/>
                <w:szCs w:val="21"/>
              </w:rPr>
            </w:pPr>
            <w:r>
              <w:rPr>
                <w:rFonts w:cs="Times New Roman"/>
                <w:color w:val="000000"/>
                <w:kern w:val="0"/>
                <w:szCs w:val="21"/>
              </w:rPr>
              <w:t>上下库连接路施工区</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14</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上下库连接路用地1</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40.09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15</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上下库连接路用地2</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114.53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16</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上下库连接路用地3</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12.57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17</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上下库连接路用地4</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279.00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18</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排风竖井道路用地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19</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排风竖井用地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20</w:t>
            </w:r>
          </w:p>
        </w:tc>
        <w:tc>
          <w:tcPr>
            <w:tcW w:w="3996" w:type="dxa"/>
            <w:noWrap/>
            <w:vAlign w:val="center"/>
          </w:tcPr>
          <w:p>
            <w:pPr>
              <w:widowControl/>
              <w:jc w:val="center"/>
              <w:rPr>
                <w:rFonts w:cs="Times New Roman"/>
                <w:color w:val="000000"/>
                <w:kern w:val="0"/>
                <w:szCs w:val="21"/>
              </w:rPr>
            </w:pPr>
            <w:r>
              <w:rPr>
                <w:rFonts w:hAnsi="宋体" w:cs="Times New Roman"/>
                <w:color w:val="000000"/>
                <w:kern w:val="0"/>
                <w:szCs w:val="21"/>
              </w:rPr>
              <w:t>①</w:t>
            </w:r>
            <w:r>
              <w:rPr>
                <w:rFonts w:cs="Times New Roman"/>
                <w:color w:val="000000"/>
                <w:kern w:val="0"/>
                <w:szCs w:val="21"/>
              </w:rPr>
              <w:t>施工支洞口用地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27.70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21</w:t>
            </w:r>
          </w:p>
        </w:tc>
        <w:tc>
          <w:tcPr>
            <w:tcW w:w="3996" w:type="dxa"/>
            <w:noWrap/>
            <w:vAlign w:val="center"/>
          </w:tcPr>
          <w:p>
            <w:pPr>
              <w:widowControl/>
              <w:jc w:val="center"/>
              <w:rPr>
                <w:rFonts w:cs="Times New Roman"/>
                <w:color w:val="000000"/>
                <w:kern w:val="0"/>
                <w:szCs w:val="21"/>
              </w:rPr>
            </w:pPr>
            <w:r>
              <w:rPr>
                <w:rFonts w:hAnsi="宋体" w:cs="Times New Roman"/>
                <w:color w:val="000000"/>
                <w:kern w:val="0"/>
                <w:szCs w:val="21"/>
              </w:rPr>
              <w:t>②</w:t>
            </w:r>
            <w:r>
              <w:rPr>
                <w:rFonts w:cs="Times New Roman"/>
                <w:color w:val="000000"/>
                <w:kern w:val="0"/>
                <w:szCs w:val="21"/>
              </w:rPr>
              <w:t>施工支洞口用地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8.11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b/>
                <w:bCs/>
                <w:color w:val="000000"/>
                <w:kern w:val="0"/>
                <w:szCs w:val="21"/>
              </w:rPr>
            </w:pPr>
          </w:p>
        </w:tc>
        <w:tc>
          <w:tcPr>
            <w:tcW w:w="3996" w:type="dxa"/>
            <w:noWrap/>
            <w:vAlign w:val="center"/>
          </w:tcPr>
          <w:p>
            <w:pPr>
              <w:widowControl/>
              <w:jc w:val="center"/>
              <w:rPr>
                <w:rFonts w:cs="Times New Roman"/>
                <w:b/>
                <w:bCs/>
                <w:color w:val="000000"/>
                <w:kern w:val="0"/>
                <w:szCs w:val="21"/>
              </w:rPr>
            </w:pPr>
            <w:r>
              <w:rPr>
                <w:rFonts w:cs="Times New Roman"/>
                <w:b/>
                <w:bCs/>
                <w:color w:val="000000"/>
                <w:kern w:val="0"/>
                <w:szCs w:val="21"/>
              </w:rPr>
              <w:t>合计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499.33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restart"/>
            <w:noWrap w:val="0"/>
            <w:vAlign w:val="center"/>
          </w:tcPr>
          <w:p>
            <w:pPr>
              <w:widowControl/>
              <w:jc w:val="center"/>
              <w:rPr>
                <w:rFonts w:cs="Times New Roman"/>
                <w:color w:val="000000"/>
                <w:kern w:val="0"/>
                <w:szCs w:val="21"/>
              </w:rPr>
            </w:pPr>
            <w:r>
              <w:rPr>
                <w:rFonts w:cs="Times New Roman"/>
                <w:color w:val="000000"/>
                <w:kern w:val="0"/>
                <w:szCs w:val="21"/>
              </w:rPr>
              <w:t>下库施工区</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22</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综合仓库用地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14.94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23</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开关站用地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70.97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24</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消防站用地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25</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机电设备库用地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26.53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26</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通风兼安全洞口用地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27</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下库取水用地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6.90</w:t>
            </w:r>
          </w:p>
        </w:tc>
      </w:tr>
    </w:tbl>
    <w:p>
      <w:pPr>
        <w:widowControl w:val="0"/>
        <w:spacing w:line="480" w:lineRule="exact"/>
        <w:jc w:val="center"/>
        <w:rPr>
          <w:rFonts w:ascii="Times New Roman" w:hAnsi="Times New Roman" w:eastAsia="黑体" w:cs="Times New Roman"/>
          <w:bCs/>
          <w:kern w:val="44"/>
          <w:sz w:val="32"/>
          <w:szCs w:val="32"/>
          <w:highlight w:val="lightGray"/>
          <w:lang w:val="en-US" w:eastAsia="zh-CN" w:bidi="ar-SA"/>
        </w:rPr>
      </w:pPr>
      <w:r>
        <w:rPr>
          <w:rFonts w:hint="eastAsia" w:ascii="Times New Roman" w:hAnsi="Times New Roman" w:eastAsia="黑体" w:cs="Times New Roman"/>
          <w:kern w:val="2"/>
          <w:sz w:val="24"/>
          <w:szCs w:val="22"/>
          <w:lang w:val="en-US" w:eastAsia="zh-CN" w:bidi="ar-SA"/>
        </w:rPr>
        <w:t>表</w:t>
      </w:r>
      <w:r>
        <w:rPr>
          <w:rFonts w:ascii="Times New Roman" w:hAnsi="Times New Roman" w:eastAsia="黑体" w:cs="Times New Roman"/>
          <w:kern w:val="2"/>
          <w:sz w:val="24"/>
          <w:szCs w:val="22"/>
          <w:lang w:val="en-US" w:eastAsia="zh-CN" w:bidi="ar-SA"/>
        </w:rPr>
        <w:t>5.2-1</w:t>
      </w:r>
      <w:r>
        <w:rPr>
          <w:rFonts w:hint="eastAsia" w:ascii="Times New Roman" w:hAnsi="Times New Roman" w:eastAsia="黑体" w:cs="Times New Roman"/>
          <w:kern w:val="2"/>
          <w:sz w:val="24"/>
          <w:szCs w:val="22"/>
          <w:lang w:val="en-US" w:eastAsia="zh-CN" w:bidi="ar-SA"/>
        </w:rPr>
        <w:t>(续)</w:t>
      </w:r>
    </w:p>
    <w:tbl>
      <w:tblPr>
        <w:tblStyle w:val="79"/>
        <w:tblW w:w="136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3544"/>
        <w:gridCol w:w="3996"/>
        <w:gridCol w:w="2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3685" w:type="dxa"/>
            <w:gridSpan w:val="4"/>
            <w:tcBorders>
              <w:top w:val="single" w:color="auto" w:sz="12" w:space="0"/>
            </w:tcBorders>
            <w:noWrap w:val="0"/>
            <w:vAlign w:val="center"/>
          </w:tcPr>
          <w:p>
            <w:pPr>
              <w:widowControl/>
              <w:jc w:val="center"/>
              <w:rPr>
                <w:rFonts w:cs="Times New Roman"/>
                <w:b/>
                <w:bCs/>
                <w:color w:val="000000"/>
                <w:kern w:val="0"/>
                <w:szCs w:val="21"/>
              </w:rPr>
            </w:pPr>
            <w:r>
              <w:rPr>
                <w:rFonts w:cs="Times New Roman"/>
                <w:b/>
                <w:bCs/>
                <w:color w:val="000000"/>
                <w:kern w:val="0"/>
                <w:szCs w:val="21"/>
              </w:rPr>
              <w:t>永久用地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3402" w:type="dxa"/>
            <w:noWrap w:val="0"/>
            <w:vAlign w:val="center"/>
          </w:tcPr>
          <w:p>
            <w:pPr>
              <w:widowControl/>
              <w:jc w:val="center"/>
              <w:rPr>
                <w:rFonts w:cs="Times New Roman"/>
                <w:color w:val="000000"/>
                <w:kern w:val="0"/>
                <w:szCs w:val="21"/>
              </w:rPr>
            </w:pPr>
            <w:r>
              <w:rPr>
                <w:rFonts w:cs="Times New Roman"/>
                <w:color w:val="000000"/>
                <w:kern w:val="0"/>
                <w:szCs w:val="21"/>
              </w:rPr>
              <w:t>施工区域</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子块编号</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地块名称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征地面积(亩)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restart"/>
            <w:noWrap w:val="0"/>
            <w:vAlign w:val="center"/>
          </w:tcPr>
          <w:p>
            <w:pPr>
              <w:widowControl/>
              <w:jc w:val="center"/>
              <w:rPr>
                <w:rFonts w:cs="Times New Roman"/>
                <w:color w:val="000000"/>
                <w:kern w:val="0"/>
                <w:szCs w:val="21"/>
              </w:rPr>
            </w:pPr>
            <w:r>
              <w:rPr>
                <w:rFonts w:cs="Times New Roman"/>
                <w:color w:val="000000"/>
                <w:kern w:val="0"/>
                <w:szCs w:val="21"/>
              </w:rPr>
              <w:t>下库施工区</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28</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下库进出水口用地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101.58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29</w:t>
            </w:r>
          </w:p>
        </w:tc>
        <w:tc>
          <w:tcPr>
            <w:tcW w:w="3996" w:type="dxa"/>
            <w:noWrap w:val="0"/>
            <w:vAlign w:val="center"/>
          </w:tcPr>
          <w:p>
            <w:pPr>
              <w:widowControl/>
              <w:jc w:val="center"/>
              <w:rPr>
                <w:rFonts w:cs="Times New Roman"/>
                <w:color w:val="000000"/>
                <w:kern w:val="0"/>
                <w:szCs w:val="21"/>
              </w:rPr>
            </w:pPr>
            <w:r>
              <w:rPr>
                <w:rFonts w:cs="Times New Roman"/>
                <w:color w:val="000000"/>
                <w:kern w:val="0"/>
                <w:szCs w:val="21"/>
              </w:rPr>
              <w:t>业主营地道路用地</w:t>
            </w:r>
            <w:r>
              <w:rPr>
                <w:rFonts w:cs="Times New Roman"/>
                <w:color w:val="000000"/>
                <w:kern w:val="0"/>
                <w:szCs w:val="21"/>
              </w:rPr>
              <w:br w:type="textWrapping"/>
            </w:r>
            <w:r>
              <w:rPr>
                <w:rFonts w:cs="Times New Roman"/>
                <w:color w:val="000000"/>
                <w:kern w:val="0"/>
                <w:szCs w:val="21"/>
              </w:rPr>
              <w:t>及下库库岸公路用地1</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67.52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30</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下库库岸公路用地2</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31</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下库库岸公路用地3</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32</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下库弃渣场道路用地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33</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下库弃渣场表面排水用地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58.13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34</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施工变电站用地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34.39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35</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进厂交通洞口用地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27.10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36</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业主营地用地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195.81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37</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下库大坝用地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284.95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38</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下水库淹没区</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506.12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39</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进场路用地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99.93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b/>
                <w:bCs/>
                <w:color w:val="000000"/>
                <w:kern w:val="0"/>
                <w:szCs w:val="21"/>
              </w:rPr>
            </w:pPr>
          </w:p>
        </w:tc>
        <w:tc>
          <w:tcPr>
            <w:tcW w:w="3996" w:type="dxa"/>
            <w:noWrap/>
            <w:vAlign w:val="center"/>
          </w:tcPr>
          <w:p>
            <w:pPr>
              <w:widowControl/>
              <w:jc w:val="center"/>
              <w:rPr>
                <w:rFonts w:cs="Times New Roman"/>
                <w:b/>
                <w:bCs/>
                <w:color w:val="000000"/>
                <w:kern w:val="0"/>
                <w:szCs w:val="21"/>
              </w:rPr>
            </w:pPr>
            <w:r>
              <w:rPr>
                <w:rFonts w:cs="Times New Roman"/>
                <w:b/>
                <w:bCs/>
                <w:color w:val="000000"/>
                <w:kern w:val="0"/>
                <w:szCs w:val="21"/>
              </w:rPr>
              <w:t>合计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1607.90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noWrap w:val="0"/>
            <w:vAlign w:val="center"/>
          </w:tcPr>
          <w:p>
            <w:pPr>
              <w:widowControl/>
              <w:jc w:val="center"/>
              <w:rPr>
                <w:rFonts w:cs="Times New Roman"/>
                <w:color w:val="000000"/>
                <w:kern w:val="0"/>
                <w:szCs w:val="21"/>
              </w:rPr>
            </w:pPr>
            <w:r>
              <w:rPr>
                <w:rFonts w:cs="Times New Roman"/>
                <w:color w:val="000000"/>
                <w:kern w:val="0"/>
                <w:szCs w:val="21"/>
              </w:rPr>
              <w:t>自流排水洞</w:t>
            </w:r>
            <w:r>
              <w:rPr>
                <w:rFonts w:cs="Times New Roman"/>
                <w:color w:val="000000"/>
                <w:kern w:val="0"/>
                <w:szCs w:val="21"/>
              </w:rPr>
              <w:br w:type="textWrapping"/>
            </w:r>
            <w:r>
              <w:rPr>
                <w:rFonts w:cs="Times New Roman"/>
                <w:color w:val="000000"/>
                <w:kern w:val="0"/>
                <w:szCs w:val="21"/>
              </w:rPr>
              <w:t>出口</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40</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自流排水洞出口用地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6.93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noWrap w:val="0"/>
            <w:vAlign w:val="center"/>
          </w:tcPr>
          <w:p>
            <w:pPr>
              <w:widowControl/>
              <w:jc w:val="center"/>
              <w:rPr>
                <w:rFonts w:cs="Times New Roman"/>
                <w:b/>
                <w:bCs/>
                <w:color w:val="000000"/>
                <w:kern w:val="0"/>
                <w:szCs w:val="21"/>
              </w:rPr>
            </w:pPr>
          </w:p>
        </w:tc>
        <w:tc>
          <w:tcPr>
            <w:tcW w:w="3544" w:type="dxa"/>
            <w:noWrap/>
            <w:vAlign w:val="center"/>
          </w:tcPr>
          <w:p>
            <w:pPr>
              <w:widowControl/>
              <w:jc w:val="center"/>
              <w:rPr>
                <w:rFonts w:cs="Times New Roman"/>
                <w:b/>
                <w:bCs/>
                <w:color w:val="000000"/>
                <w:kern w:val="0"/>
                <w:szCs w:val="21"/>
              </w:rPr>
            </w:pPr>
          </w:p>
        </w:tc>
        <w:tc>
          <w:tcPr>
            <w:tcW w:w="3996" w:type="dxa"/>
            <w:noWrap/>
            <w:vAlign w:val="center"/>
          </w:tcPr>
          <w:p>
            <w:pPr>
              <w:widowControl/>
              <w:jc w:val="center"/>
              <w:rPr>
                <w:rFonts w:cs="Times New Roman"/>
                <w:b/>
                <w:bCs/>
                <w:color w:val="000000"/>
                <w:kern w:val="0"/>
                <w:szCs w:val="21"/>
              </w:rPr>
            </w:pPr>
            <w:r>
              <w:rPr>
                <w:rFonts w:cs="Times New Roman"/>
                <w:b/>
                <w:bCs/>
                <w:color w:val="000000"/>
                <w:kern w:val="0"/>
                <w:szCs w:val="21"/>
              </w:rPr>
              <w:t>合计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6.93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42" w:type="dxa"/>
            <w:gridSpan w:val="3"/>
            <w:noWrap/>
            <w:vAlign w:val="center"/>
          </w:tcPr>
          <w:p>
            <w:pPr>
              <w:widowControl/>
              <w:jc w:val="center"/>
              <w:rPr>
                <w:rFonts w:cs="Times New Roman"/>
                <w:b/>
                <w:bCs/>
                <w:color w:val="000000"/>
                <w:kern w:val="0"/>
                <w:szCs w:val="21"/>
              </w:rPr>
            </w:pPr>
            <w:r>
              <w:rPr>
                <w:rFonts w:cs="Times New Roman"/>
                <w:b/>
                <w:bCs/>
                <w:color w:val="000000"/>
                <w:kern w:val="0"/>
                <w:szCs w:val="21"/>
              </w:rPr>
              <w:t>总计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3829.51</w:t>
            </w:r>
          </w:p>
        </w:tc>
      </w:tr>
    </w:tbl>
    <w:p>
      <w:pPr>
        <w:widowControl w:val="0"/>
        <w:spacing w:line="480" w:lineRule="exact"/>
        <w:jc w:val="center"/>
        <w:rPr>
          <w:rFonts w:ascii="Times New Roman" w:hAnsi="Times New Roman" w:eastAsia="黑体" w:cs="Times New Roman"/>
          <w:bCs/>
          <w:kern w:val="44"/>
          <w:sz w:val="32"/>
          <w:szCs w:val="32"/>
          <w:highlight w:val="lightGray"/>
          <w:lang w:val="en-US" w:eastAsia="zh-CN" w:bidi="ar-SA"/>
        </w:rPr>
      </w:pPr>
      <w:r>
        <w:rPr>
          <w:rFonts w:hint="eastAsia" w:ascii="Times New Roman" w:hAnsi="Times New Roman" w:eastAsia="黑体" w:cs="Times New Roman"/>
          <w:kern w:val="2"/>
          <w:sz w:val="24"/>
          <w:szCs w:val="22"/>
          <w:lang w:val="en-US" w:eastAsia="zh-CN" w:bidi="ar-SA"/>
        </w:rPr>
        <w:t>表</w:t>
      </w:r>
      <w:r>
        <w:rPr>
          <w:rFonts w:ascii="Times New Roman" w:hAnsi="Times New Roman" w:eastAsia="黑体" w:cs="Times New Roman"/>
          <w:kern w:val="2"/>
          <w:sz w:val="24"/>
          <w:szCs w:val="22"/>
          <w:lang w:val="en-US" w:eastAsia="zh-CN" w:bidi="ar-SA"/>
        </w:rPr>
        <w:t>5.2-1</w:t>
      </w:r>
      <w:r>
        <w:rPr>
          <w:rFonts w:hint="eastAsia" w:ascii="Times New Roman" w:hAnsi="Times New Roman" w:eastAsia="黑体" w:cs="Times New Roman"/>
          <w:kern w:val="2"/>
          <w:sz w:val="24"/>
          <w:szCs w:val="22"/>
          <w:lang w:val="en-US" w:eastAsia="zh-CN" w:bidi="ar-SA"/>
        </w:rPr>
        <w:t>(续)</w:t>
      </w:r>
    </w:p>
    <w:tbl>
      <w:tblPr>
        <w:tblStyle w:val="79"/>
        <w:tblW w:w="136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3544"/>
        <w:gridCol w:w="3996"/>
        <w:gridCol w:w="2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3685" w:type="dxa"/>
            <w:gridSpan w:val="4"/>
            <w:tcBorders>
              <w:top w:val="single" w:color="auto" w:sz="12" w:space="0"/>
            </w:tcBorders>
            <w:noWrap w:val="0"/>
            <w:vAlign w:val="center"/>
          </w:tcPr>
          <w:p>
            <w:pPr>
              <w:widowControl/>
              <w:jc w:val="center"/>
              <w:rPr>
                <w:rFonts w:cs="Times New Roman"/>
                <w:b/>
                <w:bCs/>
                <w:color w:val="000000"/>
                <w:kern w:val="0"/>
                <w:szCs w:val="21"/>
              </w:rPr>
            </w:pPr>
            <w:r>
              <w:rPr>
                <w:rFonts w:cs="Times New Roman"/>
                <w:b/>
                <w:bCs/>
                <w:color w:val="000000"/>
                <w:kern w:val="0"/>
                <w:szCs w:val="21"/>
              </w:rPr>
              <w:t>永久用地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3402" w:type="dxa"/>
            <w:noWrap w:val="0"/>
            <w:vAlign w:val="center"/>
          </w:tcPr>
          <w:p>
            <w:pPr>
              <w:widowControl/>
              <w:jc w:val="center"/>
              <w:rPr>
                <w:rFonts w:cs="Times New Roman"/>
                <w:color w:val="000000"/>
                <w:kern w:val="0"/>
                <w:szCs w:val="21"/>
              </w:rPr>
            </w:pPr>
            <w:r>
              <w:rPr>
                <w:rFonts w:cs="Times New Roman"/>
                <w:color w:val="000000"/>
                <w:kern w:val="0"/>
                <w:szCs w:val="21"/>
              </w:rPr>
              <w:t>施工区域</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子块编号</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地块名称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征地面积(亩)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685" w:type="dxa"/>
            <w:gridSpan w:val="4"/>
            <w:noWrap/>
            <w:vAlign w:val="center"/>
          </w:tcPr>
          <w:p>
            <w:pPr>
              <w:widowControl/>
              <w:jc w:val="center"/>
              <w:rPr>
                <w:rFonts w:cs="Times New Roman"/>
                <w:b/>
                <w:bCs/>
                <w:color w:val="000000"/>
                <w:kern w:val="0"/>
                <w:szCs w:val="21"/>
              </w:rPr>
            </w:pPr>
            <w:r>
              <w:rPr>
                <w:rFonts w:cs="Times New Roman"/>
                <w:b/>
                <w:bCs/>
                <w:color w:val="000000"/>
                <w:kern w:val="0"/>
                <w:szCs w:val="21"/>
              </w:rPr>
              <w:t>临时用地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restart"/>
            <w:noWrap w:val="0"/>
            <w:vAlign w:val="center"/>
          </w:tcPr>
          <w:p>
            <w:pPr>
              <w:widowControl/>
              <w:jc w:val="center"/>
              <w:rPr>
                <w:rFonts w:cs="Times New Roman"/>
                <w:color w:val="000000"/>
                <w:kern w:val="0"/>
                <w:szCs w:val="21"/>
              </w:rPr>
            </w:pPr>
            <w:r>
              <w:rPr>
                <w:rFonts w:cs="Times New Roman"/>
                <w:color w:val="000000"/>
                <w:kern w:val="0"/>
                <w:szCs w:val="21"/>
              </w:rPr>
              <w:t>上库施工区</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41</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上库表土堆存场用地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42</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上库弃渣场用地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228.98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43</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上库石料场用地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151.57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44</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上库输水发电标施工用地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94.20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b/>
                <w:bCs/>
                <w:color w:val="000000"/>
                <w:kern w:val="0"/>
                <w:szCs w:val="21"/>
              </w:rPr>
            </w:pPr>
          </w:p>
        </w:tc>
        <w:tc>
          <w:tcPr>
            <w:tcW w:w="3996" w:type="dxa"/>
            <w:noWrap/>
            <w:vAlign w:val="center"/>
          </w:tcPr>
          <w:p>
            <w:pPr>
              <w:widowControl/>
              <w:jc w:val="center"/>
              <w:rPr>
                <w:rFonts w:cs="Times New Roman"/>
                <w:b/>
                <w:bCs/>
                <w:color w:val="000000"/>
                <w:kern w:val="0"/>
                <w:szCs w:val="21"/>
              </w:rPr>
            </w:pPr>
            <w:r>
              <w:rPr>
                <w:rFonts w:cs="Times New Roman"/>
                <w:b/>
                <w:bCs/>
                <w:color w:val="000000"/>
                <w:kern w:val="0"/>
                <w:szCs w:val="21"/>
              </w:rPr>
              <w:t>合计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508.97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restart"/>
            <w:noWrap w:val="0"/>
            <w:vAlign w:val="center"/>
          </w:tcPr>
          <w:p>
            <w:pPr>
              <w:widowControl/>
              <w:jc w:val="center"/>
              <w:rPr>
                <w:rFonts w:cs="Times New Roman"/>
                <w:color w:val="000000"/>
                <w:kern w:val="0"/>
                <w:szCs w:val="21"/>
              </w:rPr>
            </w:pPr>
            <w:r>
              <w:rPr>
                <w:rFonts w:cs="Times New Roman"/>
                <w:color w:val="000000"/>
                <w:kern w:val="0"/>
                <w:szCs w:val="21"/>
              </w:rPr>
              <w:t>上下库连接路施工区</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45</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上下库连接路渣场用地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19.81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46</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中平洞施工场地用地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5.15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b/>
                <w:bCs/>
                <w:color w:val="000000"/>
                <w:kern w:val="0"/>
                <w:szCs w:val="21"/>
              </w:rPr>
            </w:pPr>
          </w:p>
        </w:tc>
        <w:tc>
          <w:tcPr>
            <w:tcW w:w="3996" w:type="dxa"/>
            <w:noWrap/>
            <w:vAlign w:val="center"/>
          </w:tcPr>
          <w:p>
            <w:pPr>
              <w:widowControl/>
              <w:jc w:val="center"/>
              <w:rPr>
                <w:rFonts w:cs="Times New Roman"/>
                <w:b/>
                <w:bCs/>
                <w:color w:val="000000"/>
                <w:kern w:val="0"/>
                <w:szCs w:val="21"/>
              </w:rPr>
            </w:pPr>
            <w:r>
              <w:rPr>
                <w:rFonts w:cs="Times New Roman"/>
                <w:b/>
                <w:bCs/>
                <w:color w:val="000000"/>
                <w:kern w:val="0"/>
                <w:szCs w:val="21"/>
              </w:rPr>
              <w:t>合计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24.96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restart"/>
            <w:noWrap w:val="0"/>
            <w:vAlign w:val="center"/>
          </w:tcPr>
          <w:p>
            <w:pPr>
              <w:widowControl/>
              <w:jc w:val="center"/>
              <w:rPr>
                <w:rFonts w:cs="Times New Roman"/>
                <w:color w:val="000000"/>
                <w:kern w:val="0"/>
                <w:szCs w:val="21"/>
              </w:rPr>
            </w:pPr>
            <w:r>
              <w:rPr>
                <w:rFonts w:cs="Times New Roman"/>
                <w:color w:val="000000"/>
                <w:kern w:val="0"/>
                <w:szCs w:val="21"/>
              </w:rPr>
              <w:t>下库施工区</w:t>
            </w: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47</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下库弃渣场用地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307.13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48</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下库坝后施工场地用地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20.52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49</w:t>
            </w:r>
          </w:p>
        </w:tc>
        <w:tc>
          <w:tcPr>
            <w:tcW w:w="3996" w:type="dxa"/>
            <w:noWrap w:val="0"/>
            <w:vAlign w:val="center"/>
          </w:tcPr>
          <w:p>
            <w:pPr>
              <w:widowControl/>
              <w:jc w:val="center"/>
              <w:rPr>
                <w:rFonts w:cs="Times New Roman"/>
                <w:color w:val="000000"/>
                <w:kern w:val="0"/>
                <w:szCs w:val="21"/>
              </w:rPr>
            </w:pPr>
            <w:r>
              <w:rPr>
                <w:rFonts w:cs="Times New Roman"/>
                <w:color w:val="000000"/>
                <w:kern w:val="0"/>
                <w:szCs w:val="21"/>
              </w:rPr>
              <w:t>下库坝后道路及</w:t>
            </w:r>
            <w:r>
              <w:rPr>
                <w:rFonts w:cs="Times New Roman"/>
                <w:color w:val="000000"/>
                <w:kern w:val="0"/>
                <w:szCs w:val="21"/>
              </w:rPr>
              <w:br w:type="textWrapping"/>
            </w:r>
            <w:r>
              <w:rPr>
                <w:rFonts w:cs="Times New Roman"/>
                <w:color w:val="000000"/>
                <w:kern w:val="0"/>
                <w:szCs w:val="21"/>
              </w:rPr>
              <w:t>大坝标场地用地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67.08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color w:val="000000"/>
                <w:kern w:val="0"/>
                <w:szCs w:val="21"/>
              </w:rPr>
            </w:pPr>
            <w:r>
              <w:rPr>
                <w:rFonts w:cs="Times New Roman"/>
                <w:color w:val="000000"/>
                <w:kern w:val="0"/>
                <w:szCs w:val="21"/>
              </w:rPr>
              <w:t>50</w:t>
            </w:r>
          </w:p>
        </w:tc>
        <w:tc>
          <w:tcPr>
            <w:tcW w:w="3996" w:type="dxa"/>
            <w:noWrap/>
            <w:vAlign w:val="center"/>
          </w:tcPr>
          <w:p>
            <w:pPr>
              <w:widowControl/>
              <w:jc w:val="center"/>
              <w:rPr>
                <w:rFonts w:cs="Times New Roman"/>
                <w:color w:val="000000"/>
                <w:kern w:val="0"/>
                <w:szCs w:val="21"/>
              </w:rPr>
            </w:pPr>
            <w:r>
              <w:rPr>
                <w:rFonts w:cs="Times New Roman"/>
                <w:color w:val="000000"/>
                <w:kern w:val="0"/>
                <w:szCs w:val="21"/>
              </w:rPr>
              <w:t>下库大坝标施工营地用地</w:t>
            </w:r>
          </w:p>
        </w:tc>
        <w:tc>
          <w:tcPr>
            <w:tcW w:w="2743" w:type="dxa"/>
            <w:noWrap/>
            <w:vAlign w:val="center"/>
          </w:tcPr>
          <w:p>
            <w:pPr>
              <w:widowControl/>
              <w:jc w:val="center"/>
              <w:rPr>
                <w:rFonts w:cs="Times New Roman"/>
                <w:color w:val="000000"/>
                <w:kern w:val="0"/>
                <w:szCs w:val="21"/>
              </w:rPr>
            </w:pPr>
            <w:r>
              <w:rPr>
                <w:rFonts w:cs="Times New Roman"/>
                <w:color w:val="000000"/>
                <w:kern w:val="0"/>
                <w:szCs w:val="21"/>
              </w:rPr>
              <w:t>33.16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402" w:type="dxa"/>
            <w:vMerge w:val="continue"/>
            <w:noWrap w:val="0"/>
            <w:vAlign w:val="center"/>
          </w:tcPr>
          <w:p>
            <w:pPr>
              <w:widowControl/>
              <w:jc w:val="center"/>
              <w:rPr>
                <w:rFonts w:cs="Times New Roman"/>
                <w:color w:val="000000"/>
                <w:kern w:val="0"/>
                <w:szCs w:val="21"/>
              </w:rPr>
            </w:pPr>
          </w:p>
        </w:tc>
        <w:tc>
          <w:tcPr>
            <w:tcW w:w="3544" w:type="dxa"/>
            <w:noWrap/>
            <w:vAlign w:val="center"/>
          </w:tcPr>
          <w:p>
            <w:pPr>
              <w:widowControl/>
              <w:jc w:val="center"/>
              <w:rPr>
                <w:rFonts w:cs="Times New Roman"/>
                <w:b/>
                <w:bCs/>
                <w:color w:val="000000"/>
                <w:kern w:val="0"/>
                <w:szCs w:val="21"/>
              </w:rPr>
            </w:pPr>
          </w:p>
        </w:tc>
        <w:tc>
          <w:tcPr>
            <w:tcW w:w="3996" w:type="dxa"/>
            <w:noWrap/>
            <w:vAlign w:val="center"/>
          </w:tcPr>
          <w:p>
            <w:pPr>
              <w:widowControl/>
              <w:jc w:val="center"/>
              <w:rPr>
                <w:rFonts w:cs="Times New Roman"/>
                <w:b/>
                <w:bCs/>
                <w:color w:val="000000"/>
                <w:kern w:val="0"/>
                <w:szCs w:val="21"/>
              </w:rPr>
            </w:pPr>
            <w:r>
              <w:rPr>
                <w:rFonts w:cs="Times New Roman"/>
                <w:b/>
                <w:bCs/>
                <w:color w:val="000000"/>
                <w:kern w:val="0"/>
                <w:szCs w:val="21"/>
              </w:rPr>
              <w:t>合计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427.89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42" w:type="dxa"/>
            <w:gridSpan w:val="3"/>
            <w:noWrap/>
            <w:vAlign w:val="center"/>
          </w:tcPr>
          <w:p>
            <w:pPr>
              <w:widowControl/>
              <w:jc w:val="center"/>
              <w:rPr>
                <w:rFonts w:cs="Times New Roman"/>
                <w:b/>
                <w:bCs/>
                <w:color w:val="000000"/>
                <w:kern w:val="0"/>
                <w:szCs w:val="21"/>
              </w:rPr>
            </w:pPr>
            <w:r>
              <w:rPr>
                <w:rFonts w:cs="Times New Roman"/>
                <w:b/>
                <w:bCs/>
                <w:color w:val="000000"/>
                <w:kern w:val="0"/>
                <w:szCs w:val="21"/>
              </w:rPr>
              <w:t>总计</w:t>
            </w:r>
          </w:p>
        </w:tc>
        <w:tc>
          <w:tcPr>
            <w:tcW w:w="2743" w:type="dxa"/>
            <w:noWrap/>
            <w:vAlign w:val="center"/>
          </w:tcPr>
          <w:p>
            <w:pPr>
              <w:widowControl/>
              <w:jc w:val="center"/>
              <w:rPr>
                <w:rFonts w:cs="Times New Roman"/>
                <w:b/>
                <w:bCs/>
                <w:color w:val="000000"/>
                <w:kern w:val="0"/>
                <w:szCs w:val="21"/>
              </w:rPr>
            </w:pPr>
            <w:r>
              <w:rPr>
                <w:rFonts w:cs="Times New Roman"/>
                <w:b/>
                <w:bCs/>
                <w:color w:val="000000"/>
                <w:kern w:val="0"/>
                <w:szCs w:val="21"/>
              </w:rPr>
              <w:t>961.82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42" w:type="dxa"/>
            <w:gridSpan w:val="3"/>
            <w:tcBorders>
              <w:bottom w:val="single" w:color="auto" w:sz="12" w:space="0"/>
            </w:tcBorders>
            <w:noWrap/>
            <w:vAlign w:val="center"/>
          </w:tcPr>
          <w:p>
            <w:pPr>
              <w:widowControl/>
              <w:jc w:val="center"/>
              <w:rPr>
                <w:rFonts w:cs="Times New Roman"/>
                <w:b/>
                <w:bCs/>
                <w:color w:val="000000"/>
                <w:kern w:val="0"/>
                <w:szCs w:val="21"/>
              </w:rPr>
            </w:pPr>
            <w:r>
              <w:rPr>
                <w:rFonts w:cs="Times New Roman"/>
                <w:b/>
                <w:bCs/>
                <w:color w:val="000000"/>
                <w:kern w:val="0"/>
                <w:szCs w:val="21"/>
              </w:rPr>
              <w:t>临时用地及永久用地总计</w:t>
            </w:r>
          </w:p>
        </w:tc>
        <w:tc>
          <w:tcPr>
            <w:tcW w:w="2743" w:type="dxa"/>
            <w:tcBorders>
              <w:bottom w:val="single" w:color="auto" w:sz="12" w:space="0"/>
            </w:tcBorders>
            <w:noWrap/>
            <w:vAlign w:val="center"/>
          </w:tcPr>
          <w:p>
            <w:pPr>
              <w:widowControl/>
              <w:jc w:val="center"/>
              <w:rPr>
                <w:rFonts w:cs="Times New Roman"/>
                <w:b/>
                <w:bCs/>
                <w:color w:val="000000"/>
                <w:kern w:val="0"/>
                <w:szCs w:val="21"/>
              </w:rPr>
            </w:pPr>
            <w:r>
              <w:rPr>
                <w:rFonts w:cs="Times New Roman"/>
                <w:b/>
                <w:bCs/>
                <w:color w:val="000000"/>
                <w:kern w:val="0"/>
                <w:szCs w:val="21"/>
              </w:rPr>
              <w:t>4791.33</w:t>
            </w:r>
          </w:p>
        </w:tc>
      </w:tr>
    </w:tbl>
    <w:p>
      <w:pPr>
        <w:widowControl/>
        <w:rPr>
          <w:rFonts w:hint="eastAsia" w:eastAsia="黑体"/>
          <w:bCs/>
          <w:color w:val="000000"/>
          <w:kern w:val="44"/>
          <w:sz w:val="32"/>
          <w:szCs w:val="32"/>
          <w:highlight w:val="lightGray"/>
        </w:rPr>
        <w:sectPr>
          <w:footerReference r:id="rId30" w:type="default"/>
          <w:pgSz w:w="16838" w:h="11906" w:orient="landscape"/>
          <w:pgMar w:top="1588" w:right="1559" w:bottom="1531" w:left="1559" w:header="1134" w:footer="1247" w:gutter="0"/>
          <w:cols w:space="720" w:num="1"/>
          <w:docGrid w:linePitch="312" w:charSpace="0"/>
        </w:sectPr>
      </w:pPr>
    </w:p>
    <w:p>
      <w:pPr>
        <w:widowControl w:val="0"/>
        <w:adjustRightInd w:val="0"/>
        <w:snapToGrid w:val="0"/>
        <w:spacing w:before="300" w:after="120" w:line="480" w:lineRule="exact"/>
        <w:jc w:val="left"/>
        <w:outlineLvl w:val="0"/>
        <w:rPr>
          <w:rFonts w:ascii="Times New Roman" w:hAnsi="Times New Roman" w:eastAsia="黑体" w:cs="Times New Roman"/>
          <w:bCs/>
          <w:color w:val="000000"/>
          <w:kern w:val="44"/>
          <w:sz w:val="32"/>
          <w:szCs w:val="32"/>
          <w:lang w:val="en-US" w:eastAsia="zh-CN" w:bidi="ar-SA"/>
        </w:rPr>
      </w:pPr>
      <w:bookmarkStart w:id="595" w:name="_Toc85662871"/>
      <w:bookmarkEnd w:id="595"/>
      <w:bookmarkStart w:id="596" w:name="_Toc85662779"/>
      <w:bookmarkEnd w:id="596"/>
      <w:bookmarkStart w:id="597" w:name="_Toc90945246"/>
      <w:bookmarkStart w:id="598" w:name="_Toc86257955"/>
      <w:r>
        <w:rPr>
          <w:rFonts w:ascii="Times New Roman" w:hAnsi="Times New Roman" w:eastAsia="黑体" w:cs="Times New Roman"/>
          <w:bCs/>
          <w:color w:val="000000"/>
          <w:kern w:val="44"/>
          <w:sz w:val="32"/>
          <w:szCs w:val="32"/>
          <w:lang w:val="en-US" w:eastAsia="zh-CN" w:bidi="ar-SA"/>
        </w:rPr>
        <w:t>6  调查内容和方法</w:t>
      </w:r>
      <w:bookmarkEnd w:id="597"/>
      <w:bookmarkEnd w:id="598"/>
    </w:p>
    <w:p>
      <w:pPr>
        <w:widowControl w:val="0"/>
        <w:overflowPunct w:val="0"/>
        <w:autoSpaceDE w:val="0"/>
        <w:autoSpaceDN w:val="0"/>
        <w:adjustRightInd w:val="0"/>
        <w:snapToGrid w:val="0"/>
        <w:spacing w:line="480" w:lineRule="exact"/>
        <w:ind w:firstLine="464" w:firstLineChars="200"/>
        <w:jc w:val="both"/>
        <w:rPr>
          <w:rFonts w:ascii="Times New Roman" w:hAnsi="Times New Roman" w:eastAsia="宋体" w:cs="Times New Roman"/>
          <w:color w:val="000000"/>
          <w:spacing w:val="-4"/>
          <w:kern w:val="2"/>
          <w:sz w:val="24"/>
          <w:szCs w:val="24"/>
          <w:shd w:val="clear" w:color="auto" w:fill="FFFFFF"/>
          <w:lang w:val="en-US" w:eastAsia="zh-CN" w:bidi="ar-SA"/>
        </w:rPr>
      </w:pP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抽水蓄能电站实物指标调查范围包括经济社会调查、农村调查和专业项目调查。依据不同类别项目对应的调查方式收集资料或现场调查后，相应调查成果应由被调查者</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权属人</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和调查组参与各方签字确认。经公示复核后，由</w:t>
      </w: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县人民政府确认。</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599" w:name="_Toc90945247"/>
      <w:bookmarkStart w:id="600" w:name="_Toc86257956"/>
      <w:r>
        <w:rPr>
          <w:rFonts w:ascii="Times New Roman" w:hAnsi="Times New Roman" w:eastAsia="黑体" w:cs="Times New Roman"/>
          <w:bCs/>
          <w:snapToGrid w:val="0"/>
          <w:color w:val="000000"/>
          <w:kern w:val="0"/>
          <w:sz w:val="28"/>
          <w:szCs w:val="28"/>
          <w:lang w:val="en-US" w:eastAsia="zh-CN" w:bidi="ar-SA"/>
        </w:rPr>
        <w:t xml:space="preserve">6.1  </w:t>
      </w:r>
      <w:r>
        <w:rPr>
          <w:rFonts w:ascii="Times New Roman" w:hAnsi="宋体" w:eastAsia="黑体" w:cs="Times New Roman"/>
          <w:bCs/>
          <w:snapToGrid w:val="0"/>
          <w:color w:val="000000"/>
          <w:kern w:val="0"/>
          <w:sz w:val="28"/>
          <w:szCs w:val="28"/>
          <w:lang w:val="en-US" w:eastAsia="zh-CN" w:bidi="ar-SA"/>
        </w:rPr>
        <w:t>农村调查</w:t>
      </w:r>
      <w:bookmarkEnd w:id="599"/>
      <w:bookmarkEnd w:id="600"/>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农村部分调查内容包括人口、房屋及附属设施、土地、水利设施及农村小型专项设施、农副业设施、文化教育卫生服务设施、其他项目等调查。</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6.1.1  </w:t>
      </w:r>
      <w:r>
        <w:rPr>
          <w:rFonts w:ascii="Times New Roman" w:hAnsi="宋体" w:eastAsia="黑体" w:cs="Times New Roman"/>
          <w:bCs/>
          <w:snapToGrid w:val="0"/>
          <w:color w:val="000000"/>
          <w:kern w:val="0"/>
          <w:sz w:val="24"/>
          <w:szCs w:val="24"/>
          <w:lang w:val="en-US" w:eastAsia="zh-CN" w:bidi="ar-SA"/>
        </w:rPr>
        <w:t>搬迁人口调查</w:t>
      </w:r>
      <w:r>
        <w:rPr>
          <w:rFonts w:ascii="Times New Roman" w:hAnsi="Times New Roman" w:eastAsia="黑体" w:cs="Times New Roman"/>
          <w:bCs/>
          <w:snapToGrid w:val="0"/>
          <w:color w:val="000000"/>
          <w:kern w:val="0"/>
          <w:sz w:val="24"/>
          <w:szCs w:val="24"/>
          <w:lang w:val="en-US" w:eastAsia="zh-CN" w:bidi="ar-SA"/>
        </w:rPr>
        <w:tab/>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调查对象为所有居住在建设征地影响范围内的人口。</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农村搬迁人口调查应分以下几种情况分别处理：</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a)</w:t>
      </w:r>
      <w:r>
        <w:rPr>
          <w:rFonts w:hint="eastAsia"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居住在调查范围内，有住房和户籍的人口计为调查人口；</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b)</w:t>
      </w:r>
      <w:r>
        <w:rPr>
          <w:rFonts w:hint="eastAsia"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长期居住在调查范围内，有户籍和生产资料的无住房人口计为调查人口；</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spacing w:val="4"/>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c)</w:t>
      </w:r>
      <w:r>
        <w:rPr>
          <w:rFonts w:hint="eastAsia"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spacing w:val="4"/>
          <w:kern w:val="2"/>
          <w:sz w:val="24"/>
          <w:szCs w:val="24"/>
          <w:shd w:val="clear" w:color="auto" w:fill="FFFFFF"/>
          <w:lang w:val="en-US" w:eastAsia="zh-CN" w:bidi="ar-SA"/>
        </w:rPr>
        <w:t>上述家庭中超计划出生人口和已结婚嫁入</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或入赘</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的无户籍人口计为调查人口；</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d)</w:t>
      </w:r>
      <w:r>
        <w:rPr>
          <w:rFonts w:hint="eastAsia"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暂时不在调查范围内居住，但有户籍、住房在调查范围内的人口，如外出打工人员计为调查人口；</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e)</w:t>
      </w:r>
      <w:r>
        <w:rPr>
          <w:rFonts w:hint="eastAsia"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原户口在所在村组的现役和退伍军人</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不含现役军官、已享受转业安置待遇的三级及以上士官、在外结婚定居人口</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、大中专院校在校学生、强制戒毒以及服刑人员计为调查人口；</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f)</w:t>
      </w:r>
      <w:r>
        <w:rPr>
          <w:rFonts w:hint="eastAsia"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仅有户籍在调查搬迁范围内，无产权房屋和生产资料，且居住在搬迁范围外的人口，不作为调查人口；</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g) </w:t>
      </w:r>
      <w:r>
        <w:rPr>
          <w:rFonts w:ascii="Times New Roman" w:hAnsi="宋体" w:eastAsia="宋体" w:cs="Times New Roman"/>
          <w:color w:val="000000"/>
          <w:kern w:val="2"/>
          <w:sz w:val="24"/>
          <w:szCs w:val="24"/>
          <w:shd w:val="clear" w:color="auto" w:fill="FFFFFF"/>
          <w:lang w:val="en-US" w:eastAsia="zh-CN" w:bidi="ar-SA"/>
        </w:rPr>
        <w:t>户籍在调查范围内，未注销户籍的死亡人口，不计入调查人口；</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h)</w:t>
      </w:r>
      <w:r>
        <w:rPr>
          <w:rFonts w:hint="eastAsia"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其它需要登记的人口，由联合调查工作组各方共同研究确定。</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6.1.2  房屋、附属建筑物及装修调查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房屋及附属建筑物的调查包括房屋建筑面积权属、结构、层数和附属设施的类别、材料、层数的调查。</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房屋调查内容包括：对调查范围内所有的房屋及附属建筑物按下列内容逐户逐栋全面调查登记：房屋所在行政区域名称</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市</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县、乡</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镇、村、村民小组</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、门牌号、户主姓名、迁移原因</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淹没区、影响区、枢纽工程建设区等</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、房屋权属</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公房或私房</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、房屋结构</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钢混、砖混、砖木、土木、简易结构等</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、房屋面积以及附属建筑物类别、材料、结构和层数情况。</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对钢架棚、猪圈、厕所、围墙、化粪池、水井、水渠、水泥路、砼地坪、砖坪、挡土墙等其他类附属建筑物由联合调查组和权属人实地逐单位、逐户对其附属设施</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构筑物</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的数量、结构进行丈量计算和清点登记。</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对工程建设征地范围内的所有坟墓，采取由村组自报、调查组现场抽查核实的方式调查。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对于建设征地范围内房屋装修是对天花板、地面、内墙面、门窗</w:t>
      </w:r>
      <w:r>
        <w:rPr>
          <w:rFonts w:hint="eastAsia" w:ascii="Times New Roman" w:hAnsi="宋体" w:eastAsia="宋体" w:cs="Times New Roman"/>
          <w:color w:val="000000"/>
          <w:kern w:val="2"/>
          <w:sz w:val="24"/>
          <w:szCs w:val="24"/>
          <w:shd w:val="clear" w:color="auto" w:fill="FFFFFF"/>
          <w:lang w:val="en-US" w:eastAsia="zh-CN" w:bidi="ar-SA"/>
        </w:rPr>
        <w:t>、外墙面、厕所、卧室、厨房、屋顶进行丈量计算和清点登记。</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房屋、附属建筑物及装修调查表由权属人</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单位</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、联合调查组成员现场签字确认。</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6.1.3  </w:t>
      </w:r>
      <w:r>
        <w:rPr>
          <w:rFonts w:ascii="Times New Roman" w:hAnsi="宋体" w:eastAsia="黑体" w:cs="Times New Roman"/>
          <w:bCs/>
          <w:snapToGrid w:val="0"/>
          <w:color w:val="000000"/>
          <w:kern w:val="0"/>
          <w:sz w:val="24"/>
          <w:szCs w:val="24"/>
          <w:lang w:val="en-US" w:eastAsia="zh-CN" w:bidi="ar-SA"/>
        </w:rPr>
        <w:t>土地调查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按照《土地利用现状分类》</w:t>
      </w:r>
      <w:r>
        <w:rPr>
          <w:rFonts w:ascii="Times New Roman" w:hAnsi="Times New Roman" w:eastAsia="宋体" w:cs="Times New Roman"/>
          <w:color w:val="000000"/>
          <w:kern w:val="2"/>
          <w:sz w:val="24"/>
          <w:szCs w:val="24"/>
          <w:shd w:val="clear" w:color="auto" w:fill="FFFFFF"/>
          <w:lang w:val="en-US" w:eastAsia="zh-CN" w:bidi="ar-SA"/>
        </w:rPr>
        <w:t>(GB/T21010-2017)</w:t>
      </w:r>
      <w:r>
        <w:rPr>
          <w:rFonts w:ascii="Times New Roman" w:hAnsi="宋体" w:eastAsia="宋体" w:cs="Times New Roman"/>
          <w:color w:val="000000"/>
          <w:kern w:val="2"/>
          <w:sz w:val="24"/>
          <w:szCs w:val="24"/>
          <w:shd w:val="clear" w:color="auto" w:fill="FFFFFF"/>
          <w:lang w:val="en-US" w:eastAsia="zh-CN" w:bidi="ar-SA"/>
        </w:rPr>
        <w:t>的规定，结合</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电站建设征地区的具体情况合理确定建设征地区土地分类，土地面积以标准亩计</w:t>
      </w:r>
      <w:r>
        <w:rPr>
          <w:rFonts w:ascii="Times New Roman" w:hAnsi="Times New Roman" w:eastAsia="宋体" w:cs="Times New Roman"/>
          <w:color w:val="000000"/>
          <w:kern w:val="2"/>
          <w:sz w:val="24"/>
          <w:szCs w:val="24"/>
          <w:shd w:val="clear" w:color="auto" w:fill="FFFFFF"/>
          <w:lang w:val="en-US" w:eastAsia="zh-CN" w:bidi="ar-SA"/>
        </w:rPr>
        <w:t>(1</w:t>
      </w:r>
      <w:r>
        <w:rPr>
          <w:rFonts w:ascii="Times New Roman" w:hAnsi="宋体" w:eastAsia="宋体" w:cs="Times New Roman"/>
          <w:color w:val="000000"/>
          <w:kern w:val="2"/>
          <w:sz w:val="24"/>
          <w:szCs w:val="24"/>
          <w:shd w:val="clear" w:color="auto" w:fill="FFFFFF"/>
          <w:lang w:val="en-US" w:eastAsia="zh-CN" w:bidi="ar-SA"/>
        </w:rPr>
        <w:t>标准亩</w:t>
      </w:r>
      <w:r>
        <w:rPr>
          <w:rFonts w:ascii="Times New Roman" w:hAnsi="Times New Roman" w:eastAsia="宋体" w:cs="Times New Roman"/>
          <w:color w:val="000000"/>
          <w:kern w:val="2"/>
          <w:sz w:val="24"/>
          <w:szCs w:val="24"/>
          <w:shd w:val="clear" w:color="auto" w:fill="FFFFFF"/>
          <w:lang w:val="en-US" w:eastAsia="zh-CN" w:bidi="ar-SA"/>
        </w:rPr>
        <w:t>=666.67</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，均采用水平投影面积。</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土地类型以现有土地利用现状调查数据为依据，以村民小组为单位进行分类界定；地面青苗附着物由联合调查组以村民小组为单位对地类逐块界定。</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土地村组界线由联合调查组现场实地测量，然后在实测</w:t>
      </w:r>
      <w:r>
        <w:rPr>
          <w:rFonts w:ascii="Times New Roman" w:hAnsi="Times New Roman" w:eastAsia="宋体" w:cs="Times New Roman"/>
          <w:color w:val="000000"/>
          <w:kern w:val="2"/>
          <w:sz w:val="24"/>
          <w:szCs w:val="24"/>
          <w:shd w:val="clear" w:color="auto" w:fill="FFFFFF"/>
          <w:lang w:val="en-US" w:eastAsia="zh-CN" w:bidi="ar-SA"/>
        </w:rPr>
        <w:t>1:2000</w:t>
      </w:r>
      <w:r>
        <w:rPr>
          <w:rFonts w:ascii="Times New Roman" w:hAnsi="宋体" w:eastAsia="宋体" w:cs="Times New Roman"/>
          <w:color w:val="000000"/>
          <w:kern w:val="2"/>
          <w:sz w:val="24"/>
          <w:szCs w:val="24"/>
          <w:shd w:val="clear" w:color="auto" w:fill="FFFFFF"/>
          <w:lang w:val="en-US" w:eastAsia="zh-CN" w:bidi="ar-SA"/>
        </w:rPr>
        <w:t>地类地形图上标注乡</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镇</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、村和村民小组的行政界线，并经联合调查组签字确认后录入到计算机，采用</w:t>
      </w:r>
      <w:r>
        <w:rPr>
          <w:rFonts w:ascii="Times New Roman" w:hAnsi="Times New Roman" w:eastAsia="宋体" w:cs="Times New Roman"/>
          <w:color w:val="000000"/>
          <w:kern w:val="2"/>
          <w:sz w:val="24"/>
          <w:szCs w:val="24"/>
          <w:shd w:val="clear" w:color="auto" w:fill="FFFFFF"/>
          <w:lang w:val="en-US" w:eastAsia="zh-CN" w:bidi="ar-SA"/>
        </w:rPr>
        <w:t>ArcGIS</w:t>
      </w:r>
      <w:r>
        <w:rPr>
          <w:rFonts w:ascii="Times New Roman" w:hAnsi="宋体" w:eastAsia="宋体" w:cs="Times New Roman"/>
          <w:color w:val="000000"/>
          <w:kern w:val="2"/>
          <w:sz w:val="24"/>
          <w:szCs w:val="24"/>
          <w:shd w:val="clear" w:color="auto" w:fill="FFFFFF"/>
          <w:lang w:val="en-US" w:eastAsia="zh-CN" w:bidi="ar-SA"/>
        </w:rPr>
        <w:t>软件量算面积并以村民小组为单位分级统计汇总。</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6.1.4  </w:t>
      </w:r>
      <w:r>
        <w:rPr>
          <w:rFonts w:ascii="Times New Roman" w:hAnsi="宋体" w:eastAsia="黑体" w:cs="Times New Roman"/>
          <w:bCs/>
          <w:snapToGrid w:val="0"/>
          <w:color w:val="000000"/>
          <w:kern w:val="0"/>
          <w:sz w:val="24"/>
          <w:szCs w:val="24"/>
          <w:lang w:val="en-US" w:eastAsia="zh-CN" w:bidi="ar-SA"/>
        </w:rPr>
        <w:t>零星树木调查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根据《调查细则》的规定，对建设征地区林地园地以外零星分散生长的树木按用途分为果树、景观树、板栗、其他树木和名木古树等五大类，由联合调查组采用现场清点方法进行统计，分范围、逐地块、逐户进行，调查成果由调查组各方代表和权属人签字认可。</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01" w:name="_Toc90945248"/>
      <w:bookmarkStart w:id="602" w:name="_Toc86257957"/>
      <w:r>
        <w:rPr>
          <w:rFonts w:ascii="Times New Roman" w:hAnsi="Times New Roman" w:eastAsia="黑体" w:cs="Times New Roman"/>
          <w:bCs/>
          <w:snapToGrid w:val="0"/>
          <w:color w:val="000000"/>
          <w:kern w:val="0"/>
          <w:sz w:val="28"/>
          <w:szCs w:val="28"/>
          <w:lang w:val="en-US" w:eastAsia="zh-CN" w:bidi="ar-SA"/>
        </w:rPr>
        <w:t xml:space="preserve">6.2  </w:t>
      </w:r>
      <w:r>
        <w:rPr>
          <w:rFonts w:ascii="Times New Roman" w:hAnsi="宋体" w:eastAsia="黑体" w:cs="Times New Roman"/>
          <w:bCs/>
          <w:snapToGrid w:val="0"/>
          <w:color w:val="000000"/>
          <w:kern w:val="0"/>
          <w:sz w:val="28"/>
          <w:szCs w:val="28"/>
          <w:lang w:val="en-US" w:eastAsia="zh-CN" w:bidi="ar-SA"/>
        </w:rPr>
        <w:t>专业项目调查</w:t>
      </w:r>
      <w:bookmarkEnd w:id="601"/>
      <w:bookmarkEnd w:id="602"/>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专业项目调查包括交通、水利、输变电、通信、广播电视、文物古迹、矿产资源等项目。</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6.2.1  </w:t>
      </w:r>
      <w:r>
        <w:rPr>
          <w:rFonts w:ascii="Times New Roman" w:hAnsi="宋体" w:eastAsia="黑体" w:cs="Times New Roman"/>
          <w:bCs/>
          <w:snapToGrid w:val="0"/>
          <w:color w:val="000000"/>
          <w:kern w:val="0"/>
          <w:sz w:val="24"/>
          <w:szCs w:val="24"/>
          <w:lang w:val="en-US" w:eastAsia="zh-CN" w:bidi="ar-SA"/>
        </w:rPr>
        <w:t>交通设施调查</w:t>
      </w:r>
    </w:p>
    <w:p>
      <w:pPr>
        <w:widowControl w:val="0"/>
        <w:overflowPunct w:val="0"/>
        <w:autoSpaceDE w:val="0"/>
        <w:autoSpaceDN w:val="0"/>
        <w:adjustRightInd w:val="0"/>
        <w:snapToGrid w:val="0"/>
        <w:spacing w:line="480" w:lineRule="exact"/>
        <w:ind w:firstLine="496" w:firstLineChars="200"/>
        <w:jc w:val="both"/>
        <w:rPr>
          <w:rFonts w:ascii="Times New Roman" w:hAnsi="Times New Roman" w:eastAsia="宋体" w:cs="Times New Roman"/>
          <w:color w:val="000000"/>
          <w:spacing w:val="4"/>
          <w:kern w:val="2"/>
          <w:sz w:val="24"/>
          <w:szCs w:val="24"/>
          <w:shd w:val="clear" w:color="auto" w:fill="FFFFFF"/>
          <w:lang w:val="en-US" w:eastAsia="zh-CN" w:bidi="ar-SA"/>
        </w:rPr>
      </w:pPr>
      <w:r>
        <w:rPr>
          <w:rFonts w:ascii="Times New Roman" w:hAnsi="宋体" w:eastAsia="宋体" w:cs="Times New Roman"/>
          <w:color w:val="000000"/>
          <w:spacing w:val="4"/>
          <w:kern w:val="2"/>
          <w:sz w:val="24"/>
          <w:szCs w:val="24"/>
          <w:shd w:val="clear" w:color="auto" w:fill="FFFFFF"/>
          <w:lang w:val="en-US" w:eastAsia="zh-CN" w:bidi="ar-SA"/>
        </w:rPr>
        <w:t>调查内容包括线路的名称、起止点、长度、权属、等级、建成通车时间、总投资等；受征</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占</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地影响线路段的长度和起止地点，路基和路面的最低、最高高程和宽度，路面材料、设计洪水标准等。应调查交通运输工程的功能、服务对象、服务范围等内容。</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6.2.2  </w:t>
      </w:r>
      <w:r>
        <w:rPr>
          <w:rFonts w:ascii="Times New Roman" w:hAnsi="宋体" w:eastAsia="黑体" w:cs="Times New Roman"/>
          <w:bCs/>
          <w:snapToGrid w:val="0"/>
          <w:color w:val="000000"/>
          <w:kern w:val="0"/>
          <w:sz w:val="24"/>
          <w:szCs w:val="24"/>
          <w:lang w:val="en-US" w:eastAsia="zh-CN" w:bidi="ar-SA"/>
        </w:rPr>
        <w:t>水利设施调查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调查内容包括名称、地点及位置、主管部门、权属、建成年月、设计年限，工程特性、工程规模、效益，工程主要功能及服务对象，占地面积，主要建筑物名称、数量、布置、型式、结构、规格，分布高程，防洪标准，受益区受影响程度，管理单位，主要设备的规格、数量。</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6.2.3  </w:t>
      </w:r>
      <w:r>
        <w:rPr>
          <w:rFonts w:ascii="Times New Roman" w:hAnsi="宋体" w:eastAsia="黑体" w:cs="Times New Roman"/>
          <w:bCs/>
          <w:snapToGrid w:val="0"/>
          <w:color w:val="000000"/>
          <w:kern w:val="0"/>
          <w:sz w:val="24"/>
          <w:szCs w:val="24"/>
          <w:lang w:val="en-US" w:eastAsia="zh-CN" w:bidi="ar-SA"/>
        </w:rPr>
        <w:t>电力工程调查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输电线路的调查内容应主要包括线路名称、权属、起迄地点、区域分布情况、导线型号和截面积、敷设方式、主管部门、建成年月、供电范围，运行管理单位，杆塔材质、长度。</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变电设施的调查内容应主要包括名称、地点、容量、电压等级、主管部门、权属、运行管理单位、建成年月，占地面积，供电范围，出线间隔，建筑物名称、结构、建筑面积，构筑物名称、结构、数量，主要设备的名称、规格、数量。</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6.2.4  </w:t>
      </w:r>
      <w:r>
        <w:rPr>
          <w:rFonts w:ascii="Times New Roman" w:hAnsi="宋体" w:eastAsia="黑体" w:cs="Times New Roman"/>
          <w:bCs/>
          <w:snapToGrid w:val="0"/>
          <w:color w:val="000000"/>
          <w:kern w:val="0"/>
          <w:sz w:val="24"/>
          <w:szCs w:val="24"/>
          <w:lang w:val="en-US" w:eastAsia="zh-CN" w:bidi="ar-SA"/>
        </w:rPr>
        <w:t>电信工程调查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线路调查主要包括征</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占</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地涉及的线路名称、权属、等级、起止地点、建成年月、每杆对数、杆质、线材及线径，架空</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埋设</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电缆、光缆的型号、长度和容量、占地面积等。</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设施包括无线通信基站、信号塔等，调查内容包括名称、权属、等级、规模、地点、建成年月、结构类型、数量</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工程量</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、占地面积等。</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设备调查的项目主要有名称、型号、容量、数量等。</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应调查电信工程的功能、服务对象、服务范围等内容。</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6.2.5  </w:t>
      </w:r>
      <w:r>
        <w:rPr>
          <w:rFonts w:ascii="Times New Roman" w:hAnsi="宋体" w:eastAsia="黑体" w:cs="Times New Roman"/>
          <w:bCs/>
          <w:snapToGrid w:val="0"/>
          <w:color w:val="000000"/>
          <w:kern w:val="0"/>
          <w:sz w:val="24"/>
          <w:szCs w:val="24"/>
          <w:lang w:val="en-US" w:eastAsia="zh-CN" w:bidi="ar-SA"/>
        </w:rPr>
        <w:t>广播电视工程调查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广播电视工程调查内容包括有线广播、有线电视和接收站</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塔</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、转播站</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塔</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两个方面：</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a</w:t>
      </w:r>
      <w:r>
        <w:rPr>
          <w:rFonts w:ascii="Times New Roman" w:hAnsi="Times New Roman" w:eastAsia="宋体" w:cs="Times New Roman"/>
          <w:color w:val="000000"/>
          <w:kern w:val="2"/>
          <w:sz w:val="24"/>
          <w:szCs w:val="24"/>
          <w:shd w:val="clear" w:color="auto" w:fill="FFFFFF"/>
          <w:lang w:val="en-US" w:eastAsia="zh-CN" w:bidi="ar-SA"/>
        </w:rPr>
        <w:t>)</w:t>
      </w:r>
      <w:r>
        <w:rPr>
          <w:rFonts w:hint="eastAsia"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有线广播、有线电视线路包括征</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占</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地涉及线路名称、权属、起止点、线路材质与线径、影响长度和杆数等。</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b</w:t>
      </w:r>
      <w:r>
        <w:rPr>
          <w:rFonts w:ascii="Times New Roman" w:hAnsi="Times New Roman" w:eastAsia="宋体" w:cs="Times New Roman"/>
          <w:color w:val="000000"/>
          <w:kern w:val="2"/>
          <w:sz w:val="24"/>
          <w:szCs w:val="24"/>
          <w:shd w:val="clear" w:color="auto" w:fill="FFFFFF"/>
          <w:lang w:val="en-US" w:eastAsia="zh-CN" w:bidi="ar-SA"/>
        </w:rPr>
        <w:t xml:space="preserve">) </w:t>
      </w:r>
      <w:r>
        <w:rPr>
          <w:rFonts w:ascii="Times New Roman" w:hAnsi="宋体" w:eastAsia="宋体" w:cs="Times New Roman"/>
          <w:color w:val="000000"/>
          <w:kern w:val="2"/>
          <w:sz w:val="24"/>
          <w:szCs w:val="24"/>
          <w:shd w:val="clear" w:color="auto" w:fill="FFFFFF"/>
          <w:lang w:val="en-US" w:eastAsia="zh-CN" w:bidi="ar-SA"/>
        </w:rPr>
        <w:t>接收站</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塔</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、转播站</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塔</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包括征</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占</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地涉及站</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塔</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的名称、位置、权属、设施、设备及其技术特征等。</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6.2.6  </w:t>
      </w:r>
      <w:r>
        <w:rPr>
          <w:rFonts w:ascii="Times New Roman" w:hAnsi="宋体" w:eastAsia="黑体" w:cs="Times New Roman"/>
          <w:bCs/>
          <w:snapToGrid w:val="0"/>
          <w:color w:val="000000"/>
          <w:kern w:val="0"/>
          <w:sz w:val="24"/>
          <w:szCs w:val="24"/>
          <w:lang w:val="en-US" w:eastAsia="zh-CN" w:bidi="ar-SA"/>
        </w:rPr>
        <w:t>矿产资源调查</w:t>
      </w:r>
    </w:p>
    <w:p>
      <w:pPr>
        <w:widowControl w:val="0"/>
        <w:overflowPunct w:val="0"/>
        <w:autoSpaceDE w:val="0"/>
        <w:autoSpaceDN w:val="0"/>
        <w:adjustRightInd w:val="0"/>
        <w:snapToGrid w:val="0"/>
        <w:spacing w:line="480" w:lineRule="exact"/>
        <w:ind w:firstLine="496" w:firstLineChars="200"/>
        <w:jc w:val="both"/>
        <w:rPr>
          <w:rFonts w:ascii="Times New Roman" w:hAnsi="Times New Roman" w:eastAsia="宋体" w:cs="Times New Roman"/>
          <w:color w:val="000000"/>
          <w:spacing w:val="4"/>
          <w:kern w:val="2"/>
          <w:sz w:val="24"/>
          <w:szCs w:val="24"/>
          <w:shd w:val="clear" w:color="auto" w:fill="FFFFFF"/>
          <w:lang w:val="en-US" w:eastAsia="zh-CN" w:bidi="ar-SA"/>
        </w:rPr>
      </w:pPr>
      <w:r>
        <w:rPr>
          <w:rFonts w:ascii="Times New Roman" w:hAnsi="宋体" w:eastAsia="宋体" w:cs="Times New Roman"/>
          <w:color w:val="000000"/>
          <w:spacing w:val="4"/>
          <w:kern w:val="2"/>
          <w:sz w:val="24"/>
          <w:szCs w:val="24"/>
          <w:shd w:val="clear" w:color="auto" w:fill="FFFFFF"/>
          <w:lang w:val="en-US" w:eastAsia="zh-CN" w:bidi="ar-SA"/>
        </w:rPr>
        <w:t>矿产资源调查内容包括征</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占</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地影响的矿产资源名称、位置、范围、矿藏种类、品位、等级、储量等资料，工程建设征</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占</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对矿藏开采的影响，以及提前开采可能性等。</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6.2.7  文物古迹及英雄烈士纪念设施调查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文物古迹调查内容包括地面文物和地下文物两部分。地面文物调查内容包括受征</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占</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地影响的文物名称、占地面积、文物年代、建筑结构、规模、保护级别等。地下文物调查内容包括受征</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占</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地影响的文物名称、位置、年代、规模、保护级别等，对所涉及的文物进行拍照</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或录影</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，记录其原始图像资料。</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英雄烈士纪念设施调查应为纪念烈士专门修建的烈士陵园、纪念堂馆、纪念碑亭、纪念祠堂、纪念塑像、烈士骨灰堂、烈士墓等设施的调查。调查内容应主要包括名称、所在位置、地面高程、型式、结构、纪念意义、建设规模、保护范围、保护单位、占地面积、保护级别。</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03" w:name="_Toc86257958"/>
      <w:bookmarkStart w:id="604" w:name="_Toc90945249"/>
      <w:r>
        <w:rPr>
          <w:rFonts w:ascii="Times New Roman" w:hAnsi="Times New Roman" w:eastAsia="黑体" w:cs="Times New Roman"/>
          <w:bCs/>
          <w:snapToGrid w:val="0"/>
          <w:color w:val="000000"/>
          <w:kern w:val="0"/>
          <w:sz w:val="28"/>
          <w:szCs w:val="28"/>
          <w:lang w:val="en-US" w:eastAsia="zh-CN" w:bidi="ar-SA"/>
        </w:rPr>
        <w:t>6.3  企事业单位调查</w:t>
      </w:r>
      <w:bookmarkEnd w:id="603"/>
      <w:bookmarkEnd w:id="604"/>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企事业单位调查对象应包括经工商行政管理部门注册登记、取得了营业执照的企业和经事业单位登记管理部门核准登记或备案、取得事业单位法人证书的事业单位。</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企事业单位调查的内容应主要包括企事业单位的名称、类别、所在地点、高程范围、权属、职工、用地、房屋及附属建筑物、零星树木、基础设施、生产设施、设备、存货、生产经营状况或服务情况。</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05" w:name="_Toc90945250"/>
      <w:bookmarkStart w:id="606" w:name="_Toc86257959"/>
      <w:r>
        <w:rPr>
          <w:rFonts w:ascii="Times New Roman" w:hAnsi="Times New Roman" w:eastAsia="黑体" w:cs="Times New Roman"/>
          <w:bCs/>
          <w:snapToGrid w:val="0"/>
          <w:color w:val="000000"/>
          <w:kern w:val="0"/>
          <w:sz w:val="28"/>
          <w:szCs w:val="28"/>
          <w:lang w:val="en-US" w:eastAsia="zh-CN" w:bidi="ar-SA"/>
        </w:rPr>
        <w:t>6.4  个体工商户调查</w:t>
      </w:r>
      <w:bookmarkEnd w:id="605"/>
      <w:bookmarkEnd w:id="606"/>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个体工商户按行业分为生产行业、餐饮行业，旅店服务行业，娱乐服务业，批发零售业，以及摊贩六类，主要调查所属行业与经营项目、营业执照、开业时间、从业人员数量、生产用房和生活用房面积等。调查成果由权属人和调查者签字</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盖章</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确认。</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07" w:name="_Toc90945251"/>
      <w:bookmarkStart w:id="608" w:name="_Toc86257960"/>
      <w:r>
        <w:rPr>
          <w:rFonts w:ascii="Times New Roman" w:hAnsi="Times New Roman" w:eastAsia="黑体" w:cs="Times New Roman"/>
          <w:bCs/>
          <w:snapToGrid w:val="0"/>
          <w:color w:val="000000"/>
          <w:kern w:val="0"/>
          <w:sz w:val="28"/>
          <w:szCs w:val="28"/>
          <w:lang w:val="en-US" w:eastAsia="zh-CN" w:bidi="ar-SA"/>
        </w:rPr>
        <w:t xml:space="preserve">6.5  </w:t>
      </w:r>
      <w:r>
        <w:rPr>
          <w:rFonts w:ascii="Times New Roman" w:hAnsi="宋体" w:eastAsia="黑体" w:cs="Times New Roman"/>
          <w:bCs/>
          <w:snapToGrid w:val="0"/>
          <w:color w:val="000000"/>
          <w:kern w:val="0"/>
          <w:sz w:val="28"/>
          <w:szCs w:val="28"/>
          <w:lang w:val="en-US" w:eastAsia="zh-CN" w:bidi="ar-SA"/>
        </w:rPr>
        <w:t>经济社会调查</w:t>
      </w:r>
      <w:bookmarkEnd w:id="607"/>
      <w:bookmarkEnd w:id="608"/>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经济社会调查的内容包括经济社会现状、国民经济和社会发展近期计划和远景规划两个方面。经济社会现状主要包括人口、文化程度、民族结构、宗教信仰、风俗习惯、劳力及其就业，自然资源及开发利用，工农业生产情况</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产值、产业结构等</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基础设施，居民经济收入等。国民经济和社会发展近期计划和远景规划包括人口增长率、人民群众的收入水平预测、工农业生产发展等规划资料。对农户家庭现状选择有代表性的居民进行典型调查，对主要农作物产量、年收入情况进行实地典型调查。</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09" w:name="_Toc90945252"/>
      <w:bookmarkStart w:id="610" w:name="_Toc86257961"/>
      <w:r>
        <w:rPr>
          <w:rFonts w:ascii="Times New Roman" w:hAnsi="Times New Roman" w:eastAsia="黑体" w:cs="Times New Roman"/>
          <w:bCs/>
          <w:snapToGrid w:val="0"/>
          <w:color w:val="000000"/>
          <w:kern w:val="0"/>
          <w:sz w:val="28"/>
          <w:szCs w:val="28"/>
          <w:lang w:val="en-US" w:eastAsia="zh-CN" w:bidi="ar-SA"/>
        </w:rPr>
        <w:t>6.6  实物指标公示、复核</w:t>
      </w:r>
      <w:bookmarkEnd w:id="609"/>
      <w:bookmarkEnd w:id="610"/>
    </w:p>
    <w:p>
      <w:pPr>
        <w:widowControl w:val="0"/>
        <w:overflowPunct w:val="0"/>
        <w:autoSpaceDE w:val="0"/>
        <w:autoSpaceDN w:val="0"/>
        <w:adjustRightInd w:val="0"/>
        <w:snapToGrid w:val="0"/>
        <w:spacing w:line="480" w:lineRule="exact"/>
        <w:ind w:firstLine="496" w:firstLineChars="200"/>
        <w:jc w:val="both"/>
        <w:rPr>
          <w:rFonts w:hint="eastAsia" w:ascii="Times New Roman" w:hAnsi="Times New Roman" w:eastAsia="宋体" w:cs="Times New Roman"/>
          <w:color w:val="000000"/>
          <w:spacing w:val="4"/>
          <w:kern w:val="2"/>
          <w:sz w:val="24"/>
          <w:szCs w:val="24"/>
          <w:shd w:val="clear" w:color="auto" w:fill="FFFFFF"/>
          <w:lang w:val="en-US" w:eastAsia="zh-CN" w:bidi="ar-SA"/>
        </w:rPr>
      </w:pPr>
      <w:r>
        <w:rPr>
          <w:rFonts w:ascii="Times New Roman" w:hAnsi="宋体" w:eastAsia="宋体" w:cs="Times New Roman"/>
          <w:color w:val="000000"/>
          <w:spacing w:val="4"/>
          <w:kern w:val="2"/>
          <w:sz w:val="24"/>
          <w:szCs w:val="24"/>
          <w:shd w:val="clear" w:color="auto" w:fill="FFFFFF"/>
          <w:lang w:val="en-US" w:eastAsia="zh-CN" w:bidi="ar-SA"/>
        </w:rPr>
        <w:t>根据《国务院关于修改</w:t>
      </w:r>
      <w:r>
        <w:rPr>
          <w:rFonts w:ascii="Times New Roman" w:hAnsi="Times New Roman" w:eastAsia="宋体" w:cs="Times New Roman"/>
          <w:color w:val="000000"/>
          <w:spacing w:val="4"/>
          <w:kern w:val="2"/>
          <w:sz w:val="24"/>
          <w:szCs w:val="24"/>
          <w:shd w:val="clear" w:color="auto" w:fill="FFFFFF"/>
          <w:lang w:val="en-US" w:eastAsia="zh-CN" w:bidi="ar-SA"/>
        </w:rPr>
        <w:t>&lt;</w:t>
      </w:r>
      <w:r>
        <w:rPr>
          <w:rFonts w:ascii="Times New Roman" w:hAnsi="宋体" w:eastAsia="宋体" w:cs="Times New Roman"/>
          <w:color w:val="000000"/>
          <w:spacing w:val="4"/>
          <w:kern w:val="2"/>
          <w:sz w:val="24"/>
          <w:szCs w:val="24"/>
          <w:shd w:val="clear" w:color="auto" w:fill="FFFFFF"/>
          <w:lang w:val="en-US" w:eastAsia="zh-CN" w:bidi="ar-SA"/>
        </w:rPr>
        <w:t>大中型水利水电工程建设征地补偿和移民安置条例</w:t>
      </w:r>
      <w:r>
        <w:rPr>
          <w:rFonts w:ascii="Times New Roman" w:hAnsi="Times New Roman" w:eastAsia="宋体" w:cs="Times New Roman"/>
          <w:color w:val="000000"/>
          <w:spacing w:val="4"/>
          <w:kern w:val="2"/>
          <w:sz w:val="24"/>
          <w:szCs w:val="24"/>
          <w:shd w:val="clear" w:color="auto" w:fill="FFFFFF"/>
          <w:lang w:val="en-US" w:eastAsia="zh-CN" w:bidi="ar-SA"/>
        </w:rPr>
        <w:t>&gt;</w:t>
      </w:r>
      <w:r>
        <w:rPr>
          <w:rFonts w:ascii="Times New Roman" w:hAnsi="宋体" w:eastAsia="宋体" w:cs="Times New Roman"/>
          <w:color w:val="000000"/>
          <w:spacing w:val="4"/>
          <w:kern w:val="2"/>
          <w:sz w:val="24"/>
          <w:szCs w:val="24"/>
          <w:shd w:val="clear" w:color="auto" w:fill="FFFFFF"/>
          <w:lang w:val="en-US" w:eastAsia="zh-CN" w:bidi="ar-SA"/>
        </w:rPr>
        <w:t>的决定》</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国务院令第</w:t>
      </w:r>
      <w:r>
        <w:rPr>
          <w:rFonts w:ascii="Times New Roman" w:hAnsi="Times New Roman" w:eastAsia="宋体" w:cs="Times New Roman"/>
          <w:color w:val="000000"/>
          <w:spacing w:val="4"/>
          <w:kern w:val="2"/>
          <w:sz w:val="24"/>
          <w:szCs w:val="24"/>
          <w:shd w:val="clear" w:color="auto" w:fill="FFFFFF"/>
          <w:lang w:val="en-US" w:eastAsia="zh-CN" w:bidi="ar-SA"/>
        </w:rPr>
        <w:t>679</w:t>
      </w:r>
      <w:r>
        <w:rPr>
          <w:rFonts w:ascii="Times New Roman" w:hAnsi="宋体" w:eastAsia="宋体" w:cs="Times New Roman"/>
          <w:color w:val="000000"/>
          <w:spacing w:val="4"/>
          <w:kern w:val="2"/>
          <w:sz w:val="24"/>
          <w:szCs w:val="24"/>
          <w:shd w:val="clear" w:color="auto" w:fill="FFFFFF"/>
          <w:lang w:val="en-US" w:eastAsia="zh-CN" w:bidi="ar-SA"/>
        </w:rPr>
        <w:t>号</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规定，对工程建设征地实物指标调查成果进行公示、复核。</w:t>
      </w:r>
      <w:r>
        <w:rPr>
          <w:rFonts w:ascii="Times New Roman" w:hAnsi="Times New Roman" w:eastAsia="宋体" w:cs="Times New Roman"/>
          <w:color w:val="000000"/>
          <w:spacing w:val="4"/>
          <w:kern w:val="2"/>
          <w:sz w:val="24"/>
          <w:szCs w:val="24"/>
          <w:highlight w:val="none"/>
          <w:shd w:val="clear" w:color="auto" w:fill="FFFFFF"/>
          <w:lang w:val="en-US" w:eastAsia="zh-CN" w:bidi="ar-SA"/>
        </w:rPr>
        <w:t>2021</w:t>
      </w:r>
      <w:r>
        <w:rPr>
          <w:rFonts w:ascii="Times New Roman" w:hAnsi="宋体" w:eastAsia="宋体" w:cs="Times New Roman"/>
          <w:color w:val="000000"/>
          <w:spacing w:val="4"/>
          <w:kern w:val="2"/>
          <w:sz w:val="24"/>
          <w:szCs w:val="24"/>
          <w:highlight w:val="none"/>
          <w:shd w:val="clear" w:color="auto" w:fill="FFFFFF"/>
          <w:lang w:val="en-US" w:eastAsia="zh-CN" w:bidi="ar-SA"/>
        </w:rPr>
        <w:t>年</w:t>
      </w:r>
      <w:r>
        <w:rPr>
          <w:rFonts w:ascii="Times New Roman" w:hAnsi="Times New Roman" w:eastAsia="宋体" w:cs="Times New Roman"/>
          <w:color w:val="000000"/>
          <w:spacing w:val="4"/>
          <w:kern w:val="2"/>
          <w:sz w:val="24"/>
          <w:szCs w:val="24"/>
          <w:highlight w:val="none"/>
          <w:shd w:val="clear" w:color="auto" w:fill="FFFFFF"/>
          <w:lang w:val="en-US" w:eastAsia="zh-CN" w:bidi="ar-SA"/>
        </w:rPr>
        <w:t>12月22日</w:t>
      </w:r>
      <w:r>
        <w:rPr>
          <w:rFonts w:hint="eastAsia" w:ascii="Times New Roman" w:hAnsi="Times New Roman" w:eastAsia="宋体" w:cs="Times New Roman"/>
          <w:color w:val="000000"/>
          <w:spacing w:val="4"/>
          <w:kern w:val="2"/>
          <w:sz w:val="24"/>
          <w:szCs w:val="24"/>
          <w:highlight w:val="none"/>
          <w:shd w:val="clear" w:color="auto" w:fill="FFFFFF"/>
          <w:lang w:val="en-US" w:eastAsia="zh-CN" w:bidi="ar-SA"/>
        </w:rPr>
        <w:t>至</w:t>
      </w:r>
      <w:r>
        <w:rPr>
          <w:rFonts w:ascii="Times New Roman" w:hAnsi="Times New Roman" w:eastAsia="宋体" w:cs="Times New Roman"/>
          <w:color w:val="000000"/>
          <w:spacing w:val="4"/>
          <w:kern w:val="2"/>
          <w:sz w:val="24"/>
          <w:szCs w:val="24"/>
          <w:highlight w:val="none"/>
          <w:shd w:val="clear" w:color="auto" w:fill="FFFFFF"/>
          <w:lang w:val="en-US" w:eastAsia="zh-CN" w:bidi="ar-SA"/>
        </w:rPr>
        <w:t>28</w:t>
      </w:r>
      <w:r>
        <w:rPr>
          <w:rFonts w:hint="eastAsia" w:ascii="Times New Roman" w:hAnsi="Times New Roman" w:eastAsia="宋体" w:cs="Times New Roman"/>
          <w:color w:val="000000"/>
          <w:spacing w:val="4"/>
          <w:kern w:val="2"/>
          <w:sz w:val="24"/>
          <w:szCs w:val="24"/>
          <w:highlight w:val="none"/>
          <w:shd w:val="clear" w:color="auto" w:fill="FFFFFF"/>
          <w:lang w:val="en-US" w:eastAsia="zh-CN" w:bidi="ar-SA"/>
        </w:rPr>
        <w:t>日</w:t>
      </w:r>
      <w:r>
        <w:rPr>
          <w:rFonts w:ascii="Times New Roman" w:hAnsi="Times New Roman" w:eastAsia="宋体" w:cs="Times New Roman"/>
          <w:color w:val="000000"/>
          <w:spacing w:val="4"/>
          <w:kern w:val="2"/>
          <w:sz w:val="24"/>
          <w:szCs w:val="24"/>
          <w:shd w:val="clear" w:color="auto" w:fill="FFFFFF"/>
          <w:lang w:val="en-US" w:eastAsia="zh-CN" w:bidi="ar-SA"/>
        </w:rPr>
        <w:t>，</w:t>
      </w:r>
      <w:r>
        <w:rPr>
          <w:rFonts w:ascii="Times New Roman" w:hAnsi="宋体" w:eastAsia="宋体" w:cs="Times New Roman"/>
          <w:color w:val="000000"/>
          <w:spacing w:val="4"/>
          <w:kern w:val="2"/>
          <w:sz w:val="24"/>
          <w:szCs w:val="24"/>
          <w:shd w:val="clear" w:color="auto" w:fill="FFFFFF"/>
          <w:lang w:val="en-US" w:eastAsia="zh-CN" w:bidi="ar-SA"/>
        </w:rPr>
        <w:t>县人民政府对工程建设征地实物指标调查成果进行</w:t>
      </w:r>
      <w:r>
        <w:rPr>
          <w:rFonts w:hint="eastAsia" w:ascii="Times New Roman" w:hAnsi="宋体" w:eastAsia="宋体" w:cs="Times New Roman"/>
          <w:color w:val="000000"/>
          <w:spacing w:val="4"/>
          <w:kern w:val="2"/>
          <w:sz w:val="24"/>
          <w:szCs w:val="24"/>
          <w:shd w:val="clear" w:color="auto" w:fill="FFFFFF"/>
          <w:lang w:val="en-US" w:eastAsia="zh-CN" w:bidi="ar-SA"/>
        </w:rPr>
        <w:t>了</w:t>
      </w:r>
      <w:r>
        <w:rPr>
          <w:rFonts w:ascii="Times New Roman" w:hAnsi="宋体" w:eastAsia="宋体" w:cs="Times New Roman"/>
          <w:color w:val="000000"/>
          <w:spacing w:val="4"/>
          <w:kern w:val="2"/>
          <w:sz w:val="24"/>
          <w:szCs w:val="24"/>
          <w:shd w:val="clear" w:color="auto" w:fill="FFFFFF"/>
          <w:lang w:val="en-US" w:eastAsia="zh-CN" w:bidi="ar-SA"/>
        </w:rPr>
        <w:t>第一榜公示。</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6.6.1  </w:t>
      </w:r>
      <w:r>
        <w:rPr>
          <w:rFonts w:ascii="Times New Roman" w:hAnsi="宋体" w:eastAsia="黑体" w:cs="Times New Roman"/>
          <w:bCs/>
          <w:snapToGrid w:val="0"/>
          <w:color w:val="000000"/>
          <w:kern w:val="0"/>
          <w:sz w:val="24"/>
          <w:szCs w:val="24"/>
          <w:lang w:val="en-US" w:eastAsia="zh-CN" w:bidi="ar-SA"/>
        </w:rPr>
        <w:t>公示内容</w:t>
      </w:r>
    </w:p>
    <w:p>
      <w:pPr>
        <w:widowControl w:val="0"/>
        <w:adjustRightInd w:val="0"/>
        <w:snapToGrid w:val="0"/>
        <w:spacing w:line="480" w:lineRule="exact"/>
        <w:jc w:val="both"/>
        <w:outlineLvl w:val="3"/>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 xml:space="preserve">6.6.1.1  </w:t>
      </w:r>
      <w:r>
        <w:rPr>
          <w:rFonts w:ascii="Times New Roman" w:hAnsi="宋体" w:eastAsia="宋体" w:cs="Times New Roman"/>
          <w:bCs/>
          <w:color w:val="000000"/>
          <w:kern w:val="2"/>
          <w:sz w:val="24"/>
          <w:szCs w:val="24"/>
          <w:lang w:val="en-US" w:eastAsia="zh-CN" w:bidi="ar-SA"/>
        </w:rPr>
        <w:t>农村部分</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公示内容为实物指标调查成果中的集体财产及移民私有财产，主要包括人口、房屋、附属建筑物、土地、农副业设施、农村小型专项设施等的数量和属性。</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a) </w:t>
      </w:r>
      <w:r>
        <w:rPr>
          <w:rFonts w:ascii="Times New Roman" w:hAnsi="宋体" w:eastAsia="宋体" w:cs="Times New Roman"/>
          <w:color w:val="000000"/>
          <w:kern w:val="2"/>
          <w:sz w:val="24"/>
          <w:szCs w:val="24"/>
          <w:shd w:val="clear" w:color="auto" w:fill="FFFFFF"/>
          <w:lang w:val="en-US" w:eastAsia="zh-CN" w:bidi="ar-SA"/>
        </w:rPr>
        <w:t>人口：包括户主姓名及家庭人口数量；</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b) </w:t>
      </w:r>
      <w:r>
        <w:rPr>
          <w:rFonts w:ascii="Times New Roman" w:hAnsi="宋体" w:eastAsia="宋体" w:cs="Times New Roman"/>
          <w:color w:val="000000"/>
          <w:kern w:val="2"/>
          <w:sz w:val="24"/>
          <w:szCs w:val="24"/>
          <w:shd w:val="clear" w:color="auto" w:fill="FFFFFF"/>
          <w:lang w:val="en-US" w:eastAsia="zh-CN" w:bidi="ar-SA"/>
        </w:rPr>
        <w:t>房屋：按权属分为私人房屋、集体房屋，按结构分为钢混、砖混、砖木、土木、简易结构等，将按权属、用途及结构分类统计的房屋数量分别公示；</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c) </w:t>
      </w:r>
      <w:r>
        <w:rPr>
          <w:rFonts w:ascii="Times New Roman" w:hAnsi="宋体" w:eastAsia="宋体" w:cs="Times New Roman"/>
          <w:color w:val="000000"/>
          <w:kern w:val="2"/>
          <w:sz w:val="24"/>
          <w:szCs w:val="24"/>
          <w:shd w:val="clear" w:color="auto" w:fill="FFFFFF"/>
          <w:lang w:val="en-US" w:eastAsia="zh-CN" w:bidi="ar-SA"/>
        </w:rPr>
        <w:t>附属建筑物：包括围墙、门楼、水井、晒坪、地窖、水池、粪池、沼气池、炉灶、卫星天线、热水器、空调、坟墓等；</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d) </w:t>
      </w:r>
      <w:r>
        <w:rPr>
          <w:rFonts w:ascii="Times New Roman" w:hAnsi="宋体" w:eastAsia="宋体" w:cs="Times New Roman"/>
          <w:color w:val="000000"/>
          <w:kern w:val="2"/>
          <w:sz w:val="24"/>
          <w:szCs w:val="24"/>
          <w:shd w:val="clear" w:color="auto" w:fill="FFFFFF"/>
          <w:lang w:val="en-US" w:eastAsia="zh-CN" w:bidi="ar-SA"/>
        </w:rPr>
        <w:t>土地：包括耕地、园地、林地及未利用土地等；</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e) </w:t>
      </w:r>
      <w:r>
        <w:rPr>
          <w:rFonts w:ascii="Times New Roman" w:hAnsi="宋体" w:eastAsia="宋体" w:cs="Times New Roman"/>
          <w:color w:val="000000"/>
          <w:kern w:val="2"/>
          <w:sz w:val="24"/>
          <w:szCs w:val="24"/>
          <w:shd w:val="clear" w:color="auto" w:fill="FFFFFF"/>
          <w:lang w:val="en-US" w:eastAsia="zh-CN" w:bidi="ar-SA"/>
        </w:rPr>
        <w:t>农副业设施：包括水车、水磨、水碾、石灰窑、砖瓦窑等</w:t>
      </w:r>
      <w:r>
        <w:rPr>
          <w:rFonts w:ascii="Times New Roman" w:hAnsi="Times New Roman" w:eastAsia="宋体" w:cs="Times New Roman"/>
          <w:color w:val="000000"/>
          <w:kern w:val="2"/>
          <w:sz w:val="24"/>
          <w:szCs w:val="24"/>
          <w:shd w:val="clear" w:color="auto" w:fill="FFFFFF"/>
          <w:lang w:val="en-US" w:eastAsia="zh-CN" w:bidi="ar-SA"/>
        </w:rPr>
        <w:t>;</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 xml:space="preserve">f) </w:t>
      </w:r>
      <w:r>
        <w:rPr>
          <w:rFonts w:ascii="Times New Roman" w:hAnsi="宋体" w:eastAsia="宋体" w:cs="Times New Roman"/>
          <w:color w:val="000000"/>
          <w:kern w:val="2"/>
          <w:sz w:val="24"/>
          <w:szCs w:val="24"/>
          <w:shd w:val="clear" w:color="auto" w:fill="FFFFFF"/>
          <w:lang w:val="en-US" w:eastAsia="zh-CN" w:bidi="ar-SA"/>
        </w:rPr>
        <w:t>农村小型专项设施：包括村级或以下权属涉及的机耕道、小型水库、山塘、引水坝、机井、渠道、水轮泵站和抽水机站，小水电站以及配套的输电线路等项目。</w:t>
      </w:r>
    </w:p>
    <w:p>
      <w:pPr>
        <w:widowControl w:val="0"/>
        <w:adjustRightInd w:val="0"/>
        <w:snapToGrid w:val="0"/>
        <w:spacing w:line="480" w:lineRule="exact"/>
        <w:jc w:val="both"/>
        <w:outlineLvl w:val="3"/>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 xml:space="preserve">6.6.1.2  </w:t>
      </w:r>
      <w:r>
        <w:rPr>
          <w:rFonts w:ascii="Times New Roman" w:hAnsi="宋体" w:eastAsia="宋体" w:cs="Times New Roman"/>
          <w:bCs/>
          <w:color w:val="000000"/>
          <w:kern w:val="2"/>
          <w:sz w:val="24"/>
          <w:szCs w:val="24"/>
          <w:lang w:val="en-US" w:eastAsia="zh-CN" w:bidi="ar-SA"/>
        </w:rPr>
        <w:t>专业项目</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将企事业单位、交通设施、输变电工程设施、通信工程设施、广播电视工程设施、水利水电设施等专业项目调查成果分专业、项目类别进行公示。</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6.6.2  </w:t>
      </w:r>
      <w:r>
        <w:rPr>
          <w:rFonts w:ascii="Times New Roman" w:hAnsi="宋体" w:eastAsia="黑体" w:cs="Times New Roman"/>
          <w:bCs/>
          <w:snapToGrid w:val="0"/>
          <w:color w:val="000000"/>
          <w:kern w:val="0"/>
          <w:sz w:val="24"/>
          <w:szCs w:val="24"/>
          <w:lang w:val="en-US" w:eastAsia="zh-CN" w:bidi="ar-SA"/>
        </w:rPr>
        <w:t>公示范围</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农村移民个人财产以户为单位在村民小组范围内公示，农村集体土地、国有土地，以村民小组为单位，在涉及的村民委员会范围内公示。专项设施在其权属单位内进行公示。</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6.6.3  </w:t>
      </w:r>
      <w:r>
        <w:rPr>
          <w:rFonts w:ascii="Times New Roman" w:hAnsi="宋体" w:eastAsia="黑体" w:cs="Times New Roman"/>
          <w:bCs/>
          <w:snapToGrid w:val="0"/>
          <w:color w:val="000000"/>
          <w:kern w:val="0"/>
          <w:sz w:val="24"/>
          <w:szCs w:val="24"/>
          <w:lang w:val="en-US" w:eastAsia="zh-CN" w:bidi="ar-SA"/>
        </w:rPr>
        <w:t>公示及复核程序</w:t>
      </w:r>
    </w:p>
    <w:p>
      <w:pPr>
        <w:widowControl w:val="0"/>
        <w:adjustRightInd w:val="0"/>
        <w:snapToGrid w:val="0"/>
        <w:spacing w:line="480" w:lineRule="exact"/>
        <w:jc w:val="both"/>
        <w:outlineLvl w:val="3"/>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 xml:space="preserve">6.6.3.1  </w:t>
      </w:r>
      <w:r>
        <w:rPr>
          <w:rFonts w:ascii="Times New Roman" w:hAnsi="宋体" w:eastAsia="宋体" w:cs="Times New Roman"/>
          <w:bCs/>
          <w:color w:val="000000"/>
          <w:kern w:val="2"/>
          <w:sz w:val="24"/>
          <w:szCs w:val="24"/>
          <w:lang w:val="en-US" w:eastAsia="zh-CN" w:bidi="ar-SA"/>
        </w:rPr>
        <w:t>公示程序</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抽水蓄能电站工程建设征地区的实物调查成果采用三榜公示制，每榜公示时间为</w:t>
      </w:r>
      <w:r>
        <w:rPr>
          <w:rFonts w:ascii="Times New Roman" w:hAnsi="Times New Roman" w:eastAsia="宋体" w:cs="Times New Roman"/>
          <w:color w:val="000000"/>
          <w:kern w:val="2"/>
          <w:sz w:val="24"/>
          <w:szCs w:val="24"/>
          <w:shd w:val="clear" w:color="auto" w:fill="FFFFFF"/>
          <w:lang w:val="en-US" w:eastAsia="zh-CN" w:bidi="ar-SA"/>
        </w:rPr>
        <w:t>7</w:t>
      </w:r>
      <w:r>
        <w:rPr>
          <w:rFonts w:ascii="Times New Roman" w:hAnsi="宋体" w:eastAsia="宋体" w:cs="Times New Roman"/>
          <w:color w:val="000000"/>
          <w:kern w:val="2"/>
          <w:sz w:val="24"/>
          <w:szCs w:val="24"/>
          <w:shd w:val="clear" w:color="auto" w:fill="FFFFFF"/>
          <w:lang w:val="en-US" w:eastAsia="zh-CN" w:bidi="ar-SA"/>
        </w:rPr>
        <w:t>天，即第一榜公示、申请调查、调查复核；第二榜公示、申请调查、调查复核；第三榜公示、成果确认。</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第一榜：在本区域实物调查完毕后，联合调查工作组对调查数据进行整理后编制实物指标张榜公示材料，由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县人民政府组织进行公示，公示期为</w:t>
      </w:r>
      <w:r>
        <w:rPr>
          <w:rFonts w:ascii="Times New Roman" w:hAnsi="Times New Roman" w:eastAsia="宋体" w:cs="Times New Roman"/>
          <w:color w:val="000000"/>
          <w:kern w:val="2"/>
          <w:sz w:val="24"/>
          <w:szCs w:val="24"/>
          <w:shd w:val="clear" w:color="auto" w:fill="FFFFFF"/>
          <w:lang w:val="en-US" w:eastAsia="zh-CN" w:bidi="ar-SA"/>
        </w:rPr>
        <w:t>7</w:t>
      </w:r>
      <w:r>
        <w:rPr>
          <w:rFonts w:ascii="Times New Roman" w:hAnsi="宋体" w:eastAsia="宋体" w:cs="Times New Roman"/>
          <w:color w:val="000000"/>
          <w:kern w:val="2"/>
          <w:sz w:val="24"/>
          <w:szCs w:val="24"/>
          <w:shd w:val="clear" w:color="auto" w:fill="FFFFFF"/>
          <w:lang w:val="en-US" w:eastAsia="zh-CN" w:bidi="ar-SA"/>
        </w:rPr>
        <w:t>天。有关村组应负责在公示期内将公示数据与本村实际情况进行核对。</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第二榜：第一榜公示后，被调查者对公示中的实物指标有异议的，应在一榜公示期结束前提出书面调查申请，申请交所在乡</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镇</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政府，以村为单位归类汇总，由联合调查组对申请内容进行调查复核，并对复核成果进行张榜公示，公示期为</w:t>
      </w:r>
      <w:r>
        <w:rPr>
          <w:rFonts w:ascii="Times New Roman" w:hAnsi="Times New Roman" w:eastAsia="宋体" w:cs="Times New Roman"/>
          <w:color w:val="000000"/>
          <w:kern w:val="2"/>
          <w:sz w:val="24"/>
          <w:szCs w:val="24"/>
          <w:shd w:val="clear" w:color="auto" w:fill="FFFFFF"/>
          <w:lang w:val="en-US" w:eastAsia="zh-CN" w:bidi="ar-SA"/>
        </w:rPr>
        <w:t>7</w:t>
      </w:r>
      <w:r>
        <w:rPr>
          <w:rFonts w:ascii="Times New Roman" w:hAnsi="宋体" w:eastAsia="宋体" w:cs="Times New Roman"/>
          <w:color w:val="000000"/>
          <w:kern w:val="2"/>
          <w:sz w:val="24"/>
          <w:szCs w:val="24"/>
          <w:shd w:val="clear" w:color="auto" w:fill="FFFFFF"/>
          <w:lang w:val="en-US" w:eastAsia="zh-CN" w:bidi="ar-SA"/>
        </w:rPr>
        <w:t>天。</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第三榜：第二榜公示后，被调查者对公示中的实物指标有异议的，应在二榜公示期结束前提出书面调查申请，申请交所在乡</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镇</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政府，以村为单位归类汇总，由联合调查组对申请内容进行调查复核，并对复核成果再进行张榜公示，公示期为</w:t>
      </w:r>
      <w:r>
        <w:rPr>
          <w:rFonts w:ascii="Times New Roman" w:hAnsi="Times New Roman" w:eastAsia="宋体" w:cs="Times New Roman"/>
          <w:color w:val="000000"/>
          <w:kern w:val="2"/>
          <w:sz w:val="24"/>
          <w:szCs w:val="24"/>
          <w:shd w:val="clear" w:color="auto" w:fill="FFFFFF"/>
          <w:lang w:val="en-US" w:eastAsia="zh-CN" w:bidi="ar-SA"/>
        </w:rPr>
        <w:t>7</w:t>
      </w:r>
      <w:r>
        <w:rPr>
          <w:rFonts w:ascii="Times New Roman" w:hAnsi="宋体" w:eastAsia="宋体" w:cs="Times New Roman"/>
          <w:color w:val="000000"/>
          <w:kern w:val="2"/>
          <w:sz w:val="24"/>
          <w:szCs w:val="24"/>
          <w:shd w:val="clear" w:color="auto" w:fill="FFFFFF"/>
          <w:lang w:val="en-US" w:eastAsia="zh-CN" w:bidi="ar-SA"/>
        </w:rPr>
        <w:t>天。</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根据审定的优化调整后的建设征地变化范围，</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县人民政府进行了补充公示，公示期为</w:t>
      </w:r>
      <w:r>
        <w:rPr>
          <w:rFonts w:ascii="Times New Roman" w:hAnsi="Times New Roman" w:eastAsia="宋体" w:cs="Times New Roman"/>
          <w:color w:val="000000"/>
          <w:kern w:val="2"/>
          <w:sz w:val="24"/>
          <w:szCs w:val="24"/>
          <w:shd w:val="clear" w:color="auto" w:fill="FFFFFF"/>
          <w:lang w:val="en-US" w:eastAsia="zh-CN" w:bidi="ar-SA"/>
        </w:rPr>
        <w:t>3</w:t>
      </w:r>
      <w:r>
        <w:rPr>
          <w:rFonts w:ascii="Times New Roman" w:hAnsi="宋体" w:eastAsia="宋体" w:cs="Times New Roman"/>
          <w:color w:val="000000"/>
          <w:kern w:val="2"/>
          <w:sz w:val="24"/>
          <w:szCs w:val="24"/>
          <w:shd w:val="clear" w:color="auto" w:fill="FFFFFF"/>
          <w:lang w:val="en-US" w:eastAsia="zh-CN" w:bidi="ar-SA"/>
        </w:rPr>
        <w:t>天。</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被调查者对经复核的调查成果仍存在异议，达不成共识的由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县人民政府进行协调。被调查者也可依法向人民法院提起诉讼。</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p>
    <w:p>
      <w:pPr>
        <w:widowControl w:val="0"/>
        <w:adjustRightInd w:val="0"/>
        <w:snapToGrid w:val="0"/>
        <w:spacing w:line="480" w:lineRule="exact"/>
        <w:jc w:val="both"/>
        <w:outlineLvl w:val="3"/>
        <w:rPr>
          <w:rFonts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 xml:space="preserve">6.6.3.2  </w:t>
      </w:r>
      <w:r>
        <w:rPr>
          <w:rFonts w:ascii="Times New Roman" w:hAnsi="宋体" w:eastAsia="宋体" w:cs="Times New Roman"/>
          <w:bCs/>
          <w:color w:val="000000"/>
          <w:kern w:val="2"/>
          <w:sz w:val="24"/>
          <w:szCs w:val="24"/>
          <w:lang w:val="en-US" w:eastAsia="zh-CN" w:bidi="ar-SA"/>
        </w:rPr>
        <w:t>复核程序</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实物指标复核时其调查方法和调查内容应按本细则相关要求进行；</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权属人依照程序对原房屋及附属建筑物调查成果中某一项目提出复核申请后，一经核定，原则上应对该权属人的全部房屋及附属建筑物进行复核调查；</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土地指标、地表附着物指标及零星林</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果</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木在第一榜公示后，对其中有异议部分由权属人代表按程序提出复核申请，一经核定，将对该部分指标进行复核调查，复核完成后，经有关各方签字确认后，进入第二榜公示，但不列入第二榜复核范围；</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土地指标及地表附着物指标仅针对其地类变化进行复核，原则上不对具体地块面积进行复核；</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实物指标一经复核，不论增加或减少，均按复核成果登记汇总，并由调查人员及权属所有人对复核成果签字</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盖章</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确认后方可进入下轮公示，原成果作废。</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11" w:name="_Toc86257962"/>
      <w:bookmarkStart w:id="612" w:name="_Toc90945253"/>
      <w:r>
        <w:rPr>
          <w:rFonts w:ascii="Times New Roman" w:hAnsi="Times New Roman" w:eastAsia="黑体" w:cs="Times New Roman"/>
          <w:bCs/>
          <w:snapToGrid w:val="0"/>
          <w:color w:val="000000"/>
          <w:kern w:val="0"/>
          <w:sz w:val="28"/>
          <w:szCs w:val="28"/>
          <w:lang w:val="en-US" w:eastAsia="zh-CN" w:bidi="ar-SA"/>
        </w:rPr>
        <w:t xml:space="preserve">6.7  </w:t>
      </w:r>
      <w:r>
        <w:rPr>
          <w:rFonts w:ascii="Times New Roman" w:hAnsi="宋体" w:eastAsia="黑体" w:cs="Times New Roman"/>
          <w:bCs/>
          <w:snapToGrid w:val="0"/>
          <w:color w:val="000000"/>
          <w:kern w:val="0"/>
          <w:sz w:val="28"/>
          <w:szCs w:val="28"/>
          <w:lang w:val="en-US" w:eastAsia="zh-CN" w:bidi="ar-SA"/>
        </w:rPr>
        <w:t>成果确认</w:t>
      </w:r>
      <w:bookmarkEnd w:id="611"/>
      <w:bookmarkEnd w:id="612"/>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公示完成后，设计单位根据实物指标调查最终成果分组、村、乡</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镇</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进行汇总，汇总成果经调查各方审核后签字盖章确认。根据各方认定的实物指标调查成果，由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县人民政府对该成果出具确认文函。</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经各方认定后的实物指标成果，作为</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抽水蓄能电站建设征地移民安置规划大纲、移民安置规划报告、补偿费用编制的基本依据。</w:t>
      </w:r>
    </w:p>
    <w:p>
      <w:pPr>
        <w:overflowPunct w:val="0"/>
        <w:autoSpaceDE w:val="0"/>
        <w:autoSpaceDN w:val="0"/>
        <w:adjustRightInd w:val="0"/>
        <w:spacing w:line="520" w:lineRule="exact"/>
        <w:ind w:firstLine="480"/>
        <w:rPr>
          <w:rFonts w:hint="eastAsia" w:hAnsi="宋体" w:cs="宋体"/>
          <w:color w:val="000000"/>
          <w:sz w:val="24"/>
          <w:szCs w:val="21"/>
        </w:rPr>
      </w:pPr>
      <w:r>
        <w:rPr>
          <w:rFonts w:hint="eastAsia" w:hAnsi="宋体" w:cs="宋体"/>
          <w:color w:val="000000"/>
          <w:sz w:val="24"/>
          <w:szCs w:val="21"/>
          <w:highlight w:val="none"/>
        </w:rPr>
        <w:t>2021年</w:t>
      </w:r>
      <w:r>
        <w:rPr>
          <w:rFonts w:hAnsi="宋体" w:cs="宋体"/>
          <w:color w:val="000000"/>
          <w:sz w:val="24"/>
          <w:szCs w:val="21"/>
          <w:highlight w:val="none"/>
        </w:rPr>
        <w:t>12</w:t>
      </w:r>
      <w:r>
        <w:rPr>
          <w:rFonts w:hint="eastAsia" w:hAnsi="宋体" w:cs="宋体"/>
          <w:color w:val="000000"/>
          <w:sz w:val="24"/>
          <w:szCs w:val="21"/>
          <w:highlight w:val="none"/>
        </w:rPr>
        <w:t>月</w:t>
      </w:r>
      <w:r>
        <w:rPr>
          <w:rFonts w:hAnsi="宋体" w:cs="宋体"/>
          <w:color w:val="000000"/>
          <w:sz w:val="24"/>
          <w:szCs w:val="21"/>
          <w:highlight w:val="none"/>
        </w:rPr>
        <w:t>22</w:t>
      </w:r>
      <w:r>
        <w:rPr>
          <w:rFonts w:hint="eastAsia" w:hAnsi="宋体" w:cs="宋体"/>
          <w:color w:val="000000"/>
          <w:sz w:val="24"/>
          <w:szCs w:val="21"/>
          <w:highlight w:val="none"/>
        </w:rPr>
        <w:t>日至</w:t>
      </w:r>
      <w:r>
        <w:rPr>
          <w:rFonts w:hAnsi="宋体" w:cs="宋体"/>
          <w:color w:val="000000"/>
          <w:sz w:val="24"/>
          <w:szCs w:val="21"/>
          <w:highlight w:val="none"/>
        </w:rPr>
        <w:t>28</w:t>
      </w:r>
      <w:r>
        <w:rPr>
          <w:rFonts w:hint="eastAsia" w:hAnsi="宋体" w:cs="宋体"/>
          <w:color w:val="000000"/>
          <w:sz w:val="24"/>
          <w:szCs w:val="21"/>
          <w:highlight w:val="none"/>
        </w:rPr>
        <w:t>日，陆河县人民政府对实物指标进行了一榜公示</w:t>
      </w:r>
      <w:r>
        <w:rPr>
          <w:rFonts w:hint="eastAsia" w:hAnsi="宋体" w:cs="宋体"/>
          <w:color w:val="000000"/>
          <w:sz w:val="24"/>
          <w:szCs w:val="21"/>
        </w:rPr>
        <w:t>，</w:t>
      </w:r>
      <w:r>
        <w:rPr>
          <w:rFonts w:hint="eastAsia" w:hAnsi="宋体" w:cs="宋体"/>
          <w:color w:val="000000"/>
          <w:sz w:val="24"/>
          <w:szCs w:val="21"/>
          <w:highlight w:val="none"/>
        </w:rPr>
        <w:t>并于</w:t>
      </w:r>
      <w:r>
        <w:rPr>
          <w:rFonts w:hint="eastAsia" w:hAnsi="宋体" w:cs="宋体"/>
          <w:color w:val="000000"/>
          <w:sz w:val="24"/>
          <w:szCs w:val="21"/>
          <w:highlight w:val="yellow"/>
        </w:rPr>
        <w:t>XX年XX月XX日，以《陆河县人民政府关于陆河抽水蓄能电站建设征地实物指标调查成果的确认函》(XXX号)对实物指标调查成果进行了确认。</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color w:val="000000"/>
          <w:kern w:val="2"/>
          <w:sz w:val="24"/>
          <w:szCs w:val="24"/>
          <w:shd w:val="clear" w:color="auto" w:fill="FFFFFF"/>
          <w:lang w:val="en-US" w:eastAsia="zh-CN" w:bidi="ar-SA"/>
        </w:rPr>
      </w:pPr>
    </w:p>
    <w:p>
      <w:pPr>
        <w:widowControl w:val="0"/>
        <w:adjustRightInd w:val="0"/>
        <w:snapToGrid w:val="0"/>
        <w:spacing w:before="300" w:after="120" w:line="480" w:lineRule="exact"/>
        <w:jc w:val="left"/>
        <w:outlineLvl w:val="0"/>
        <w:rPr>
          <w:rFonts w:ascii="Times New Roman" w:hAnsi="Times New Roman" w:eastAsia="黑体" w:cs="Times New Roman"/>
          <w:bCs/>
          <w:color w:val="000000"/>
          <w:kern w:val="44"/>
          <w:sz w:val="32"/>
          <w:szCs w:val="32"/>
          <w:lang w:val="en-US" w:eastAsia="zh-CN" w:bidi="ar-SA"/>
        </w:rPr>
      </w:pPr>
      <w:r>
        <w:rPr>
          <w:rFonts w:ascii="Times New Roman" w:hAnsi="Times New Roman" w:eastAsia="黑体" w:cs="Times New Roman"/>
          <w:bCs/>
          <w:color w:val="000000"/>
          <w:kern w:val="44"/>
          <w:sz w:val="32"/>
          <w:szCs w:val="32"/>
          <w:lang w:val="en-US" w:eastAsia="zh-CN" w:bidi="ar-SA"/>
        </w:rPr>
        <w:br w:type="page"/>
      </w:r>
      <w:bookmarkStart w:id="613" w:name="_Toc90945254"/>
      <w:bookmarkStart w:id="614" w:name="_Toc86257963"/>
      <w:r>
        <w:rPr>
          <w:rFonts w:ascii="Times New Roman" w:hAnsi="Times New Roman" w:eastAsia="黑体" w:cs="Times New Roman"/>
          <w:bCs/>
          <w:color w:val="000000"/>
          <w:kern w:val="44"/>
          <w:sz w:val="32"/>
          <w:szCs w:val="32"/>
          <w:lang w:val="en-US" w:eastAsia="zh-CN" w:bidi="ar-SA"/>
        </w:rPr>
        <w:t>7  经济社会调查</w:t>
      </w:r>
      <w:bookmarkEnd w:id="613"/>
      <w:bookmarkEnd w:id="614"/>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在工程建设征地区各部门、单位的配合下，设计单位向工程建设征地区涉及乡</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镇</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、村组及相关部门收集了社会经济资源统计年报、区域及行业发展规划纲要等资料，对工程建设征地区自然资源、社会经济发展概况、居民生产生活、征地移民相关政策等进行了调查了解。</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15" w:name="_Toc90945255"/>
      <w:bookmarkStart w:id="616" w:name="_Toc86257964"/>
      <w:r>
        <w:rPr>
          <w:rFonts w:ascii="Times New Roman" w:hAnsi="Times New Roman" w:eastAsia="黑体" w:cs="Times New Roman"/>
          <w:bCs/>
          <w:snapToGrid w:val="0"/>
          <w:color w:val="000000"/>
          <w:kern w:val="0"/>
          <w:sz w:val="28"/>
          <w:szCs w:val="28"/>
          <w:lang w:val="en-US" w:eastAsia="zh-CN" w:bidi="ar-SA"/>
        </w:rPr>
        <w:t xml:space="preserve">7.1  </w:t>
      </w:r>
      <w:r>
        <w:rPr>
          <w:rFonts w:ascii="Times New Roman" w:hAnsi="宋体" w:eastAsia="黑体" w:cs="Times New Roman"/>
          <w:bCs/>
          <w:snapToGrid w:val="0"/>
          <w:color w:val="000000"/>
          <w:kern w:val="0"/>
          <w:sz w:val="28"/>
          <w:szCs w:val="28"/>
          <w:lang w:val="en-US" w:eastAsia="zh-CN" w:bidi="ar-SA"/>
        </w:rPr>
        <w:t>收集资料</w:t>
      </w:r>
      <w:bookmarkEnd w:id="615"/>
      <w:bookmarkEnd w:id="616"/>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收集的资料包括：</w:t>
      </w:r>
    </w:p>
    <w:p>
      <w:pPr>
        <w:widowControl w:val="0"/>
        <w:numPr>
          <w:ilvl w:val="0"/>
          <w:numId w:val="25"/>
        </w:numPr>
        <w:overflowPunct w:val="0"/>
        <w:autoSpaceDE w:val="0"/>
        <w:autoSpaceDN w:val="0"/>
        <w:adjustRightInd w:val="0"/>
        <w:snapToGrid w:val="0"/>
        <w:spacing w:line="480" w:lineRule="exact"/>
        <w:ind w:left="0"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2018-2020</w:t>
      </w:r>
      <w:r>
        <w:rPr>
          <w:rFonts w:ascii="Times New Roman" w:hAnsi="宋体" w:eastAsia="宋体" w:cs="Times New Roman"/>
          <w:color w:val="000000"/>
          <w:kern w:val="2"/>
          <w:sz w:val="24"/>
          <w:szCs w:val="24"/>
          <w:shd w:val="clear" w:color="auto" w:fill="FFFFFF"/>
          <w:lang w:val="en-US" w:eastAsia="zh-CN" w:bidi="ar-SA"/>
        </w:rPr>
        <w:t>年</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县国民经济和社会发展统计公报；</w:t>
      </w:r>
    </w:p>
    <w:p>
      <w:pPr>
        <w:widowControl w:val="0"/>
        <w:numPr>
          <w:ilvl w:val="0"/>
          <w:numId w:val="25"/>
        </w:numPr>
        <w:overflowPunct w:val="0"/>
        <w:autoSpaceDE w:val="0"/>
        <w:autoSpaceDN w:val="0"/>
        <w:adjustRightInd w:val="0"/>
        <w:snapToGrid w:val="0"/>
        <w:spacing w:line="480" w:lineRule="exact"/>
        <w:ind w:left="0"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2016-2020</w:t>
      </w:r>
      <w:r>
        <w:rPr>
          <w:rFonts w:ascii="Times New Roman" w:hAnsi="宋体" w:eastAsia="宋体" w:cs="Times New Roman"/>
          <w:color w:val="000000"/>
          <w:kern w:val="2"/>
          <w:sz w:val="24"/>
          <w:szCs w:val="24"/>
          <w:shd w:val="clear" w:color="auto" w:fill="FFFFFF"/>
          <w:lang w:val="en-US" w:eastAsia="zh-CN" w:bidi="ar-SA"/>
        </w:rPr>
        <w:t>年</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县统计年鉴；</w:t>
      </w:r>
    </w:p>
    <w:p>
      <w:pPr>
        <w:widowControl w:val="0"/>
        <w:numPr>
          <w:ilvl w:val="0"/>
          <w:numId w:val="25"/>
        </w:numPr>
        <w:overflowPunct w:val="0"/>
        <w:autoSpaceDE w:val="0"/>
        <w:autoSpaceDN w:val="0"/>
        <w:adjustRightInd w:val="0"/>
        <w:snapToGrid w:val="0"/>
        <w:spacing w:line="480" w:lineRule="exact"/>
        <w:ind w:left="0"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2018-2020</w:t>
      </w:r>
      <w:r>
        <w:rPr>
          <w:rFonts w:ascii="Times New Roman" w:hAnsi="宋体" w:eastAsia="宋体" w:cs="Times New Roman"/>
          <w:color w:val="000000"/>
          <w:kern w:val="2"/>
          <w:sz w:val="24"/>
          <w:szCs w:val="24"/>
          <w:shd w:val="clear" w:color="auto" w:fill="FFFFFF"/>
          <w:lang w:val="en-US" w:eastAsia="zh-CN" w:bidi="ar-SA"/>
        </w:rPr>
        <w:t>年工程建设征地区涉及乡、村的经济基本情况统计表；</w:t>
      </w:r>
    </w:p>
    <w:p>
      <w:pPr>
        <w:widowControl w:val="0"/>
        <w:numPr>
          <w:ilvl w:val="0"/>
          <w:numId w:val="25"/>
        </w:numPr>
        <w:overflowPunct w:val="0"/>
        <w:autoSpaceDE w:val="0"/>
        <w:autoSpaceDN w:val="0"/>
        <w:adjustRightInd w:val="0"/>
        <w:snapToGrid w:val="0"/>
        <w:spacing w:line="480" w:lineRule="exact"/>
        <w:ind w:left="0"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2019-2021</w:t>
      </w:r>
      <w:r>
        <w:rPr>
          <w:rFonts w:ascii="Times New Roman" w:hAnsi="宋体" w:eastAsia="宋体" w:cs="Times New Roman"/>
          <w:color w:val="000000"/>
          <w:kern w:val="2"/>
          <w:sz w:val="24"/>
          <w:szCs w:val="24"/>
          <w:shd w:val="clear" w:color="auto" w:fill="FFFFFF"/>
          <w:lang w:val="en-US" w:eastAsia="zh-CN" w:bidi="ar-SA"/>
        </w:rPr>
        <w:t>年</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县政府工作报告；</w:t>
      </w:r>
    </w:p>
    <w:p>
      <w:pPr>
        <w:widowControl w:val="0"/>
        <w:numPr>
          <w:ilvl w:val="0"/>
          <w:numId w:val="25"/>
        </w:numPr>
        <w:overflowPunct w:val="0"/>
        <w:autoSpaceDE w:val="0"/>
        <w:autoSpaceDN w:val="0"/>
        <w:adjustRightInd w:val="0"/>
        <w:snapToGrid w:val="0"/>
        <w:spacing w:line="480" w:lineRule="exact"/>
        <w:ind w:left="0"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Times New Roman" w:eastAsia="宋体" w:cs="Times New Roman"/>
          <w:color w:val="000000"/>
          <w:kern w:val="2"/>
          <w:sz w:val="24"/>
          <w:szCs w:val="24"/>
          <w:shd w:val="clear" w:color="auto" w:fill="FFFFFF"/>
          <w:lang w:val="en-US" w:eastAsia="zh-CN" w:bidi="ar-SA"/>
        </w:rPr>
        <w:t>2018-2020</w:t>
      </w:r>
      <w:r>
        <w:rPr>
          <w:rFonts w:ascii="Times New Roman" w:hAnsi="宋体" w:eastAsia="宋体" w:cs="Times New Roman"/>
          <w:color w:val="000000"/>
          <w:kern w:val="2"/>
          <w:sz w:val="24"/>
          <w:szCs w:val="24"/>
          <w:shd w:val="clear" w:color="auto" w:fill="FFFFFF"/>
          <w:lang w:val="en-US" w:eastAsia="zh-CN" w:bidi="ar-SA"/>
        </w:rPr>
        <w:t>年</w:t>
      </w:r>
      <w:r>
        <w:rPr>
          <w:rFonts w:hint="eastAsia" w:ascii="Times New Roman" w:hAnsi="宋体" w:eastAsia="宋体" w:cs="Times New Roman"/>
          <w:color w:val="000000"/>
          <w:kern w:val="2"/>
          <w:sz w:val="24"/>
          <w:szCs w:val="24"/>
          <w:shd w:val="clear" w:color="auto" w:fill="FFFFFF"/>
          <w:lang w:val="en-US" w:eastAsia="zh-CN" w:bidi="ar-SA"/>
        </w:rPr>
        <w:t>新田</w:t>
      </w:r>
      <w:r>
        <w:rPr>
          <w:rFonts w:ascii="Times New Roman" w:hAnsi="宋体" w:eastAsia="宋体" w:cs="Times New Roman"/>
          <w:color w:val="000000"/>
          <w:kern w:val="2"/>
          <w:sz w:val="24"/>
          <w:szCs w:val="24"/>
          <w:shd w:val="clear" w:color="auto" w:fill="FFFFFF"/>
          <w:lang w:val="en-US" w:eastAsia="zh-CN" w:bidi="ar-SA"/>
        </w:rPr>
        <w:t>镇分村农村社会经济统计年报；</w:t>
      </w:r>
    </w:p>
    <w:p>
      <w:pPr>
        <w:widowControl w:val="0"/>
        <w:numPr>
          <w:ilvl w:val="0"/>
          <w:numId w:val="25"/>
        </w:numPr>
        <w:overflowPunct w:val="0"/>
        <w:autoSpaceDE w:val="0"/>
        <w:autoSpaceDN w:val="0"/>
        <w:adjustRightInd w:val="0"/>
        <w:snapToGrid w:val="0"/>
        <w:spacing w:line="480" w:lineRule="exact"/>
        <w:ind w:left="0"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其他相关资料。</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17" w:name="_Toc86257965"/>
      <w:bookmarkStart w:id="618" w:name="_Toc90945256"/>
      <w:r>
        <w:rPr>
          <w:rFonts w:ascii="Times New Roman" w:hAnsi="Times New Roman" w:eastAsia="黑体" w:cs="Times New Roman"/>
          <w:bCs/>
          <w:snapToGrid w:val="0"/>
          <w:color w:val="000000"/>
          <w:kern w:val="0"/>
          <w:sz w:val="28"/>
          <w:szCs w:val="28"/>
          <w:lang w:val="en-US" w:eastAsia="zh-CN" w:bidi="ar-SA"/>
        </w:rPr>
        <w:t xml:space="preserve">7.2  </w:t>
      </w:r>
      <w:r>
        <w:rPr>
          <w:rFonts w:ascii="Times New Roman" w:hAnsi="宋体" w:eastAsia="黑体" w:cs="Times New Roman"/>
          <w:bCs/>
          <w:snapToGrid w:val="0"/>
          <w:color w:val="000000"/>
          <w:kern w:val="0"/>
          <w:sz w:val="28"/>
          <w:szCs w:val="28"/>
          <w:lang w:val="en-US" w:eastAsia="zh-CN" w:bidi="ar-SA"/>
        </w:rPr>
        <w:t>社会经济概况</w:t>
      </w:r>
      <w:bookmarkEnd w:id="617"/>
      <w:bookmarkEnd w:id="618"/>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根据本阶段规划设计成果，</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抽水蓄能电站工程建设征地涉及</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w:t>
      </w:r>
      <w:bookmarkStart w:id="619" w:name="_Hlk85560837"/>
      <w:r>
        <w:rPr>
          <w:rFonts w:hint="eastAsia" w:ascii="Times New Roman" w:hAnsi="宋体" w:eastAsia="宋体" w:cs="Times New Roman"/>
          <w:color w:val="000000"/>
          <w:kern w:val="2"/>
          <w:sz w:val="24"/>
          <w:szCs w:val="24"/>
          <w:shd w:val="clear" w:color="auto" w:fill="FFFFFF"/>
          <w:lang w:val="en-US" w:eastAsia="zh-CN" w:bidi="ar-SA"/>
        </w:rPr>
        <w:t>新田</w:t>
      </w:r>
      <w:r>
        <w:rPr>
          <w:rFonts w:ascii="Times New Roman" w:hAnsi="宋体" w:eastAsia="宋体" w:cs="Times New Roman"/>
          <w:color w:val="000000"/>
          <w:kern w:val="2"/>
          <w:sz w:val="24"/>
          <w:szCs w:val="24"/>
          <w:shd w:val="clear" w:color="auto" w:fill="FFFFFF"/>
          <w:lang w:val="en-US" w:eastAsia="zh-CN" w:bidi="ar-SA"/>
        </w:rPr>
        <w:t>镇</w:t>
      </w:r>
      <w:r>
        <w:rPr>
          <w:rFonts w:hint="eastAsia" w:ascii="Times New Roman" w:hAnsi="宋体" w:eastAsia="宋体" w:cs="Times New Roman"/>
          <w:color w:val="000000"/>
          <w:kern w:val="2"/>
          <w:sz w:val="24"/>
          <w:szCs w:val="24"/>
          <w:shd w:val="clear" w:color="auto" w:fill="FFFFFF"/>
          <w:lang w:val="en-US" w:eastAsia="zh-CN" w:bidi="ar-SA"/>
        </w:rPr>
        <w:t>激石溪</w:t>
      </w:r>
      <w:r>
        <w:rPr>
          <w:rFonts w:ascii="Times New Roman" w:hAnsi="宋体" w:eastAsia="宋体" w:cs="Times New Roman"/>
          <w:color w:val="000000"/>
          <w:kern w:val="2"/>
          <w:sz w:val="24"/>
          <w:szCs w:val="24"/>
          <w:shd w:val="clear" w:color="auto" w:fill="FFFFFF"/>
          <w:lang w:val="en-US" w:eastAsia="zh-CN" w:bidi="ar-SA"/>
        </w:rPr>
        <w:t>村</w:t>
      </w:r>
      <w:r>
        <w:rPr>
          <w:rFonts w:hint="eastAsia" w:ascii="Times New Roman" w:hAnsi="宋体" w:eastAsia="宋体" w:cs="Times New Roman"/>
          <w:color w:val="000000"/>
          <w:kern w:val="2"/>
          <w:sz w:val="24"/>
          <w:szCs w:val="24"/>
          <w:shd w:val="clear" w:color="auto" w:fill="FFFFFF"/>
          <w:lang w:val="en-US" w:eastAsia="zh-CN" w:bidi="ar-SA"/>
        </w:rPr>
        <w:t>、湖坑村、汕尾吉溪国有林场</w:t>
      </w:r>
      <w:r>
        <w:rPr>
          <w:rFonts w:ascii="Times New Roman" w:hAnsi="宋体" w:eastAsia="宋体" w:cs="Times New Roman"/>
          <w:color w:val="000000"/>
          <w:kern w:val="2"/>
          <w:sz w:val="24"/>
          <w:szCs w:val="24"/>
          <w:shd w:val="clear" w:color="auto" w:fill="FFFFFF"/>
          <w:lang w:val="en-US" w:eastAsia="zh-CN" w:bidi="ar-SA"/>
        </w:rPr>
        <w:t>。</w:t>
      </w:r>
      <w:bookmarkEnd w:id="619"/>
      <w:r>
        <w:rPr>
          <w:rFonts w:ascii="Times New Roman" w:hAnsi="宋体" w:eastAsia="宋体" w:cs="Times New Roman"/>
          <w:color w:val="000000"/>
          <w:kern w:val="2"/>
          <w:sz w:val="24"/>
          <w:szCs w:val="24"/>
          <w:shd w:val="clear" w:color="auto" w:fill="FFFFFF"/>
          <w:lang w:val="en-US" w:eastAsia="zh-CN" w:bidi="ar-SA"/>
        </w:rPr>
        <w:t>采用</w:t>
      </w:r>
      <w:r>
        <w:rPr>
          <w:rFonts w:hint="eastAsia" w:ascii="Times New Roman" w:hAnsi="宋体" w:eastAsia="宋体" w:cs="Times New Roman"/>
          <w:color w:val="000000"/>
          <w:kern w:val="2"/>
          <w:sz w:val="24"/>
          <w:szCs w:val="24"/>
          <w:shd w:val="clear" w:color="auto" w:fill="FFFFFF"/>
          <w:lang w:val="en-US" w:eastAsia="zh-CN" w:bidi="ar-SA"/>
        </w:rPr>
        <w:t>村民小组</w:t>
      </w:r>
      <w:r>
        <w:rPr>
          <w:rFonts w:ascii="Times New Roman" w:hAnsi="宋体" w:eastAsia="宋体" w:cs="Times New Roman"/>
          <w:color w:val="000000"/>
          <w:kern w:val="2"/>
          <w:sz w:val="24"/>
          <w:szCs w:val="24"/>
          <w:shd w:val="clear" w:color="auto" w:fill="FFFFFF"/>
          <w:lang w:val="en-US" w:eastAsia="zh-CN" w:bidi="ar-SA"/>
        </w:rPr>
        <w:t>作为统计对象。</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FFFFFF"/>
          <w:lang w:val="en-US" w:eastAsia="zh-CN" w:bidi="ar-SA"/>
        </w:rPr>
        <w:t>依据工程建设用地类别区分，各用地区域中涉及集体经济组织详见表</w:t>
      </w:r>
      <w:r>
        <w:rPr>
          <w:rFonts w:ascii="Times New Roman" w:hAnsi="Times New Roman" w:eastAsia="宋体" w:cs="Times New Roman"/>
          <w:color w:val="000000"/>
          <w:kern w:val="2"/>
          <w:sz w:val="24"/>
          <w:szCs w:val="24"/>
          <w:shd w:val="clear" w:color="auto" w:fill="FFFFFF"/>
          <w:lang w:val="en-US" w:eastAsia="zh-CN" w:bidi="ar-SA"/>
        </w:rPr>
        <w:t>7.2-1</w:t>
      </w:r>
      <w:r>
        <w:rPr>
          <w:rFonts w:ascii="Times New Roman" w:hAnsi="宋体" w:eastAsia="宋体" w:cs="Times New Roman"/>
          <w:color w:val="000000"/>
          <w:kern w:val="2"/>
          <w:sz w:val="24"/>
          <w:szCs w:val="24"/>
          <w:shd w:val="clear" w:color="auto" w:fill="FFFFFF"/>
          <w:lang w:val="en-US" w:eastAsia="zh-CN" w:bidi="ar-SA"/>
        </w:rPr>
        <w:t>。</w:t>
      </w:r>
    </w:p>
    <w:p>
      <w:pPr>
        <w:widowControl w:val="0"/>
        <w:adjustRightInd w:val="0"/>
        <w:snapToGrid w:val="0"/>
        <w:spacing w:line="480" w:lineRule="exact"/>
        <w:jc w:val="center"/>
        <w:rPr>
          <w:rFonts w:ascii="Times New Roman" w:hAnsi="Times New Roman" w:eastAsia="黑体" w:cs="Times New Roman"/>
          <w:color w:val="000000"/>
          <w:kern w:val="2"/>
          <w:sz w:val="24"/>
          <w:szCs w:val="24"/>
          <w:lang w:val="en-US" w:eastAsia="zh-CN" w:bidi="ar-SA"/>
        </w:rPr>
      </w:pPr>
      <w:r>
        <w:rPr>
          <w:rFonts w:ascii="Times New Roman" w:hAnsi="黑体" w:eastAsia="黑体" w:cs="Times New Roman"/>
          <w:color w:val="000000"/>
          <w:kern w:val="2"/>
          <w:sz w:val="24"/>
          <w:szCs w:val="24"/>
          <w:lang w:val="en-US" w:eastAsia="zh-CN" w:bidi="ar-SA"/>
        </w:rPr>
        <w:t>表</w:t>
      </w:r>
      <w:r>
        <w:rPr>
          <w:rFonts w:ascii="Times New Roman" w:hAnsi="Times New Roman" w:eastAsia="黑体" w:cs="Times New Roman"/>
          <w:color w:val="000000"/>
          <w:kern w:val="2"/>
          <w:sz w:val="24"/>
          <w:szCs w:val="24"/>
          <w:lang w:val="en-US" w:eastAsia="zh-CN" w:bidi="ar-SA"/>
        </w:rPr>
        <w:t xml:space="preserve">7.2-1  </w:t>
      </w:r>
      <w:r>
        <w:rPr>
          <w:rFonts w:hint="eastAsia" w:ascii="Times New Roman" w:hAnsi="黑体" w:eastAsia="黑体" w:cs="Times New Roman"/>
          <w:color w:val="000000"/>
          <w:kern w:val="2"/>
          <w:sz w:val="24"/>
          <w:szCs w:val="24"/>
          <w:lang w:val="en-US" w:eastAsia="zh-CN" w:bidi="ar-SA"/>
        </w:rPr>
        <w:t>陆河</w:t>
      </w:r>
      <w:r>
        <w:rPr>
          <w:rFonts w:ascii="Times New Roman" w:hAnsi="黑体" w:eastAsia="黑体" w:cs="Times New Roman"/>
          <w:color w:val="000000"/>
          <w:kern w:val="2"/>
          <w:sz w:val="24"/>
          <w:szCs w:val="24"/>
          <w:lang w:val="en-US" w:eastAsia="zh-CN" w:bidi="ar-SA"/>
        </w:rPr>
        <w:t>抽水蓄能电站建设征地涉及集体经济组织统计表</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103"/>
        <w:gridCol w:w="1103"/>
        <w:gridCol w:w="1103"/>
        <w:gridCol w:w="1103"/>
        <w:gridCol w:w="1103"/>
        <w:gridCol w:w="1103"/>
        <w:gridCol w:w="11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3"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1103"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县</w:t>
            </w:r>
          </w:p>
        </w:tc>
        <w:tc>
          <w:tcPr>
            <w:tcW w:w="1103"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乡</w:t>
            </w:r>
          </w:p>
        </w:tc>
        <w:tc>
          <w:tcPr>
            <w:tcW w:w="1103"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村</w:t>
            </w:r>
          </w:p>
        </w:tc>
        <w:tc>
          <w:tcPr>
            <w:tcW w:w="2206" w:type="dxa"/>
            <w:gridSpan w:val="2"/>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1103" w:type="dxa"/>
            <w:tcBorders>
              <w:top w:val="single" w:color="auto" w:sz="12" w:space="0"/>
            </w:tcBorders>
            <w:noWrap w:val="0"/>
            <w:vAlign w:val="center"/>
          </w:tcPr>
          <w:p>
            <w:pPr>
              <w:widowControl/>
              <w:jc w:val="center"/>
              <w:rPr>
                <w:rFonts w:hint="eastAsia" w:cs="Times New Roman"/>
                <w:color w:val="000000"/>
                <w:kern w:val="0"/>
                <w:szCs w:val="21"/>
              </w:rPr>
            </w:pPr>
            <w:r>
              <w:rPr>
                <w:rFonts w:cs="Times New Roman"/>
                <w:color w:val="000000"/>
                <w:kern w:val="0"/>
                <w:szCs w:val="21"/>
              </w:rPr>
              <w:t>水库</w:t>
            </w:r>
          </w:p>
          <w:p>
            <w:pPr>
              <w:widowControl/>
              <w:jc w:val="center"/>
              <w:rPr>
                <w:rFonts w:cs="Times New Roman"/>
                <w:color w:val="000000"/>
                <w:kern w:val="0"/>
                <w:szCs w:val="21"/>
              </w:rPr>
            </w:pPr>
            <w:r>
              <w:rPr>
                <w:rFonts w:cs="Times New Roman"/>
                <w:color w:val="000000"/>
                <w:kern w:val="0"/>
                <w:szCs w:val="21"/>
              </w:rPr>
              <w:t>淹没区</w:t>
            </w:r>
          </w:p>
        </w:tc>
        <w:tc>
          <w:tcPr>
            <w:tcW w:w="1103" w:type="dxa"/>
            <w:vMerge w:val="restart"/>
            <w:tcBorders>
              <w:top w:val="single" w:color="auto" w:sz="12" w:space="0"/>
            </w:tcBorders>
            <w:noWrap w:val="0"/>
            <w:vAlign w:val="center"/>
          </w:tcPr>
          <w:p>
            <w:pPr>
              <w:widowControl/>
              <w:jc w:val="center"/>
              <w:rPr>
                <w:rFonts w:hint="eastAsia" w:cs="Times New Roman"/>
                <w:color w:val="000000"/>
                <w:kern w:val="0"/>
                <w:szCs w:val="21"/>
              </w:rPr>
            </w:pPr>
            <w:r>
              <w:rPr>
                <w:rFonts w:cs="Times New Roman"/>
                <w:color w:val="000000"/>
                <w:kern w:val="0"/>
                <w:szCs w:val="21"/>
              </w:rPr>
              <w:t>其他</w:t>
            </w:r>
          </w:p>
          <w:p>
            <w:pPr>
              <w:widowControl/>
              <w:jc w:val="center"/>
              <w:rPr>
                <w:rFonts w:cs="Times New Roman"/>
                <w:color w:val="000000"/>
                <w:kern w:val="0"/>
                <w:szCs w:val="21"/>
              </w:rPr>
            </w:pPr>
            <w:r>
              <w:rPr>
                <w:rFonts w:cs="Times New Roman"/>
                <w:color w:val="000000"/>
                <w:kern w:val="0"/>
                <w:szCs w:val="21"/>
              </w:rPr>
              <w:t>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3" w:type="dxa"/>
            <w:vMerge w:val="continue"/>
            <w:noWrap w:val="0"/>
            <w:vAlign w:val="center"/>
          </w:tcPr>
          <w:p>
            <w:pPr>
              <w:widowControl/>
              <w:jc w:val="center"/>
              <w:rPr>
                <w:rFonts w:cs="Times New Roman"/>
                <w:color w:val="000000"/>
                <w:kern w:val="0"/>
                <w:szCs w:val="21"/>
              </w:rPr>
            </w:pPr>
          </w:p>
        </w:tc>
        <w:tc>
          <w:tcPr>
            <w:tcW w:w="1103" w:type="dxa"/>
            <w:vMerge w:val="continue"/>
            <w:noWrap w:val="0"/>
            <w:vAlign w:val="center"/>
          </w:tcPr>
          <w:p>
            <w:pPr>
              <w:widowControl/>
              <w:jc w:val="center"/>
              <w:rPr>
                <w:rFonts w:cs="Times New Roman"/>
                <w:color w:val="000000"/>
                <w:kern w:val="0"/>
                <w:szCs w:val="21"/>
              </w:rPr>
            </w:pPr>
          </w:p>
        </w:tc>
        <w:tc>
          <w:tcPr>
            <w:tcW w:w="1103" w:type="dxa"/>
            <w:vMerge w:val="continue"/>
            <w:noWrap w:val="0"/>
            <w:vAlign w:val="center"/>
          </w:tcPr>
          <w:p>
            <w:pPr>
              <w:widowControl/>
              <w:jc w:val="center"/>
              <w:rPr>
                <w:rFonts w:cs="Times New Roman"/>
                <w:color w:val="000000"/>
                <w:kern w:val="0"/>
                <w:szCs w:val="21"/>
              </w:rPr>
            </w:pPr>
          </w:p>
        </w:tc>
        <w:tc>
          <w:tcPr>
            <w:tcW w:w="1103" w:type="dxa"/>
            <w:vMerge w:val="continue"/>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临时用地</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永久占地</w:t>
            </w:r>
          </w:p>
        </w:tc>
        <w:tc>
          <w:tcPr>
            <w:tcW w:w="1103" w:type="dxa"/>
            <w:noWrap w:val="0"/>
            <w:vAlign w:val="center"/>
          </w:tcPr>
          <w:p>
            <w:pPr>
              <w:widowControl/>
              <w:jc w:val="center"/>
              <w:rPr>
                <w:rFonts w:cs="Times New Roman"/>
                <w:color w:val="000000"/>
                <w:kern w:val="0"/>
                <w:szCs w:val="21"/>
              </w:rPr>
            </w:pPr>
          </w:p>
        </w:tc>
        <w:tc>
          <w:tcPr>
            <w:tcW w:w="1103" w:type="dxa"/>
            <w:vMerge w:val="continue"/>
            <w:noWrap w:val="0"/>
            <w:vAlign w:val="center"/>
          </w:tcPr>
          <w:p>
            <w:pPr>
              <w:widowControl/>
              <w:jc w:val="center"/>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3"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陆河县</w:t>
            </w: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3" w:type="dxa"/>
            <w:noWrap w:val="0"/>
            <w:vAlign w:val="center"/>
          </w:tcPr>
          <w:p>
            <w:pPr>
              <w:widowControl/>
              <w:jc w:val="center"/>
              <w:rPr>
                <w:rFonts w:cs="Times New Roman"/>
                <w:color w:val="000000"/>
                <w:kern w:val="0"/>
                <w:szCs w:val="21"/>
              </w:rPr>
            </w:pPr>
            <w:r>
              <w:rPr>
                <w:rFonts w:cs="Times New Roman"/>
                <w:color w:val="000000"/>
                <w:kern w:val="0"/>
                <w:szCs w:val="21"/>
              </w:rPr>
              <w:t>1.1</w:t>
            </w: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新田镇</w:t>
            </w: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3" w:type="dxa"/>
            <w:noWrap w:val="0"/>
            <w:vAlign w:val="center"/>
          </w:tcPr>
          <w:p>
            <w:pPr>
              <w:widowControl/>
              <w:jc w:val="center"/>
              <w:rPr>
                <w:rFonts w:cs="Times New Roman"/>
                <w:color w:val="000000"/>
                <w:kern w:val="0"/>
                <w:szCs w:val="21"/>
              </w:rPr>
            </w:pPr>
            <w:r>
              <w:rPr>
                <w:rFonts w:cs="Times New Roman"/>
                <w:color w:val="000000"/>
                <w:kern w:val="0"/>
                <w:szCs w:val="21"/>
              </w:rPr>
              <w:t>1.1.1</w:t>
            </w: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湖坑村</w:t>
            </w: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3" w:type="dxa"/>
            <w:noWrap w:val="0"/>
            <w:vAlign w:val="center"/>
          </w:tcPr>
          <w:p>
            <w:pPr>
              <w:widowControl/>
              <w:jc w:val="center"/>
              <w:rPr>
                <w:rFonts w:cs="Times New Roman"/>
                <w:color w:val="000000"/>
                <w:kern w:val="0"/>
                <w:szCs w:val="21"/>
              </w:rPr>
            </w:pPr>
            <w:r>
              <w:rPr>
                <w:rFonts w:cs="Times New Roman"/>
                <w:color w:val="000000"/>
                <w:kern w:val="0"/>
                <w:szCs w:val="21"/>
              </w:rPr>
              <w:t>1.1.2</w:t>
            </w: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激石溪村</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noWrap w:val="0"/>
            <w:vAlign w:val="center"/>
          </w:tcPr>
          <w:p>
            <w:pPr>
              <w:widowControl/>
              <w:jc w:val="center"/>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3"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1.1.3</w:t>
            </w:r>
          </w:p>
        </w:tc>
        <w:tc>
          <w:tcPr>
            <w:tcW w:w="1103"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汕尾吉溪国有林场</w:t>
            </w:r>
          </w:p>
        </w:tc>
        <w:tc>
          <w:tcPr>
            <w:tcW w:w="1103" w:type="dxa"/>
            <w:tcBorders>
              <w:bottom w:val="single" w:color="auto" w:sz="12" w:space="0"/>
            </w:tcBorders>
            <w:noWrap w:val="0"/>
            <w:vAlign w:val="center"/>
          </w:tcPr>
          <w:p>
            <w:pPr>
              <w:widowControl/>
              <w:jc w:val="center"/>
              <w:rPr>
                <w:rFonts w:cs="Times New Roman"/>
                <w:color w:val="000000"/>
                <w:kern w:val="0"/>
                <w:szCs w:val="21"/>
              </w:rPr>
            </w:pPr>
          </w:p>
        </w:tc>
        <w:tc>
          <w:tcPr>
            <w:tcW w:w="1103" w:type="dxa"/>
            <w:tcBorders>
              <w:bottom w:val="single" w:color="auto" w:sz="12" w:space="0"/>
            </w:tcBorders>
            <w:noWrap w:val="0"/>
            <w:vAlign w:val="center"/>
          </w:tcPr>
          <w:p>
            <w:pPr>
              <w:widowControl/>
              <w:jc w:val="center"/>
              <w:rPr>
                <w:rFonts w:cs="Times New Roman"/>
                <w:color w:val="000000"/>
                <w:kern w:val="0"/>
                <w:szCs w:val="21"/>
              </w:rPr>
            </w:pPr>
          </w:p>
        </w:tc>
        <w:tc>
          <w:tcPr>
            <w:tcW w:w="1103"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w:t>
            </w:r>
          </w:p>
        </w:tc>
        <w:tc>
          <w:tcPr>
            <w:tcW w:w="1103" w:type="dxa"/>
            <w:tcBorders>
              <w:bottom w:val="single" w:color="auto" w:sz="12" w:space="0"/>
            </w:tcBorders>
            <w:noWrap w:val="0"/>
            <w:vAlign w:val="center"/>
          </w:tcPr>
          <w:p>
            <w:pPr>
              <w:widowControl/>
              <w:jc w:val="center"/>
              <w:rPr>
                <w:rFonts w:cs="Times New Roman"/>
                <w:color w:val="000000"/>
                <w:kern w:val="0"/>
                <w:szCs w:val="21"/>
              </w:rPr>
            </w:pPr>
          </w:p>
        </w:tc>
      </w:tr>
    </w:tbl>
    <w:p>
      <w:pPr>
        <w:rPr>
          <w:rFonts w:hint="eastAsia" w:cs="Times New Roman"/>
          <w:color w:val="000000"/>
          <w:szCs w:val="22"/>
        </w:rPr>
      </w:pPr>
    </w:p>
    <w:p>
      <w:pPr>
        <w:rPr>
          <w:rFonts w:hint="eastAsia" w:cs="Times New Roman"/>
          <w:color w:val="000000"/>
          <w:szCs w:val="22"/>
        </w:rPr>
      </w:pP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7.2.1  </w:t>
      </w:r>
      <w:r>
        <w:rPr>
          <w:rFonts w:hint="eastAsia" w:ascii="Times New Roman" w:hAnsi="宋体" w:eastAsia="黑体" w:cs="Times New Roman"/>
          <w:bCs/>
          <w:snapToGrid w:val="0"/>
          <w:color w:val="000000"/>
          <w:kern w:val="0"/>
          <w:sz w:val="24"/>
          <w:szCs w:val="24"/>
          <w:lang w:val="en-US" w:eastAsia="zh-CN" w:bidi="ar-SA"/>
        </w:rPr>
        <w:t>陆河</w:t>
      </w:r>
      <w:r>
        <w:rPr>
          <w:rFonts w:ascii="Times New Roman" w:hAnsi="宋体" w:eastAsia="黑体" w:cs="Times New Roman"/>
          <w:bCs/>
          <w:snapToGrid w:val="0"/>
          <w:color w:val="000000"/>
          <w:kern w:val="0"/>
          <w:sz w:val="24"/>
          <w:szCs w:val="24"/>
          <w:lang w:val="en-US" w:eastAsia="zh-CN" w:bidi="ar-SA"/>
        </w:rPr>
        <w:t>县</w:t>
      </w:r>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2020年，陆河县实现地区生产总值(初步核算数)890870万元，比上年增长2.9%。其中，第一产业完成增加值158330万元，增长4.4%，对地区生产总值增长的贡献率为21.6%；第二产业完成增加值234790万元，下降0.2%，对地区生产总值增长的贡献率为-2.5%；第三产业完成增加值497751万元，增长4.7%，对地区生产总值增长的贡献率为80.9%。三次产业结构为17.8:26.3:55.9。居民消费价格总指数上涨2.4%。新增就业3678人，年末城镇登记失业人员1690人，城镇登记失业率为2.38%；农村劳动力转移就业率67.2%。</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00"/>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2020年，陆河县居民人均可支配收入19264元，比上年增长7.7%。按常住地分，城镇居民人均可支配收入24155元，增长7.0%；农村居民人均可支配收入13848元，增长9.2%。居民人均消费支出15079元，比上年同期增长5.9%。按常住地分，城镇居民人均消费支出17795元，增长5.2%；农村居民人均消费支出12071元，增长7.1%。全县居民恩格尔系数为38.1%，比上年上涨2.1个百分点，其中城镇为38.8%，农村为36.8%。</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7.2.2  </w:t>
      </w:r>
      <w:r>
        <w:rPr>
          <w:rFonts w:hint="eastAsia" w:ascii="Times New Roman" w:hAnsi="宋体" w:eastAsia="黑体" w:cs="Times New Roman"/>
          <w:bCs/>
          <w:snapToGrid w:val="0"/>
          <w:color w:val="000000"/>
          <w:kern w:val="0"/>
          <w:sz w:val="24"/>
          <w:szCs w:val="24"/>
          <w:lang w:val="en-US" w:eastAsia="zh-CN" w:bidi="ar-SA"/>
        </w:rPr>
        <w:t>新田</w:t>
      </w:r>
      <w:r>
        <w:rPr>
          <w:rFonts w:ascii="Times New Roman" w:hAnsi="宋体" w:eastAsia="黑体" w:cs="Times New Roman"/>
          <w:bCs/>
          <w:snapToGrid w:val="0"/>
          <w:color w:val="000000"/>
          <w:kern w:val="0"/>
          <w:sz w:val="24"/>
          <w:szCs w:val="24"/>
          <w:lang w:val="en-US" w:eastAsia="zh-CN" w:bidi="ar-SA"/>
        </w:rPr>
        <w:t>镇</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新田镇，位于陆河县西南部，与海丰、陆丰、惠东、紫金毗邻。区域总面积174.52平方千米。截至2020年6月，新田镇共辖1个社区、13个行政村，根据第七次人口普查数据，截至2020年11月1日零时，新田镇常住人口为26442人。</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color w:val="000000"/>
          <w:kern w:val="2"/>
          <w:sz w:val="24"/>
          <w:szCs w:val="24"/>
          <w:shd w:val="clear" w:color="auto" w:fill="FFFFFF"/>
          <w:lang w:val="en-US" w:eastAsia="zh-CN" w:bidi="ar-SA"/>
        </w:rPr>
        <w:t>2015年，新田镇实现国民生产总值4.8亿元，同比增长7％。其中农业产值2.2亿元，工业产值2.0亿元，第三产业产值0.6亿元。2018年末，新田镇有工业企业个数共30家，其中规模以上工业企业个数1家。2019年末，新田镇有工业企业个数共24家，其中规模以上工业企业个数1家。2019年末，新田镇辖区营业面积50平方米以上的综合商店或超市有9家。</w:t>
      </w:r>
    </w:p>
    <w:p>
      <w:pPr>
        <w:widowControl w:val="0"/>
        <w:adjustRightInd w:val="0"/>
        <w:snapToGrid w:val="0"/>
        <w:spacing w:before="300" w:after="120" w:line="480" w:lineRule="exact"/>
        <w:jc w:val="left"/>
        <w:outlineLvl w:val="0"/>
        <w:rPr>
          <w:rFonts w:ascii="Times New Roman" w:hAnsi="Times New Roman" w:eastAsia="黑体" w:cs="Times New Roman"/>
          <w:b/>
          <w:bCs/>
          <w:color w:val="000000"/>
          <w:kern w:val="44"/>
          <w:sz w:val="32"/>
          <w:szCs w:val="32"/>
          <w:lang w:val="en-US" w:eastAsia="zh-CN" w:bidi="ar-SA"/>
        </w:rPr>
      </w:pPr>
      <w:r>
        <w:rPr>
          <w:rFonts w:ascii="Times New Roman" w:hAnsi="Times New Roman" w:eastAsia="黑体" w:cs="Times New Roman"/>
          <w:bCs/>
          <w:color w:val="000000"/>
          <w:kern w:val="44"/>
          <w:sz w:val="32"/>
          <w:szCs w:val="32"/>
          <w:shd w:val="clear" w:color="auto" w:fill="FFFF00"/>
          <w:lang w:val="en-US" w:eastAsia="zh-CN" w:bidi="ar-SA"/>
        </w:rPr>
        <w:br w:type="page"/>
      </w:r>
      <w:bookmarkStart w:id="620" w:name="_Toc90945257"/>
      <w:bookmarkStart w:id="621" w:name="_Toc86257966"/>
      <w:r>
        <w:rPr>
          <w:rFonts w:ascii="Times New Roman" w:hAnsi="Times New Roman" w:eastAsia="黑体" w:cs="Times New Roman"/>
          <w:bCs/>
          <w:color w:val="000000"/>
          <w:kern w:val="44"/>
          <w:sz w:val="32"/>
          <w:szCs w:val="32"/>
          <w:lang w:val="en-US" w:eastAsia="zh-CN" w:bidi="ar-SA"/>
        </w:rPr>
        <w:t>8  实物指标调查成果</w:t>
      </w:r>
      <w:bookmarkEnd w:id="620"/>
      <w:bookmarkEnd w:id="621"/>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hint="eastAsia" w:ascii="Times New Roman" w:hAnsi="宋体" w:eastAsia="宋体" w:cs="Times New Roman"/>
          <w:color w:val="000000"/>
          <w:kern w:val="2"/>
          <w:sz w:val="24"/>
          <w:szCs w:val="24"/>
          <w:shd w:val="clear" w:color="auto" w:fill="auto"/>
          <w:lang w:val="en-US" w:eastAsia="zh-CN" w:bidi="ar-SA"/>
        </w:rPr>
        <w:t>陆河</w:t>
      </w:r>
      <w:r>
        <w:rPr>
          <w:rFonts w:ascii="Times New Roman" w:hAnsi="宋体" w:eastAsia="宋体" w:cs="Times New Roman"/>
          <w:color w:val="000000"/>
          <w:kern w:val="2"/>
          <w:sz w:val="24"/>
          <w:szCs w:val="24"/>
          <w:shd w:val="clear" w:color="auto" w:fill="auto"/>
          <w:lang w:val="en-US" w:eastAsia="zh-CN" w:bidi="ar-SA"/>
        </w:rPr>
        <w:t>抽水蓄能电站建设征地涉及实物指标包括</w:t>
      </w:r>
      <w:r>
        <w:rPr>
          <w:rFonts w:ascii="Times New Roman" w:hAnsi="宋体" w:eastAsia="宋体" w:cs="Times New Roman"/>
          <w:color w:val="000000"/>
          <w:kern w:val="2"/>
          <w:sz w:val="24"/>
          <w:szCs w:val="24"/>
          <w:shd w:val="clear" w:color="auto" w:fill="FFFFFF"/>
          <w:lang w:val="en-US" w:eastAsia="zh-CN" w:bidi="ar-SA"/>
        </w:rPr>
        <w:t>土地、房屋</w:t>
      </w:r>
      <w:r>
        <w:rPr>
          <w:rFonts w:hint="eastAsia" w:ascii="Times New Roman" w:hAnsi="宋体"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附属建筑物、</w:t>
      </w:r>
      <w:r>
        <w:rPr>
          <w:rFonts w:hint="eastAsia" w:ascii="Times New Roman" w:hAnsi="宋体" w:eastAsia="宋体" w:cs="Times New Roman"/>
          <w:color w:val="000000"/>
          <w:kern w:val="2"/>
          <w:sz w:val="24"/>
          <w:szCs w:val="24"/>
          <w:shd w:val="clear" w:color="auto" w:fill="FFFFFF"/>
          <w:lang w:val="en-US" w:eastAsia="zh-CN" w:bidi="ar-SA"/>
        </w:rPr>
        <w:t>零星树木、坟墓、个体工商户、</w:t>
      </w:r>
      <w:r>
        <w:rPr>
          <w:rFonts w:ascii="Times New Roman" w:hAnsi="宋体" w:eastAsia="宋体" w:cs="Times New Roman"/>
          <w:color w:val="000000"/>
          <w:kern w:val="2"/>
          <w:sz w:val="24"/>
          <w:szCs w:val="24"/>
          <w:shd w:val="clear" w:color="auto" w:fill="FFFFFF"/>
          <w:lang w:val="en-US" w:eastAsia="zh-CN" w:bidi="ar-SA"/>
        </w:rPr>
        <w:t>专业项目等</w:t>
      </w:r>
      <w:r>
        <w:rPr>
          <w:rFonts w:ascii="Times New Roman" w:hAnsi="Times New Roman" w:eastAsia="宋体" w:cs="Times New Roman"/>
          <w:color w:val="000000"/>
          <w:kern w:val="2"/>
          <w:sz w:val="24"/>
          <w:szCs w:val="24"/>
          <w:shd w:val="clear" w:color="auto" w:fill="FFFFFF"/>
          <w:lang w:val="en-US" w:eastAsia="zh-CN" w:bidi="ar-SA"/>
        </w:rPr>
        <w:t>8</w:t>
      </w:r>
      <w:r>
        <w:rPr>
          <w:rFonts w:ascii="Times New Roman" w:hAnsi="宋体" w:eastAsia="宋体" w:cs="Times New Roman"/>
          <w:color w:val="000000"/>
          <w:kern w:val="2"/>
          <w:sz w:val="24"/>
          <w:szCs w:val="24"/>
          <w:shd w:val="clear" w:color="auto" w:fill="FFFFFF"/>
          <w:lang w:val="en-US" w:eastAsia="zh-CN" w:bidi="ar-SA"/>
        </w:rPr>
        <w:t>类。</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根据本阶段实物指标调查成果，</w:t>
      </w:r>
      <w:r>
        <w:rPr>
          <w:rFonts w:hint="eastAsia" w:ascii="Times New Roman" w:hAnsi="宋体" w:eastAsia="宋体" w:cs="Times New Roman"/>
          <w:color w:val="000000"/>
          <w:kern w:val="2"/>
          <w:sz w:val="24"/>
          <w:szCs w:val="24"/>
          <w:shd w:val="clear" w:color="auto" w:fill="auto"/>
          <w:lang w:val="en-US" w:eastAsia="zh-CN" w:bidi="ar-SA"/>
        </w:rPr>
        <w:t>陆河</w:t>
      </w:r>
      <w:r>
        <w:rPr>
          <w:rFonts w:ascii="Times New Roman" w:hAnsi="宋体" w:eastAsia="宋体" w:cs="Times New Roman"/>
          <w:color w:val="000000"/>
          <w:kern w:val="2"/>
          <w:sz w:val="24"/>
          <w:szCs w:val="24"/>
          <w:shd w:val="clear" w:color="auto" w:fill="auto"/>
          <w:lang w:val="en-US" w:eastAsia="zh-CN" w:bidi="ar-SA"/>
        </w:rPr>
        <w:t>抽水蓄能电站建设征地涉及</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w:t>
      </w:r>
      <w:r>
        <w:rPr>
          <w:rFonts w:hint="eastAsia" w:ascii="Times New Roman" w:hAnsi="宋体" w:eastAsia="宋体" w:cs="Times New Roman"/>
          <w:color w:val="000000"/>
          <w:kern w:val="2"/>
          <w:sz w:val="24"/>
          <w:szCs w:val="24"/>
          <w:shd w:val="clear" w:color="auto" w:fill="FFFFFF"/>
          <w:lang w:val="en-US" w:eastAsia="zh-CN" w:bidi="ar-SA"/>
        </w:rPr>
        <w:t>新田镇湖坑村、激石溪村以及汕尾吉溪国有林场</w:t>
      </w:r>
      <w:r>
        <w:rPr>
          <w:rFonts w:ascii="Times New Roman" w:hAnsi="宋体" w:eastAsia="宋体" w:cs="Times New Roman"/>
          <w:color w:val="000000"/>
          <w:kern w:val="2"/>
          <w:sz w:val="24"/>
          <w:szCs w:val="24"/>
          <w:shd w:val="clear" w:color="auto" w:fill="FFFFFF"/>
          <w:lang w:val="en-US" w:eastAsia="zh-CN" w:bidi="ar-SA"/>
        </w:rPr>
        <w:t>。工程建设征地总面积为</w:t>
      </w:r>
      <w:r>
        <w:rPr>
          <w:rFonts w:ascii="Times New Roman" w:hAnsi="Times New Roman" w:eastAsia="宋体" w:cs="Times New Roman"/>
          <w:color w:val="000000"/>
          <w:kern w:val="2"/>
          <w:sz w:val="24"/>
          <w:szCs w:val="24"/>
          <w:shd w:val="clear" w:color="auto" w:fill="FFFFFF"/>
          <w:lang w:val="en-US" w:eastAsia="zh-CN" w:bidi="ar-SA"/>
        </w:rPr>
        <w:t>4791.33</w:t>
      </w:r>
      <w:r>
        <w:rPr>
          <w:rFonts w:ascii="Times New Roman" w:hAnsi="宋体" w:eastAsia="宋体" w:cs="Times New Roman"/>
          <w:color w:val="000000"/>
          <w:kern w:val="2"/>
          <w:sz w:val="24"/>
          <w:szCs w:val="24"/>
          <w:shd w:val="clear" w:color="auto" w:fill="FFFFFF"/>
          <w:lang w:val="en-US" w:eastAsia="zh-CN" w:bidi="ar-SA"/>
        </w:rPr>
        <w:t>亩，其中永久征收面积</w:t>
      </w:r>
      <w:r>
        <w:rPr>
          <w:rFonts w:ascii="Times New Roman" w:hAnsi="Times New Roman" w:eastAsia="宋体" w:cs="Times New Roman"/>
          <w:color w:val="000000"/>
          <w:kern w:val="2"/>
          <w:sz w:val="24"/>
          <w:szCs w:val="24"/>
          <w:shd w:val="clear" w:color="auto" w:fill="FFFFFF"/>
          <w:lang w:val="en-US" w:eastAsia="zh-CN" w:bidi="ar-SA"/>
        </w:rPr>
        <w:t>3829.50</w:t>
      </w:r>
      <w:r>
        <w:rPr>
          <w:rFonts w:ascii="Times New Roman" w:hAnsi="宋体" w:eastAsia="宋体" w:cs="Times New Roman"/>
          <w:color w:val="000000"/>
          <w:kern w:val="2"/>
          <w:sz w:val="24"/>
          <w:szCs w:val="24"/>
          <w:shd w:val="clear" w:color="auto" w:fill="FFFFFF"/>
          <w:lang w:val="en-US" w:eastAsia="zh-CN" w:bidi="ar-SA"/>
        </w:rPr>
        <w:t>亩，临时征用面积</w:t>
      </w:r>
      <w:r>
        <w:rPr>
          <w:rFonts w:ascii="Times New Roman" w:hAnsi="Times New Roman" w:eastAsia="宋体" w:cs="Times New Roman"/>
          <w:color w:val="000000"/>
          <w:kern w:val="2"/>
          <w:sz w:val="24"/>
          <w:szCs w:val="24"/>
          <w:shd w:val="clear" w:color="auto" w:fill="FFFFFF"/>
          <w:lang w:val="en-US" w:eastAsia="zh-CN" w:bidi="ar-SA"/>
        </w:rPr>
        <w:t>961.83</w:t>
      </w:r>
      <w:r>
        <w:rPr>
          <w:rFonts w:ascii="Times New Roman" w:hAnsi="宋体" w:eastAsia="宋体" w:cs="Times New Roman"/>
          <w:color w:val="000000"/>
          <w:kern w:val="2"/>
          <w:sz w:val="24"/>
          <w:szCs w:val="24"/>
          <w:shd w:val="clear" w:color="auto" w:fill="FFFFFF"/>
          <w:lang w:val="en-US" w:eastAsia="zh-CN" w:bidi="ar-SA"/>
        </w:rPr>
        <w:t>亩。</w:t>
      </w:r>
      <w:r>
        <w:rPr>
          <w:rFonts w:ascii="Times New Roman" w:hAnsi="宋体" w:eastAsia="宋体" w:cs="Times New Roman"/>
          <w:color w:val="000000"/>
          <w:kern w:val="2"/>
          <w:sz w:val="24"/>
          <w:szCs w:val="24"/>
          <w:shd w:val="clear" w:color="auto" w:fill="auto"/>
          <w:lang w:val="en-US" w:eastAsia="zh-CN" w:bidi="ar-SA"/>
        </w:rPr>
        <w:t>影响各类房屋面积</w:t>
      </w:r>
      <w:r>
        <w:rPr>
          <w:rFonts w:ascii="Times New Roman" w:hAnsi="Times New Roman" w:eastAsia="宋体" w:cs="Times New Roman"/>
          <w:color w:val="000000"/>
          <w:kern w:val="2"/>
          <w:sz w:val="24"/>
          <w:szCs w:val="24"/>
          <w:shd w:val="clear" w:color="auto" w:fill="FFFFFF"/>
          <w:lang w:val="en-US" w:eastAsia="zh-CN" w:bidi="ar-SA"/>
        </w:rPr>
        <w:t>1086.63</w:t>
      </w:r>
      <w:r>
        <w:rPr>
          <w:rFonts w:hint="eastAsia" w:ascii="Times New Roman" w:hAnsi="宋体" w:eastAsia="宋体" w:cs="Times New Roman"/>
          <w:color w:val="000000"/>
          <w:kern w:val="2"/>
          <w:sz w:val="24"/>
          <w:szCs w:val="24"/>
          <w:shd w:val="clear" w:color="auto" w:fill="FFFFFF"/>
          <w:lang w:val="en-US" w:eastAsia="zh-CN" w:bidi="ar-SA"/>
        </w:rPr>
        <w:t>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ascii="Times New Roman" w:hAnsi="宋体" w:eastAsia="宋体" w:cs="Times New Roman"/>
          <w:color w:val="000000"/>
          <w:kern w:val="2"/>
          <w:sz w:val="24"/>
          <w:szCs w:val="24"/>
          <w:shd w:val="clear" w:color="auto" w:fill="auto"/>
          <w:lang w:val="en-US" w:eastAsia="zh-CN" w:bidi="ar-SA"/>
        </w:rPr>
        <w:t>；工程建设征地影响专业项目涉及交通、水利、电力、通信设施等。建设征地涉及主要实物指标见表</w:t>
      </w:r>
      <w:r>
        <w:rPr>
          <w:rFonts w:ascii="Times New Roman" w:hAnsi="Times New Roman" w:eastAsia="宋体" w:cs="Times New Roman"/>
          <w:color w:val="000000"/>
          <w:kern w:val="2"/>
          <w:sz w:val="24"/>
          <w:szCs w:val="24"/>
          <w:shd w:val="clear" w:color="auto" w:fill="auto"/>
          <w:lang w:val="en-US" w:eastAsia="zh-CN" w:bidi="ar-SA"/>
        </w:rPr>
        <w:t>8-1</w:t>
      </w:r>
      <w:r>
        <w:rPr>
          <w:rFonts w:ascii="Times New Roman" w:hAnsi="宋体" w:eastAsia="宋体" w:cs="Times New Roman"/>
          <w:color w:val="000000"/>
          <w:kern w:val="2"/>
          <w:sz w:val="24"/>
          <w:szCs w:val="24"/>
          <w:shd w:val="clear" w:color="auto" w:fill="auto"/>
          <w:lang w:val="en-US" w:eastAsia="zh-CN" w:bidi="ar-SA"/>
        </w:rPr>
        <w:t>。</w:t>
      </w:r>
    </w:p>
    <w:p>
      <w:pPr>
        <w:widowControl/>
        <w:jc w:val="left"/>
        <w:rPr>
          <w:rFonts w:eastAsia="黑体" w:cs="Times New Roman"/>
          <w:color w:val="000000"/>
          <w:sz w:val="24"/>
          <w:szCs w:val="20"/>
        </w:rPr>
      </w:pPr>
    </w:p>
    <w:p>
      <w:pPr>
        <w:keepNext/>
        <w:jc w:val="center"/>
        <w:rPr>
          <w:rFonts w:ascii="Times New Roman" w:hAnsi="Times New Roman"/>
          <w:color w:val="000000"/>
          <w:sz w:val="24"/>
        </w:rPr>
        <w:sectPr>
          <w:footerReference r:id="rId31" w:type="default"/>
          <w:pgSz w:w="11906" w:h="16838"/>
          <w:pgMar w:top="1588" w:right="1559" w:bottom="1531" w:left="1559" w:header="1134" w:footer="1247" w:gutter="0"/>
          <w:cols w:space="720" w:num="1"/>
          <w:docGrid w:linePitch="312" w:charSpace="0"/>
        </w:sectPr>
      </w:pPr>
    </w:p>
    <w:p>
      <w:pPr>
        <w:keepNext/>
        <w:widowControl w:val="0"/>
        <w:spacing w:line="480" w:lineRule="exact"/>
        <w:jc w:val="center"/>
        <w:rPr>
          <w:rFonts w:ascii="Times New Roman" w:hAnsi="Times New Roman" w:eastAsia="黑体" w:cs="Times New Roman"/>
          <w:color w:val="000000"/>
          <w:kern w:val="0"/>
          <w:sz w:val="24"/>
          <w:szCs w:val="24"/>
          <w:lang w:val="en-US" w:eastAsia="zh-CN" w:bidi="ar-SA"/>
        </w:rPr>
      </w:pPr>
      <w:r>
        <w:rPr>
          <w:rFonts w:hint="eastAsia" w:ascii="Times New Roman" w:hAnsi="Times New Roman" w:eastAsia="黑体" w:cs="Times New Roman"/>
          <w:color w:val="000000"/>
          <w:kern w:val="2"/>
          <w:sz w:val="24"/>
          <w:szCs w:val="20"/>
          <w:lang w:val="en-US" w:eastAsia="zh-CN" w:bidi="ar-SA"/>
        </w:rPr>
        <w:t>表</w:t>
      </w:r>
      <w:r>
        <w:rPr>
          <w:rFonts w:ascii="Times New Roman" w:hAnsi="Times New Roman" w:eastAsia="黑体" w:cs="Times New Roman"/>
          <w:color w:val="000000"/>
          <w:kern w:val="2"/>
          <w:sz w:val="24"/>
          <w:szCs w:val="20"/>
          <w:lang w:val="en-US" w:eastAsia="zh-CN" w:bidi="ar-SA"/>
        </w:rPr>
        <w:t>8</w:t>
      </w:r>
      <w:r>
        <w:rPr>
          <w:rFonts w:hint="eastAsia" w:ascii="Times New Roman" w:hAnsi="Times New Roman" w:eastAsia="黑体" w:cs="Times New Roman"/>
          <w:color w:val="000000"/>
          <w:kern w:val="2"/>
          <w:sz w:val="24"/>
          <w:szCs w:val="20"/>
          <w:lang w:val="en-US" w:eastAsia="zh-CN" w:bidi="ar-SA"/>
        </w:rPr>
        <w:t>-</w:t>
      </w:r>
      <w:r>
        <w:rPr>
          <w:rFonts w:ascii="Times New Roman" w:hAnsi="Times New Roman" w:eastAsia="黑体" w:cs="Times New Roman"/>
          <w:color w:val="000000"/>
          <w:kern w:val="2"/>
          <w:sz w:val="24"/>
          <w:szCs w:val="20"/>
          <w:lang w:val="en-US" w:eastAsia="zh-CN" w:bidi="ar-SA"/>
        </w:rPr>
        <w:fldChar w:fldCharType="begin"/>
      </w:r>
      <w:r>
        <w:rPr>
          <w:rFonts w:ascii="Times New Roman" w:hAnsi="Times New Roman" w:eastAsia="黑体" w:cs="Times New Roman"/>
          <w:color w:val="000000"/>
          <w:kern w:val="2"/>
          <w:sz w:val="24"/>
          <w:szCs w:val="20"/>
          <w:lang w:val="en-US" w:eastAsia="zh-CN" w:bidi="ar-SA"/>
        </w:rPr>
        <w:instrText xml:space="preserve"> SEQ </w:instrText>
      </w:r>
      <w:r>
        <w:rPr>
          <w:rFonts w:hint="eastAsia" w:ascii="Times New Roman" w:hAnsi="Times New Roman" w:eastAsia="黑体" w:cs="Times New Roman"/>
          <w:color w:val="000000"/>
          <w:kern w:val="2"/>
          <w:sz w:val="24"/>
          <w:szCs w:val="20"/>
          <w:lang w:val="en-US" w:eastAsia="zh-CN" w:bidi="ar-SA"/>
        </w:rPr>
        <w:instrText xml:space="preserve">表</w:instrText>
      </w:r>
      <w:r>
        <w:rPr>
          <w:rFonts w:ascii="Times New Roman" w:hAnsi="Times New Roman" w:eastAsia="黑体" w:cs="Times New Roman"/>
          <w:color w:val="000000"/>
          <w:kern w:val="2"/>
          <w:sz w:val="24"/>
          <w:szCs w:val="20"/>
          <w:lang w:val="en-US" w:eastAsia="zh-CN" w:bidi="ar-SA"/>
        </w:rPr>
        <w:instrText xml:space="preserve"> \* ARABIC \s 3 </w:instrText>
      </w:r>
      <w:r>
        <w:rPr>
          <w:rFonts w:ascii="Times New Roman" w:hAnsi="Times New Roman" w:eastAsia="黑体" w:cs="Times New Roman"/>
          <w:color w:val="000000"/>
          <w:kern w:val="2"/>
          <w:sz w:val="24"/>
          <w:szCs w:val="20"/>
          <w:lang w:val="en-US" w:eastAsia="zh-CN" w:bidi="ar-SA"/>
        </w:rPr>
        <w:fldChar w:fldCharType="separate"/>
      </w:r>
      <w:r>
        <w:rPr>
          <w:rFonts w:ascii="Times New Roman" w:hAnsi="Times New Roman" w:eastAsia="黑体" w:cs="Times New Roman"/>
          <w:color w:val="000000"/>
          <w:kern w:val="2"/>
          <w:sz w:val="24"/>
          <w:szCs w:val="20"/>
          <w:lang w:val="en-US" w:eastAsia="zh-CN" w:bidi="ar-SA"/>
        </w:rPr>
        <w:t>1</w:t>
      </w:r>
      <w:r>
        <w:rPr>
          <w:rFonts w:ascii="Times New Roman" w:hAnsi="Times New Roman" w:eastAsia="黑体" w:cs="Times New Roman"/>
          <w:color w:val="000000"/>
          <w:kern w:val="2"/>
          <w:sz w:val="24"/>
          <w:szCs w:val="20"/>
          <w:lang w:val="en-US" w:eastAsia="zh-CN" w:bidi="ar-SA"/>
        </w:rPr>
        <w:fldChar w:fldCharType="end"/>
      </w:r>
      <w:r>
        <w:rPr>
          <w:rFonts w:ascii="Times New Roman" w:hAnsi="Times New Roman" w:eastAsia="黑体" w:cs="Times New Roman"/>
          <w:color w:val="000000"/>
          <w:kern w:val="0"/>
          <w:sz w:val="24"/>
          <w:szCs w:val="24"/>
          <w:lang w:val="en-US" w:eastAsia="zh-CN" w:bidi="ar-SA"/>
        </w:rPr>
        <w:t xml:space="preserve">  </w:t>
      </w:r>
      <w:r>
        <w:rPr>
          <w:rFonts w:hint="eastAsia" w:ascii="Times New Roman" w:hAnsi="Times New Roman" w:eastAsia="黑体" w:cs="Times New Roman"/>
          <w:color w:val="000000"/>
          <w:kern w:val="0"/>
          <w:sz w:val="24"/>
          <w:szCs w:val="24"/>
          <w:lang w:val="en-US" w:eastAsia="zh-CN" w:bidi="ar-SA"/>
        </w:rPr>
        <w:t>陆河抽水蓄能电站建设征地涉及主要实物指标</w:t>
      </w:r>
      <w:r>
        <w:rPr>
          <w:rFonts w:ascii="Cambria" w:hAnsi="Cambria" w:eastAsia="黑体" w:cs="Times New Roman"/>
          <w:color w:val="000000"/>
          <w:kern w:val="2"/>
          <w:sz w:val="20"/>
          <w:szCs w:val="20"/>
          <w:lang w:val="en-US" w:eastAsia="zh-CN" w:bidi="ar-SA"/>
        </w:rPr>
        <w:t xml:space="preserve"> </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5"/>
        <w:gridCol w:w="2470"/>
        <w:gridCol w:w="1065"/>
        <w:gridCol w:w="1177"/>
        <w:gridCol w:w="1177"/>
        <w:gridCol w:w="1336"/>
        <w:gridCol w:w="1341"/>
        <w:gridCol w:w="1175"/>
        <w:gridCol w:w="1863"/>
        <w:gridCol w:w="10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025" w:type="dxa"/>
            <w:vMerge w:val="restart"/>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序号</w:t>
            </w:r>
          </w:p>
        </w:tc>
        <w:tc>
          <w:tcPr>
            <w:tcW w:w="2470" w:type="dxa"/>
            <w:vMerge w:val="restart"/>
            <w:noWrap w:val="0"/>
            <w:vAlign w:val="center"/>
          </w:tcPr>
          <w:p>
            <w:pPr>
              <w:widowControl/>
              <w:jc w:val="center"/>
              <w:textAlignment w:val="center"/>
              <w:rPr>
                <w:rFonts w:cs="Times New Roman"/>
                <w:b/>
                <w:bCs/>
                <w:color w:val="000000"/>
                <w:szCs w:val="21"/>
              </w:rPr>
            </w:pPr>
            <w:r>
              <w:rPr>
                <w:rFonts w:cs="Times New Roman"/>
                <w:b/>
                <w:bCs/>
                <w:color w:val="000000"/>
                <w:szCs w:val="21"/>
              </w:rPr>
              <w:t>项     目</w:t>
            </w:r>
          </w:p>
        </w:tc>
        <w:tc>
          <w:tcPr>
            <w:tcW w:w="1065" w:type="dxa"/>
            <w:vMerge w:val="restart"/>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单位</w:t>
            </w:r>
          </w:p>
        </w:tc>
        <w:tc>
          <w:tcPr>
            <w:tcW w:w="1177" w:type="dxa"/>
            <w:vMerge w:val="restart"/>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合计</w:t>
            </w:r>
          </w:p>
        </w:tc>
        <w:tc>
          <w:tcPr>
            <w:tcW w:w="3854" w:type="dxa"/>
            <w:gridSpan w:val="3"/>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枢纽工程建设区</w:t>
            </w:r>
          </w:p>
        </w:tc>
        <w:tc>
          <w:tcPr>
            <w:tcW w:w="4066" w:type="dxa"/>
            <w:gridSpan w:val="3"/>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水库淹没影响区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025" w:type="dxa"/>
            <w:vMerge w:val="continue"/>
            <w:noWrap w:val="0"/>
            <w:vAlign w:val="center"/>
          </w:tcPr>
          <w:p>
            <w:pPr>
              <w:jc w:val="center"/>
              <w:rPr>
                <w:rFonts w:cs="Times New Roman"/>
                <w:b/>
                <w:bCs/>
                <w:color w:val="000000"/>
                <w:szCs w:val="21"/>
              </w:rPr>
            </w:pPr>
          </w:p>
        </w:tc>
        <w:tc>
          <w:tcPr>
            <w:tcW w:w="2470" w:type="dxa"/>
            <w:vMerge w:val="continue"/>
            <w:noWrap w:val="0"/>
            <w:vAlign w:val="center"/>
          </w:tcPr>
          <w:p>
            <w:pPr>
              <w:jc w:val="center"/>
              <w:rPr>
                <w:rFonts w:cs="Times New Roman"/>
                <w:b/>
                <w:bCs/>
                <w:color w:val="000000"/>
                <w:szCs w:val="21"/>
              </w:rPr>
            </w:pPr>
          </w:p>
        </w:tc>
        <w:tc>
          <w:tcPr>
            <w:tcW w:w="1065" w:type="dxa"/>
            <w:vMerge w:val="continue"/>
            <w:noWrap w:val="0"/>
            <w:vAlign w:val="center"/>
          </w:tcPr>
          <w:p>
            <w:pPr>
              <w:jc w:val="center"/>
              <w:rPr>
                <w:rFonts w:cs="Times New Roman"/>
                <w:b/>
                <w:bCs/>
                <w:color w:val="000000"/>
                <w:szCs w:val="21"/>
              </w:rPr>
            </w:pPr>
          </w:p>
        </w:tc>
        <w:tc>
          <w:tcPr>
            <w:tcW w:w="1177" w:type="dxa"/>
            <w:vMerge w:val="continue"/>
            <w:noWrap w:val="0"/>
            <w:vAlign w:val="center"/>
          </w:tcPr>
          <w:p>
            <w:pPr>
              <w:jc w:val="center"/>
              <w:rPr>
                <w:rFonts w:cs="Times New Roman"/>
                <w:b/>
                <w:bCs/>
                <w:color w:val="000000"/>
                <w:szCs w:val="21"/>
              </w:rPr>
            </w:pPr>
          </w:p>
        </w:tc>
        <w:tc>
          <w:tcPr>
            <w:tcW w:w="1177" w:type="dxa"/>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小计</w:t>
            </w:r>
          </w:p>
        </w:tc>
        <w:tc>
          <w:tcPr>
            <w:tcW w:w="1336" w:type="dxa"/>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永久占地</w:t>
            </w:r>
          </w:p>
        </w:tc>
        <w:tc>
          <w:tcPr>
            <w:tcW w:w="1341" w:type="dxa"/>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临时用地</w:t>
            </w:r>
          </w:p>
        </w:tc>
        <w:tc>
          <w:tcPr>
            <w:tcW w:w="1175" w:type="dxa"/>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小计</w:t>
            </w:r>
          </w:p>
        </w:tc>
        <w:tc>
          <w:tcPr>
            <w:tcW w:w="1863" w:type="dxa"/>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上水库淹没区</w:t>
            </w:r>
          </w:p>
        </w:tc>
        <w:tc>
          <w:tcPr>
            <w:tcW w:w="1028" w:type="dxa"/>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下水库淹没区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一</w:t>
            </w: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土地面积</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4791.33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3412.43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2450.60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961.83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1378.90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872.79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506.11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陆地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4643.49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3402.96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2441.13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961.83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1240.53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765.92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474.61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水域</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147.84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9.47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9.47 </w:t>
            </w:r>
          </w:p>
        </w:tc>
        <w:tc>
          <w:tcPr>
            <w:tcW w:w="1341"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138.37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106.87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耕地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516.19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222.47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206.92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15.55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293.71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151.28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142.43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365.28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168.40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152.86 </w:t>
            </w:r>
          </w:p>
        </w:tc>
        <w:tc>
          <w:tcPr>
            <w:tcW w:w="1341"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15.54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196.88 </w:t>
            </w:r>
          </w:p>
        </w:tc>
        <w:tc>
          <w:tcPr>
            <w:tcW w:w="18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79.09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117.79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旱地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150.90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54.08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54.06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0.02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96.83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72.19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24.64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园地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27.67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19.66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15.98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3.68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8.01 </w:t>
            </w:r>
          </w:p>
        </w:tc>
        <w:tc>
          <w:tcPr>
            <w:tcW w:w="18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8.01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果园</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19.95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18.57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14.89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3.68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1.39 </w:t>
            </w:r>
          </w:p>
        </w:tc>
        <w:tc>
          <w:tcPr>
            <w:tcW w:w="18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1.39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茶园</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7.72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1.09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1.09 </w:t>
            </w:r>
          </w:p>
        </w:tc>
        <w:tc>
          <w:tcPr>
            <w:tcW w:w="1341"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6.62 </w:t>
            </w:r>
          </w:p>
        </w:tc>
        <w:tc>
          <w:tcPr>
            <w:tcW w:w="18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6.62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林地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4014.36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3128.27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2195.91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932.36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886.09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579.60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306.49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有林地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3980.31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3124.90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2192.54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932.36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855.41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549.25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306.16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灌木林地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34.05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3.37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3.37 </w:t>
            </w:r>
          </w:p>
        </w:tc>
        <w:tc>
          <w:tcPr>
            <w:tcW w:w="1341"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30.68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30.35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0.33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w:t>
            </w: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草地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21.35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2.28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2.26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0.02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19.08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14.75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4.33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jc w:val="center"/>
              <w:rPr>
                <w:rFonts w:cs="Times New Roman"/>
                <w:color w:val="000000"/>
                <w:szCs w:val="21"/>
              </w:rPr>
            </w:pP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其他草地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21.35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2.28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2.26 </w:t>
            </w:r>
          </w:p>
        </w:tc>
        <w:tc>
          <w:tcPr>
            <w:tcW w:w="1341"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0.02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19.08 </w:t>
            </w:r>
          </w:p>
        </w:tc>
        <w:tc>
          <w:tcPr>
            <w:tcW w:w="18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14.75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4.33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247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住宅用地</w:t>
            </w:r>
          </w:p>
        </w:tc>
        <w:tc>
          <w:tcPr>
            <w:tcW w:w="106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2.48 </w:t>
            </w:r>
          </w:p>
        </w:tc>
        <w:tc>
          <w:tcPr>
            <w:tcW w:w="1177"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0.60 </w:t>
            </w:r>
          </w:p>
        </w:tc>
        <w:tc>
          <w:tcPr>
            <w:tcW w:w="1336"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0.60 </w:t>
            </w:r>
          </w:p>
        </w:tc>
        <w:tc>
          <w:tcPr>
            <w:tcW w:w="1341"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1.88 </w:t>
            </w:r>
          </w:p>
        </w:tc>
        <w:tc>
          <w:tcPr>
            <w:tcW w:w="18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028"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1.88 </w:t>
            </w:r>
          </w:p>
        </w:tc>
      </w:tr>
    </w:tbl>
    <w:p>
      <w:pPr>
        <w:rPr>
          <w:rFonts w:cs="Times New Roman"/>
          <w:szCs w:val="22"/>
        </w:rPr>
      </w:pP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024"/>
        <w:gridCol w:w="2469"/>
        <w:gridCol w:w="1065"/>
        <w:gridCol w:w="1177"/>
        <w:gridCol w:w="1177"/>
        <w:gridCol w:w="1336"/>
        <w:gridCol w:w="1341"/>
        <w:gridCol w:w="1175"/>
        <w:gridCol w:w="1863"/>
        <w:gridCol w:w="10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blHeader/>
          <w:jc w:val="center"/>
        </w:trPr>
        <w:tc>
          <w:tcPr>
            <w:tcW w:w="13657" w:type="dxa"/>
            <w:gridSpan w:val="10"/>
            <w:tcBorders>
              <w:top w:val="nil"/>
              <w:left w:val="nil"/>
              <w:bottom w:val="single" w:color="auto" w:sz="6" w:space="0"/>
              <w:right w:val="nil"/>
            </w:tcBorders>
            <w:shd w:val="clear" w:color="auto" w:fill="auto"/>
            <w:noWrap w:val="0"/>
            <w:vAlign w:val="center"/>
          </w:tcPr>
          <w:p>
            <w:pPr>
              <w:widowControl w:val="0"/>
              <w:spacing w:line="480" w:lineRule="exact"/>
              <w:jc w:val="center"/>
              <w:rPr>
                <w:rFonts w:hint="eastAsia" w:ascii="Times New Roman" w:hAnsi="Times New Roman" w:eastAsia="黑体" w:cs="Times New Roman"/>
                <w:b/>
                <w:bCs/>
                <w:kern w:val="0"/>
                <w:sz w:val="24"/>
                <w:szCs w:val="21"/>
                <w:lang w:val="en-US" w:eastAsia="zh-CN" w:bidi="ar"/>
              </w:rPr>
            </w:pPr>
            <w:r>
              <w:rPr>
                <w:rFonts w:hint="eastAsia" w:ascii="Times New Roman" w:hAnsi="Times New Roman" w:eastAsia="黑体" w:cs="Times New Roman"/>
                <w:kern w:val="2"/>
                <w:sz w:val="24"/>
                <w:szCs w:val="22"/>
                <w:lang w:val="en-US" w:eastAsia="zh-CN" w:bidi="ar-SA"/>
              </w:rPr>
              <w:t>表</w:t>
            </w:r>
            <w:r>
              <w:rPr>
                <w:rFonts w:ascii="Times New Roman" w:hAnsi="Times New Roman" w:eastAsia="黑体" w:cs="Times New Roman"/>
                <w:kern w:val="2"/>
                <w:sz w:val="24"/>
                <w:szCs w:val="22"/>
                <w:lang w:val="en-US" w:eastAsia="zh-CN" w:bidi="ar-SA"/>
              </w:rPr>
              <w:t>8</w:t>
            </w:r>
            <w:r>
              <w:rPr>
                <w:rFonts w:hint="eastAsia" w:ascii="Times New Roman" w:hAnsi="Times New Roman" w:eastAsia="黑体" w:cs="Times New Roman"/>
                <w:kern w:val="2"/>
                <w:sz w:val="24"/>
                <w:szCs w:val="22"/>
                <w:lang w:val="en-US" w:eastAsia="zh-CN" w:bidi="ar-SA"/>
              </w:rPr>
              <w:t>-1(续)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blHeader/>
          <w:jc w:val="center"/>
        </w:trPr>
        <w:tc>
          <w:tcPr>
            <w:tcW w:w="1024" w:type="dxa"/>
            <w:vMerge w:val="restart"/>
            <w:tcBorders>
              <w:top w:val="single" w:color="auto" w:sz="6" w:space="0"/>
            </w:tcBorders>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序号</w:t>
            </w:r>
          </w:p>
        </w:tc>
        <w:tc>
          <w:tcPr>
            <w:tcW w:w="2469" w:type="dxa"/>
            <w:vMerge w:val="restart"/>
            <w:tcBorders>
              <w:top w:val="single" w:color="auto" w:sz="6" w:space="0"/>
            </w:tcBorders>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szCs w:val="21"/>
              </w:rPr>
              <w:t>项     目</w:t>
            </w:r>
          </w:p>
        </w:tc>
        <w:tc>
          <w:tcPr>
            <w:tcW w:w="1065" w:type="dxa"/>
            <w:vMerge w:val="restart"/>
            <w:tcBorders>
              <w:top w:val="single" w:color="auto" w:sz="6" w:space="0"/>
            </w:tcBorders>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单位</w:t>
            </w:r>
          </w:p>
        </w:tc>
        <w:tc>
          <w:tcPr>
            <w:tcW w:w="1177" w:type="dxa"/>
            <w:vMerge w:val="restart"/>
            <w:tcBorders>
              <w:top w:val="single" w:color="auto" w:sz="6" w:space="0"/>
            </w:tcBorders>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合计</w:t>
            </w:r>
          </w:p>
        </w:tc>
        <w:tc>
          <w:tcPr>
            <w:tcW w:w="3854" w:type="dxa"/>
            <w:gridSpan w:val="3"/>
            <w:tcBorders>
              <w:top w:val="single" w:color="auto" w:sz="6" w:space="0"/>
            </w:tcBorders>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枢纽工程建设区</w:t>
            </w:r>
          </w:p>
        </w:tc>
        <w:tc>
          <w:tcPr>
            <w:tcW w:w="4068" w:type="dxa"/>
            <w:gridSpan w:val="3"/>
            <w:tcBorders>
              <w:top w:val="single" w:color="auto" w:sz="6" w:space="0"/>
            </w:tcBorders>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水库淹没影响区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blHeader/>
          <w:jc w:val="center"/>
        </w:trPr>
        <w:tc>
          <w:tcPr>
            <w:tcW w:w="1024" w:type="dxa"/>
            <w:vMerge w:val="continue"/>
            <w:shd w:val="clear" w:color="auto" w:fill="auto"/>
            <w:noWrap w:val="0"/>
            <w:vAlign w:val="center"/>
          </w:tcPr>
          <w:p>
            <w:pPr>
              <w:jc w:val="center"/>
              <w:rPr>
                <w:rFonts w:cs="Times New Roman"/>
                <w:b/>
                <w:bCs/>
                <w:color w:val="000000"/>
                <w:szCs w:val="21"/>
              </w:rPr>
            </w:pPr>
          </w:p>
        </w:tc>
        <w:tc>
          <w:tcPr>
            <w:tcW w:w="2469" w:type="dxa"/>
            <w:vMerge w:val="continue"/>
            <w:shd w:val="clear" w:color="auto" w:fill="auto"/>
            <w:noWrap w:val="0"/>
            <w:vAlign w:val="center"/>
          </w:tcPr>
          <w:p>
            <w:pPr>
              <w:jc w:val="center"/>
              <w:rPr>
                <w:rFonts w:cs="Times New Roman"/>
                <w:b/>
                <w:bCs/>
                <w:color w:val="000000"/>
                <w:szCs w:val="21"/>
              </w:rPr>
            </w:pPr>
          </w:p>
        </w:tc>
        <w:tc>
          <w:tcPr>
            <w:tcW w:w="1065" w:type="dxa"/>
            <w:vMerge w:val="continue"/>
            <w:shd w:val="clear" w:color="auto" w:fill="auto"/>
            <w:noWrap w:val="0"/>
            <w:vAlign w:val="center"/>
          </w:tcPr>
          <w:p>
            <w:pPr>
              <w:jc w:val="center"/>
              <w:rPr>
                <w:rFonts w:cs="Times New Roman"/>
                <w:b/>
                <w:bCs/>
                <w:color w:val="000000"/>
                <w:szCs w:val="21"/>
              </w:rPr>
            </w:pPr>
          </w:p>
        </w:tc>
        <w:tc>
          <w:tcPr>
            <w:tcW w:w="1177" w:type="dxa"/>
            <w:vMerge w:val="continue"/>
            <w:shd w:val="clear" w:color="auto" w:fill="auto"/>
            <w:noWrap w:val="0"/>
            <w:vAlign w:val="center"/>
          </w:tcPr>
          <w:p>
            <w:pPr>
              <w:jc w:val="center"/>
              <w:rPr>
                <w:rFonts w:cs="Times New Roman"/>
                <w:b/>
                <w:bCs/>
                <w:color w:val="000000"/>
                <w:szCs w:val="21"/>
              </w:rPr>
            </w:pPr>
          </w:p>
        </w:tc>
        <w:tc>
          <w:tcPr>
            <w:tcW w:w="1177" w:type="dxa"/>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小计</w:t>
            </w:r>
          </w:p>
        </w:tc>
        <w:tc>
          <w:tcPr>
            <w:tcW w:w="1336" w:type="dxa"/>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永久占地</w:t>
            </w:r>
          </w:p>
        </w:tc>
        <w:tc>
          <w:tcPr>
            <w:tcW w:w="1341" w:type="dxa"/>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临时用地</w:t>
            </w:r>
          </w:p>
        </w:tc>
        <w:tc>
          <w:tcPr>
            <w:tcW w:w="1175" w:type="dxa"/>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小计</w:t>
            </w:r>
          </w:p>
        </w:tc>
        <w:tc>
          <w:tcPr>
            <w:tcW w:w="1863" w:type="dxa"/>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上水库淹没区</w:t>
            </w:r>
          </w:p>
        </w:tc>
        <w:tc>
          <w:tcPr>
            <w:tcW w:w="1030" w:type="dxa"/>
            <w:shd w:val="clear" w:color="auto" w:fill="auto"/>
            <w:noWrap w:val="0"/>
            <w:vAlign w:val="center"/>
          </w:tcPr>
          <w:p>
            <w:pPr>
              <w:widowControl/>
              <w:jc w:val="center"/>
              <w:textAlignment w:val="center"/>
              <w:rPr>
                <w:rFonts w:cs="Times New Roman"/>
                <w:b/>
                <w:bCs/>
                <w:color w:val="000000"/>
                <w:szCs w:val="21"/>
              </w:rPr>
            </w:pPr>
            <w:r>
              <w:rPr>
                <w:rFonts w:cs="Times New Roman"/>
                <w:b/>
                <w:bCs/>
                <w:color w:val="000000"/>
                <w:kern w:val="0"/>
                <w:szCs w:val="21"/>
                <w:lang w:bidi="ar"/>
              </w:rPr>
              <w:t>下水库淹没区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农村宅基地</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2.48 </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0.60 </w:t>
            </w:r>
          </w:p>
        </w:tc>
        <w:tc>
          <w:tcPr>
            <w:tcW w:w="1336"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0.60 </w:t>
            </w:r>
          </w:p>
        </w:tc>
        <w:tc>
          <w:tcPr>
            <w:tcW w:w="1341"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1.88 </w:t>
            </w:r>
          </w:p>
        </w:tc>
        <w:tc>
          <w:tcPr>
            <w:tcW w:w="1863"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030"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1.88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交通运输用地</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61.43 </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29.67 </w:t>
            </w:r>
          </w:p>
        </w:tc>
        <w:tc>
          <w:tcPr>
            <w:tcW w:w="1336"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19.46 </w:t>
            </w:r>
          </w:p>
        </w:tc>
        <w:tc>
          <w:tcPr>
            <w:tcW w:w="1341"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10.22 </w:t>
            </w:r>
          </w:p>
        </w:tc>
        <w:tc>
          <w:tcPr>
            <w:tcW w:w="1175"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31.76 </w:t>
            </w:r>
          </w:p>
        </w:tc>
        <w:tc>
          <w:tcPr>
            <w:tcW w:w="1863"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20.29 </w:t>
            </w:r>
          </w:p>
        </w:tc>
        <w:tc>
          <w:tcPr>
            <w:tcW w:w="1030"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11.47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公路用地</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10.45 </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4.75 </w:t>
            </w:r>
          </w:p>
        </w:tc>
        <w:tc>
          <w:tcPr>
            <w:tcW w:w="1336"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4.75 </w:t>
            </w:r>
          </w:p>
        </w:tc>
        <w:tc>
          <w:tcPr>
            <w:tcW w:w="1341"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5.70 </w:t>
            </w:r>
          </w:p>
        </w:tc>
        <w:tc>
          <w:tcPr>
            <w:tcW w:w="1863"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030"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农村道路</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50.98 </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24.92 </w:t>
            </w:r>
          </w:p>
        </w:tc>
        <w:tc>
          <w:tcPr>
            <w:tcW w:w="1336"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14.71 </w:t>
            </w:r>
          </w:p>
        </w:tc>
        <w:tc>
          <w:tcPr>
            <w:tcW w:w="1341"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10.22 </w:t>
            </w:r>
          </w:p>
        </w:tc>
        <w:tc>
          <w:tcPr>
            <w:tcW w:w="1175"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26.06 </w:t>
            </w:r>
          </w:p>
        </w:tc>
        <w:tc>
          <w:tcPr>
            <w:tcW w:w="1863"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20.29 </w:t>
            </w:r>
          </w:p>
        </w:tc>
        <w:tc>
          <w:tcPr>
            <w:tcW w:w="1030"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5.77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水域及水利设施用地</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147.84 </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9.47 </w:t>
            </w:r>
          </w:p>
        </w:tc>
        <w:tc>
          <w:tcPr>
            <w:tcW w:w="1336"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9.47 </w:t>
            </w:r>
          </w:p>
        </w:tc>
        <w:tc>
          <w:tcPr>
            <w:tcW w:w="1341"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138.37 </w:t>
            </w:r>
          </w:p>
        </w:tc>
        <w:tc>
          <w:tcPr>
            <w:tcW w:w="1863"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106.87 </w:t>
            </w:r>
          </w:p>
        </w:tc>
        <w:tc>
          <w:tcPr>
            <w:tcW w:w="1030"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河流水面</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32.14 </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9.47 </w:t>
            </w:r>
          </w:p>
        </w:tc>
        <w:tc>
          <w:tcPr>
            <w:tcW w:w="1336"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9.47 </w:t>
            </w:r>
          </w:p>
        </w:tc>
        <w:tc>
          <w:tcPr>
            <w:tcW w:w="1341"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22.67 </w:t>
            </w:r>
          </w:p>
        </w:tc>
        <w:tc>
          <w:tcPr>
            <w:tcW w:w="1863"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030"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22.67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水库水面</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99.79 </w:t>
            </w:r>
          </w:p>
        </w:tc>
        <w:tc>
          <w:tcPr>
            <w:tcW w:w="1177"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336"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341"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99.79 </w:t>
            </w:r>
          </w:p>
        </w:tc>
        <w:tc>
          <w:tcPr>
            <w:tcW w:w="1863"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99.79 </w:t>
            </w:r>
          </w:p>
        </w:tc>
        <w:tc>
          <w:tcPr>
            <w:tcW w:w="1030"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水工建筑用地</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177"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15.91 </w:t>
            </w:r>
          </w:p>
        </w:tc>
        <w:tc>
          <w:tcPr>
            <w:tcW w:w="1177"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336"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341" w:type="dxa"/>
            <w:shd w:val="clear" w:color="auto" w:fill="auto"/>
            <w:noWrap w:val="0"/>
            <w:vAlign w:val="center"/>
          </w:tcPr>
          <w:p>
            <w:pPr>
              <w:jc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w:t>
            </w:r>
          </w:p>
        </w:tc>
        <w:tc>
          <w:tcPr>
            <w:tcW w:w="1175"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15.91 </w:t>
            </w:r>
          </w:p>
        </w:tc>
        <w:tc>
          <w:tcPr>
            <w:tcW w:w="1863"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7.08 </w:t>
            </w:r>
          </w:p>
        </w:tc>
        <w:tc>
          <w:tcPr>
            <w:tcW w:w="1030" w:type="dxa"/>
            <w:shd w:val="clear" w:color="auto" w:fill="auto"/>
            <w:noWrap w:val="0"/>
            <w:vAlign w:val="center"/>
          </w:tcPr>
          <w:p>
            <w:pPr>
              <w:widowControl/>
              <w:jc w:val="center"/>
              <w:textAlignment w:val="center"/>
              <w:rPr>
                <w:rFonts w:cs="Times New Roman"/>
                <w:color w:val="000000"/>
                <w:kern w:val="0"/>
                <w:szCs w:val="21"/>
                <w:lang w:bidi="ar"/>
              </w:rPr>
            </w:pPr>
            <w:r>
              <w:rPr>
                <w:rFonts w:hint="eastAsia" w:ascii="Times New Roman" w:hAnsi="Times New Roman" w:eastAsia="宋体" w:cs="Times New Roman"/>
                <w:color w:val="000000"/>
                <w:kern w:val="0"/>
                <w:sz w:val="21"/>
                <w:szCs w:val="21"/>
                <w:lang w:bidi="ar"/>
              </w:rPr>
              <w:t xml:space="preserve">8.83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二</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房屋</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1086.63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1086.63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1086.63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框架结构</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砖混结构</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133.43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133.43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133.43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砖木结构</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土木结构</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193.53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193.53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193.53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木结构</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简易结构</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其他结构</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747.44</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747.44</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747.44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三</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附属建筑物</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szCs w:val="21"/>
              </w:rPr>
              <w:t>地坪(m</w:t>
            </w:r>
            <w:r>
              <w:rPr>
                <w:rFonts w:cs="Times New Roman"/>
                <w:color w:val="000000"/>
                <w:szCs w:val="21"/>
                <w:vertAlign w:val="superscript"/>
              </w:rPr>
              <w:t>2</w:t>
            </w:r>
            <w:r>
              <w:rPr>
                <w:rFonts w:cs="Times New Roman"/>
                <w:color w:val="000000"/>
                <w:szCs w:val="21"/>
              </w:rPr>
              <w:t>)</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1300.73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1300.73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1300.73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1218.72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1218.72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1218.72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铺砖</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82.01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82.01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82.01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砖砌围墙</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圈舍</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90.81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90.81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90.81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护栏</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56.61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56.61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56.61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排碑</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2.24</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2.24</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香炉</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2.59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2.59</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浆砌石基础</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204.42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204.42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204.42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铁门</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遮阴网棚</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213.27</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213.27</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213.27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屋外灶台</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szCs w:val="21"/>
              </w:rPr>
              <w:t>入户道路(m</w:t>
            </w:r>
            <w:r>
              <w:rPr>
                <w:rFonts w:cs="Times New Roman"/>
                <w:color w:val="000000"/>
                <w:szCs w:val="21"/>
                <w:vertAlign w:val="superscript"/>
              </w:rPr>
              <w:t>2</w:t>
            </w:r>
            <w:r>
              <w:rPr>
                <w:rFonts w:cs="Times New Roman"/>
                <w:color w:val="000000"/>
                <w:szCs w:val="21"/>
              </w:rPr>
              <w:t>)</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188.48</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188.48</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188.48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三合土</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86.4</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86.4</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102.08</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102.08</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化粪池</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个</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蜂箱(个)</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600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600</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有蜂</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500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500</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无蜂</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100</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四</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零星树木</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棵</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221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221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杨桃(棵)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葡萄(棵)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枇杷(棵)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杨梅(棵)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树菠萝(棵)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柿子(棵)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沙糖桔(棵)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龙眼(棵)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百香果(棵)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15</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15</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香蕉(棵)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柚子(棵)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黄皮(棵)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番石榴(棵)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桂花(棵)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橄榄(棵)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榆树(棵)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火炬松(棵)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仙人掌(棵)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木棉树(棵)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三角梅(棵)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芙蓉树(棵)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榕树(棵)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杉树(棵)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七里香(棵)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紫薇(棵)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restart"/>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杂树(棵)</w:t>
            </w: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43</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成树</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43</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vMerge w:val="continue"/>
            <w:shd w:val="clear" w:color="auto" w:fill="auto"/>
            <w:noWrap/>
            <w:vAlign w:val="center"/>
          </w:tcPr>
          <w:p>
            <w:pPr>
              <w:jc w:val="center"/>
              <w:rPr>
                <w:rFonts w:cs="Times New Roman"/>
                <w:color w:val="000000"/>
                <w:szCs w:val="21"/>
              </w:rPr>
            </w:pPr>
          </w:p>
        </w:tc>
        <w:tc>
          <w:tcPr>
            <w:tcW w:w="106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幼苗</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五</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坟墓</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1886</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932</w:t>
            </w:r>
          </w:p>
        </w:tc>
        <w:tc>
          <w:tcPr>
            <w:tcW w:w="1336"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735</w:t>
            </w:r>
          </w:p>
        </w:tc>
        <w:tc>
          <w:tcPr>
            <w:tcW w:w="1341"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197</w:t>
            </w: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954</w:t>
            </w:r>
          </w:p>
        </w:tc>
        <w:tc>
          <w:tcPr>
            <w:tcW w:w="1863"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432</w:t>
            </w: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大坟</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447</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260</w:t>
            </w:r>
          </w:p>
        </w:tc>
        <w:tc>
          <w:tcPr>
            <w:tcW w:w="1336"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190</w:t>
            </w:r>
          </w:p>
        </w:tc>
        <w:tc>
          <w:tcPr>
            <w:tcW w:w="1341"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70</w:t>
            </w: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187</w:t>
            </w:r>
          </w:p>
        </w:tc>
        <w:tc>
          <w:tcPr>
            <w:tcW w:w="1863"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57</w:t>
            </w: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中坟</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292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150</w:t>
            </w:r>
          </w:p>
        </w:tc>
        <w:tc>
          <w:tcPr>
            <w:tcW w:w="1336"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125</w:t>
            </w:r>
          </w:p>
        </w:tc>
        <w:tc>
          <w:tcPr>
            <w:tcW w:w="1341"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25</w:t>
            </w: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142</w:t>
            </w:r>
          </w:p>
        </w:tc>
        <w:tc>
          <w:tcPr>
            <w:tcW w:w="1863"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60</w:t>
            </w: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金斗</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1147</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522</w:t>
            </w:r>
          </w:p>
        </w:tc>
        <w:tc>
          <w:tcPr>
            <w:tcW w:w="1336"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420</w:t>
            </w:r>
          </w:p>
        </w:tc>
        <w:tc>
          <w:tcPr>
            <w:tcW w:w="1341"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102</w:t>
            </w: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625</w:t>
            </w:r>
          </w:p>
        </w:tc>
        <w:tc>
          <w:tcPr>
            <w:tcW w:w="1863"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315</w:t>
            </w: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六</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农村小型专项</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灌溉渠道(混凝土)</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3.5</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灌溉渠道(三合土)</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6.5</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拦河坝</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处</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七</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个体工商</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户</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八</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专业项目</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交通</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四级公路</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1.76 </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0.23 </w:t>
            </w:r>
          </w:p>
        </w:tc>
        <w:tc>
          <w:tcPr>
            <w:tcW w:w="1336"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0.23 </w:t>
            </w: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1.53 </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1.53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农村道路</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11.33 </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11.33 </w:t>
            </w:r>
          </w:p>
        </w:tc>
        <w:tc>
          <w:tcPr>
            <w:tcW w:w="1863"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10.33 </w:t>
            </w: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电力</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0.4kV线路</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0.40 </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0.4</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10kV线路</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17.27</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0.97</w:t>
            </w:r>
          </w:p>
        </w:tc>
        <w:tc>
          <w:tcPr>
            <w:tcW w:w="1336"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0.97</w:t>
            </w: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16.3</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35kV线路</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0.80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0.80</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变压器</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座/kVA</w:t>
            </w: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通信</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3.1</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移动</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12芯光缆</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48芯光缆</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3.2</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电信</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12芯光缆</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24芯光缆</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2.80</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0.40</w:t>
            </w:r>
          </w:p>
        </w:tc>
        <w:tc>
          <w:tcPr>
            <w:tcW w:w="1336"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0.40</w:t>
            </w: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2.4</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基站设备</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套</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336"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3.3</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泰源伟业集团</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16芯光缆</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km</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9.32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9.32</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9.32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3.4</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铁塔公司</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铁塔(含设备)</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水电水利设施</w:t>
            </w:r>
          </w:p>
        </w:tc>
        <w:tc>
          <w:tcPr>
            <w:tcW w:w="1065"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4.1</w:t>
            </w: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激石溪老区水电站</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座/kw</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1/1200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0"/>
            <w:vAlign w:val="center"/>
          </w:tcPr>
          <w:p>
            <w:pPr>
              <w:jc w:val="center"/>
              <w:rPr>
                <w:rFonts w:cs="Times New Roman"/>
                <w:color w:val="000000"/>
                <w:szCs w:val="21"/>
              </w:rPr>
            </w:pPr>
          </w:p>
        </w:tc>
        <w:tc>
          <w:tcPr>
            <w:tcW w:w="1341" w:type="dxa"/>
            <w:shd w:val="clear" w:color="auto" w:fill="auto"/>
            <w:noWrap w:val="0"/>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1/1200</w:t>
            </w:r>
          </w:p>
        </w:tc>
        <w:tc>
          <w:tcPr>
            <w:tcW w:w="1863" w:type="dxa"/>
            <w:shd w:val="clear" w:color="auto" w:fill="auto"/>
            <w:noWrap w:val="0"/>
            <w:vAlign w:val="center"/>
          </w:tcPr>
          <w:p>
            <w:pPr>
              <w:jc w:val="center"/>
              <w:rPr>
                <w:rFonts w:cs="Times New Roman"/>
                <w:color w:val="000000"/>
                <w:szCs w:val="21"/>
              </w:rPr>
            </w:pPr>
          </w:p>
        </w:tc>
        <w:tc>
          <w:tcPr>
            <w:tcW w:w="1030"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框架(m</w:t>
            </w:r>
            <w:r>
              <w:rPr>
                <w:rFonts w:cs="Times New Roman"/>
                <w:color w:val="000000"/>
                <w:szCs w:val="21"/>
                <w:vertAlign w:val="superscript"/>
              </w:rPr>
              <w:t>2</w:t>
            </w:r>
            <w:r>
              <w:rPr>
                <w:rFonts w:cs="Times New Roman"/>
                <w:color w:val="000000"/>
                <w:szCs w:val="21"/>
              </w:rPr>
              <w:t>)</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274.95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274.95</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274.95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水泥晒坪(m</w:t>
            </w:r>
            <w:r>
              <w:rPr>
                <w:rFonts w:cs="Times New Roman"/>
                <w:color w:val="000000"/>
                <w:szCs w:val="21"/>
                <w:vertAlign w:val="superscript"/>
              </w:rPr>
              <w:t>2</w:t>
            </w:r>
            <w:r>
              <w:rPr>
                <w:rFonts w:cs="Times New Roman"/>
                <w:color w:val="000000"/>
                <w:szCs w:val="21"/>
              </w:rPr>
              <w:t>)</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542</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542</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542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围墙(m</w:t>
            </w:r>
            <w:r>
              <w:rPr>
                <w:rFonts w:cs="Times New Roman"/>
                <w:color w:val="000000"/>
                <w:szCs w:val="21"/>
                <w:vertAlign w:val="superscript"/>
              </w:rPr>
              <w:t>2</w:t>
            </w:r>
            <w:r>
              <w:rPr>
                <w:rFonts w:cs="Times New Roman"/>
                <w:color w:val="000000"/>
                <w:szCs w:val="21"/>
              </w:rPr>
              <w:t>)</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126.9</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126.9</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126.9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4.2</w:t>
            </w: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三江口水电站</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座/kw</w:t>
            </w:r>
          </w:p>
        </w:tc>
        <w:tc>
          <w:tcPr>
            <w:tcW w:w="1177"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1/3150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1/3150</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1/3150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框架</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324.24</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324.24</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324.24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砖混</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636.44</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636.44</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636.44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水泥晒坪</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861</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861</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861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地砖坪</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585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585</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草地坪</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3018</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3018</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3018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鱼塘</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28</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28</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铁棚</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164.4</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164.4</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164.4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围墙</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800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800</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4.3</w:t>
            </w: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三坑水电站</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座/kw</w:t>
            </w:r>
          </w:p>
        </w:tc>
        <w:tc>
          <w:tcPr>
            <w:tcW w:w="1177"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1/1580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1/1580</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1/1580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框架</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289.6</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289.6</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289.6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4.4</w:t>
            </w: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大沥唇水电站</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座/kw</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1/830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1/830</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1/830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框架</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149.25</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149.25</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149.25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水泥晒坪</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380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380</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380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围墙</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210</w:t>
            </w:r>
          </w:p>
        </w:tc>
        <w:tc>
          <w:tcPr>
            <w:tcW w:w="1177" w:type="dxa"/>
            <w:shd w:val="clear" w:color="auto" w:fill="auto"/>
            <w:noWrap w:val="0"/>
            <w:vAlign w:val="center"/>
          </w:tcPr>
          <w:p>
            <w:pPr>
              <w:jc w:val="center"/>
              <w:rPr>
                <w:rFonts w:cs="Times New Roman"/>
                <w:color w:val="000000"/>
                <w:szCs w:val="21"/>
              </w:rPr>
            </w:pPr>
          </w:p>
        </w:tc>
        <w:tc>
          <w:tcPr>
            <w:tcW w:w="1336" w:type="dxa"/>
            <w:shd w:val="clear" w:color="auto" w:fill="auto"/>
            <w:noWrap/>
            <w:vAlign w:val="center"/>
          </w:tcPr>
          <w:p>
            <w:pPr>
              <w:jc w:val="center"/>
              <w:rPr>
                <w:rFonts w:cs="Times New Roman"/>
                <w:color w:val="000000"/>
                <w:szCs w:val="21"/>
              </w:rPr>
            </w:pP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210</w:t>
            </w: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4.5</w:t>
            </w:r>
          </w:p>
        </w:tc>
        <w:tc>
          <w:tcPr>
            <w:tcW w:w="2469"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坪田水电站</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座/kw</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1/630</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1/630</w:t>
            </w:r>
          </w:p>
        </w:tc>
        <w:tc>
          <w:tcPr>
            <w:tcW w:w="1336"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1/630</w:t>
            </w: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框架</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265.91</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265.91</w:t>
            </w:r>
          </w:p>
        </w:tc>
        <w:tc>
          <w:tcPr>
            <w:tcW w:w="1336"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265.91</w:t>
            </w: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jc w:val="center"/>
        </w:trPr>
        <w:tc>
          <w:tcPr>
            <w:tcW w:w="1024" w:type="dxa"/>
            <w:shd w:val="clear" w:color="auto" w:fill="auto"/>
            <w:noWrap/>
            <w:vAlign w:val="center"/>
          </w:tcPr>
          <w:p>
            <w:pPr>
              <w:jc w:val="center"/>
              <w:rPr>
                <w:rFonts w:cs="Times New Roman"/>
                <w:color w:val="000000"/>
                <w:szCs w:val="21"/>
              </w:rPr>
            </w:pPr>
          </w:p>
        </w:tc>
        <w:tc>
          <w:tcPr>
            <w:tcW w:w="2469"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水泥晒坪</w:t>
            </w:r>
          </w:p>
        </w:tc>
        <w:tc>
          <w:tcPr>
            <w:tcW w:w="1065" w:type="dxa"/>
            <w:shd w:val="clear" w:color="auto" w:fill="auto"/>
            <w:noWrap w:val="0"/>
            <w:vAlign w:val="center"/>
          </w:tcPr>
          <w:p>
            <w:pPr>
              <w:widowControl/>
              <w:jc w:val="center"/>
              <w:textAlignment w:val="center"/>
              <w:rPr>
                <w:rFonts w:cs="Times New Roman"/>
                <w:color w:val="000000"/>
                <w:szCs w:val="21"/>
              </w:rPr>
            </w:pPr>
            <w:r>
              <w:rPr>
                <w:rFonts w:cs="Times New Roman"/>
                <w:color w:val="000000"/>
                <w:szCs w:val="21"/>
              </w:rPr>
              <w:t>m</w:t>
            </w:r>
            <w:r>
              <w:rPr>
                <w:rFonts w:cs="Times New Roman"/>
                <w:color w:val="000000"/>
                <w:szCs w:val="21"/>
                <w:vertAlign w:val="superscript"/>
              </w:rPr>
              <w:t>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441.42</w:t>
            </w:r>
          </w:p>
        </w:tc>
        <w:tc>
          <w:tcPr>
            <w:tcW w:w="1177" w:type="dxa"/>
            <w:shd w:val="clear" w:color="auto" w:fill="auto"/>
            <w:noWrap w:val="0"/>
            <w:vAlign w:val="center"/>
          </w:tcPr>
          <w:p>
            <w:pPr>
              <w:widowControl/>
              <w:jc w:val="center"/>
              <w:textAlignment w:val="center"/>
              <w:rPr>
                <w:rFonts w:cs="Times New Roman"/>
                <w:color w:val="000000"/>
                <w:szCs w:val="21"/>
              </w:rPr>
            </w:pPr>
            <w:r>
              <w:rPr>
                <w:rFonts w:cs="Times New Roman"/>
                <w:color w:val="000000"/>
                <w:kern w:val="0"/>
                <w:szCs w:val="21"/>
                <w:lang w:bidi="ar"/>
              </w:rPr>
              <w:t>441.42</w:t>
            </w:r>
          </w:p>
        </w:tc>
        <w:tc>
          <w:tcPr>
            <w:tcW w:w="1336" w:type="dxa"/>
            <w:shd w:val="clear" w:color="auto" w:fill="auto"/>
            <w:noWrap/>
            <w:vAlign w:val="center"/>
          </w:tcPr>
          <w:p>
            <w:pPr>
              <w:widowControl/>
              <w:jc w:val="center"/>
              <w:textAlignment w:val="center"/>
              <w:rPr>
                <w:rFonts w:cs="Times New Roman"/>
                <w:color w:val="000000"/>
                <w:szCs w:val="21"/>
              </w:rPr>
            </w:pPr>
            <w:r>
              <w:rPr>
                <w:rFonts w:cs="Times New Roman"/>
                <w:color w:val="000000"/>
                <w:kern w:val="0"/>
                <w:szCs w:val="21"/>
                <w:lang w:bidi="ar"/>
              </w:rPr>
              <w:t>441.42</w:t>
            </w:r>
          </w:p>
        </w:tc>
        <w:tc>
          <w:tcPr>
            <w:tcW w:w="1341" w:type="dxa"/>
            <w:shd w:val="clear" w:color="auto" w:fill="auto"/>
            <w:noWrap/>
            <w:vAlign w:val="center"/>
          </w:tcPr>
          <w:p>
            <w:pPr>
              <w:jc w:val="center"/>
              <w:rPr>
                <w:rFonts w:cs="Times New Roman"/>
                <w:color w:val="000000"/>
                <w:szCs w:val="21"/>
              </w:rPr>
            </w:pPr>
          </w:p>
        </w:tc>
        <w:tc>
          <w:tcPr>
            <w:tcW w:w="1175" w:type="dxa"/>
            <w:shd w:val="clear" w:color="auto" w:fill="auto"/>
            <w:noWrap w:val="0"/>
            <w:vAlign w:val="center"/>
          </w:tcPr>
          <w:p>
            <w:pPr>
              <w:jc w:val="center"/>
              <w:rPr>
                <w:rFonts w:cs="Times New Roman"/>
                <w:color w:val="000000"/>
                <w:szCs w:val="21"/>
              </w:rPr>
            </w:pPr>
          </w:p>
        </w:tc>
        <w:tc>
          <w:tcPr>
            <w:tcW w:w="1863" w:type="dxa"/>
            <w:shd w:val="clear" w:color="auto" w:fill="auto"/>
            <w:noWrap/>
            <w:vAlign w:val="center"/>
          </w:tcPr>
          <w:p>
            <w:pPr>
              <w:jc w:val="center"/>
              <w:rPr>
                <w:rFonts w:cs="Times New Roman"/>
                <w:color w:val="000000"/>
                <w:szCs w:val="21"/>
              </w:rPr>
            </w:pPr>
          </w:p>
        </w:tc>
        <w:tc>
          <w:tcPr>
            <w:tcW w:w="1030" w:type="dxa"/>
            <w:shd w:val="clear" w:color="auto" w:fill="auto"/>
            <w:noWrap/>
            <w:vAlign w:val="center"/>
          </w:tcPr>
          <w:p>
            <w:pPr>
              <w:jc w:val="center"/>
              <w:rPr>
                <w:rFonts w:cs="Times New Roman"/>
                <w:color w:val="000000"/>
                <w:szCs w:val="21"/>
              </w:rPr>
            </w:pPr>
          </w:p>
        </w:tc>
      </w:tr>
    </w:tbl>
    <w:p>
      <w:pPr>
        <w:rPr>
          <w:color w:val="000000"/>
        </w:rPr>
        <w:sectPr>
          <w:footerReference r:id="rId32" w:type="default"/>
          <w:pgSz w:w="16838" w:h="11906" w:orient="landscape"/>
          <w:pgMar w:top="1588" w:right="1559" w:bottom="1531" w:left="1559" w:header="1134" w:footer="1247" w:gutter="0"/>
          <w:cols w:space="720" w:num="1"/>
          <w:docGrid w:linePitch="312" w:charSpace="0"/>
        </w:sectPr>
      </w:pP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22" w:name="_Toc85662884"/>
      <w:bookmarkEnd w:id="622"/>
      <w:bookmarkStart w:id="623" w:name="_Toc85662809"/>
      <w:bookmarkEnd w:id="623"/>
      <w:bookmarkStart w:id="624" w:name="_Toc86257967"/>
      <w:bookmarkStart w:id="625" w:name="_Toc90945258"/>
      <w:r>
        <w:rPr>
          <w:rFonts w:ascii="Times New Roman" w:hAnsi="Times New Roman" w:eastAsia="黑体" w:cs="Times New Roman"/>
          <w:bCs/>
          <w:snapToGrid w:val="0"/>
          <w:color w:val="000000"/>
          <w:kern w:val="0"/>
          <w:sz w:val="28"/>
          <w:szCs w:val="28"/>
          <w:lang w:val="en-US" w:eastAsia="zh-CN" w:bidi="ar-SA"/>
        </w:rPr>
        <w:t xml:space="preserve">8.1  </w:t>
      </w:r>
      <w:r>
        <w:rPr>
          <w:rFonts w:ascii="Times New Roman" w:hAnsi="宋体" w:eastAsia="黑体" w:cs="Times New Roman"/>
          <w:bCs/>
          <w:snapToGrid w:val="0"/>
          <w:color w:val="000000"/>
          <w:kern w:val="0"/>
          <w:sz w:val="28"/>
          <w:szCs w:val="28"/>
          <w:lang w:val="en-US" w:eastAsia="zh-CN" w:bidi="ar-SA"/>
        </w:rPr>
        <w:t>土地</w:t>
      </w:r>
      <w:bookmarkEnd w:id="624"/>
      <w:bookmarkEnd w:id="625"/>
    </w:p>
    <w:p>
      <w:pPr>
        <w:adjustRightInd w:val="0"/>
        <w:spacing w:line="480" w:lineRule="exact"/>
        <w:ind w:firstLine="480" w:firstLineChars="200"/>
        <w:rPr>
          <w:rFonts w:hint="eastAsia" w:hAnsi="宋体" w:cs="Times New Roman"/>
          <w:color w:val="000000"/>
          <w:sz w:val="24"/>
          <w:szCs w:val="24"/>
        </w:rPr>
      </w:pPr>
      <w:r>
        <w:rPr>
          <w:rFonts w:hint="eastAsia" w:hAnsi="宋体" w:cs="Times New Roman"/>
          <w:color w:val="000000"/>
          <w:sz w:val="24"/>
          <w:szCs w:val="24"/>
        </w:rPr>
        <w:t>陆河抽水蓄能电站工程建设征地总面积为</w:t>
      </w:r>
      <w:r>
        <w:rPr>
          <w:rFonts w:hAnsi="宋体" w:cs="Times New Roman"/>
          <w:color w:val="000000"/>
          <w:sz w:val="24"/>
          <w:szCs w:val="24"/>
        </w:rPr>
        <w:t>4791.33</w:t>
      </w:r>
      <w:r>
        <w:rPr>
          <w:rFonts w:hint="eastAsia" w:hAnsi="宋体" w:cs="Times New Roman"/>
          <w:color w:val="000000"/>
          <w:sz w:val="24"/>
          <w:szCs w:val="24"/>
        </w:rPr>
        <w:t>亩，其中永久征收面积</w:t>
      </w:r>
      <w:r>
        <w:rPr>
          <w:rFonts w:hAnsi="宋体" w:cs="Times New Roman"/>
          <w:color w:val="000000"/>
          <w:sz w:val="24"/>
          <w:szCs w:val="24"/>
        </w:rPr>
        <w:t>3829.50</w:t>
      </w:r>
      <w:r>
        <w:rPr>
          <w:rFonts w:hint="eastAsia" w:hAnsi="宋体" w:cs="Times New Roman"/>
          <w:color w:val="000000"/>
          <w:sz w:val="24"/>
          <w:szCs w:val="24"/>
        </w:rPr>
        <w:t>亩，临时征用面积</w:t>
      </w:r>
      <w:r>
        <w:rPr>
          <w:rFonts w:hAnsi="宋体" w:cs="Times New Roman"/>
          <w:color w:val="000000"/>
          <w:sz w:val="24"/>
          <w:szCs w:val="24"/>
        </w:rPr>
        <w:t>961.8</w:t>
      </w:r>
      <w:r>
        <w:rPr>
          <w:rFonts w:hint="eastAsia" w:hAnsi="宋体" w:cs="Times New Roman"/>
          <w:color w:val="000000"/>
          <w:sz w:val="24"/>
          <w:szCs w:val="24"/>
        </w:rPr>
        <w:t>3亩。</w:t>
      </w:r>
    </w:p>
    <w:p>
      <w:pPr>
        <w:adjustRightInd w:val="0"/>
        <w:spacing w:line="480" w:lineRule="exact"/>
        <w:ind w:firstLine="496" w:firstLineChars="200"/>
        <w:rPr>
          <w:rFonts w:hint="eastAsia" w:hAnsi="宋体" w:cs="Times New Roman"/>
          <w:color w:val="000000"/>
          <w:spacing w:val="4"/>
          <w:sz w:val="24"/>
          <w:szCs w:val="24"/>
        </w:rPr>
      </w:pPr>
      <w:r>
        <w:rPr>
          <w:rFonts w:hint="eastAsia" w:hAnsi="宋体" w:cs="Times New Roman"/>
          <w:color w:val="000000"/>
          <w:spacing w:val="4"/>
          <w:sz w:val="24"/>
          <w:szCs w:val="24"/>
        </w:rPr>
        <w:t>按建设用地类别划分，枢纽工程建设区征收(用)土地面积为</w:t>
      </w:r>
      <w:r>
        <w:rPr>
          <w:rFonts w:hAnsi="宋体" w:cs="Times New Roman"/>
          <w:color w:val="000000"/>
          <w:spacing w:val="4"/>
          <w:sz w:val="24"/>
          <w:szCs w:val="24"/>
        </w:rPr>
        <w:t>3412.43</w:t>
      </w:r>
      <w:r>
        <w:rPr>
          <w:rFonts w:hint="eastAsia" w:hAnsi="宋体" w:cs="Times New Roman"/>
          <w:color w:val="000000"/>
          <w:spacing w:val="4"/>
          <w:sz w:val="24"/>
          <w:szCs w:val="24"/>
        </w:rPr>
        <w:t>亩，其中永久征地区</w:t>
      </w:r>
      <w:r>
        <w:rPr>
          <w:rFonts w:hAnsi="宋体" w:cs="Times New Roman"/>
          <w:color w:val="000000"/>
          <w:spacing w:val="4"/>
          <w:sz w:val="24"/>
          <w:szCs w:val="24"/>
        </w:rPr>
        <w:t>2450.60</w:t>
      </w:r>
      <w:r>
        <w:rPr>
          <w:rFonts w:hint="eastAsia" w:hAnsi="宋体" w:cs="Times New Roman"/>
          <w:color w:val="000000"/>
          <w:spacing w:val="4"/>
          <w:sz w:val="24"/>
          <w:szCs w:val="24"/>
        </w:rPr>
        <w:t>亩，临时用地区</w:t>
      </w:r>
      <w:r>
        <w:rPr>
          <w:rFonts w:hAnsi="宋体" w:cs="Times New Roman"/>
          <w:color w:val="000000"/>
          <w:spacing w:val="4"/>
          <w:sz w:val="24"/>
          <w:szCs w:val="24"/>
        </w:rPr>
        <w:t>961.8</w:t>
      </w:r>
      <w:r>
        <w:rPr>
          <w:rFonts w:hint="eastAsia" w:hAnsi="宋体" w:cs="Times New Roman"/>
          <w:color w:val="000000"/>
          <w:spacing w:val="4"/>
          <w:sz w:val="24"/>
          <w:szCs w:val="24"/>
        </w:rPr>
        <w:t>3亩；水库淹没区征收(用)土地面积为</w:t>
      </w:r>
      <w:r>
        <w:rPr>
          <w:rFonts w:hAnsi="宋体" w:cs="Times New Roman"/>
          <w:color w:val="000000"/>
          <w:spacing w:val="4"/>
          <w:sz w:val="24"/>
          <w:szCs w:val="24"/>
        </w:rPr>
        <w:t>1378.90</w:t>
      </w:r>
      <w:r>
        <w:rPr>
          <w:rFonts w:hint="eastAsia" w:hAnsi="宋体" w:cs="Times New Roman"/>
          <w:color w:val="000000"/>
          <w:spacing w:val="4"/>
          <w:sz w:val="24"/>
          <w:szCs w:val="24"/>
        </w:rPr>
        <w:t>亩。</w:t>
      </w:r>
    </w:p>
    <w:p>
      <w:pPr>
        <w:adjustRightInd w:val="0"/>
        <w:spacing w:line="480" w:lineRule="exact"/>
        <w:ind w:firstLine="480" w:firstLineChars="200"/>
        <w:rPr>
          <w:rFonts w:hint="eastAsia" w:cs="Times New Roman"/>
          <w:color w:val="000000"/>
          <w:sz w:val="24"/>
          <w:szCs w:val="22"/>
        </w:rPr>
      </w:pPr>
      <w:r>
        <w:rPr>
          <w:rFonts w:hint="eastAsia" w:hAnsi="宋体" w:cs="Times New Roman"/>
          <w:color w:val="000000"/>
          <w:sz w:val="24"/>
          <w:szCs w:val="24"/>
        </w:rPr>
        <w:t>按地类划分，永久征收土地3829.50亩中，耕地500.63亩，园地23.99亩，林地3082.00亩(灌木林地34.05亩，有林地3047.95亩)，草地21.33亩，住宅用地2.48亩，交通运输用地51.22亩，水域及水利设施用地147.84亩；临时征用土地961.83亩中，耕地15.55亩，园地3.68亩，林地932.36亩(均为有林地)，草地0.02亩，交通运输用地10.22亩。</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建设征收</w:t>
      </w:r>
      <w:r>
        <w:rPr>
          <w:rFonts w:ascii="Times New Roman" w:hAnsi="Times New Roman" w:eastAsia="宋体" w:cs="Times New Roman"/>
          <w:color w:val="000000"/>
          <w:kern w:val="2"/>
          <w:sz w:val="24"/>
          <w:szCs w:val="24"/>
          <w:shd w:val="clear" w:color="auto" w:fill="auto"/>
          <w:lang w:val="en-US" w:eastAsia="zh-CN" w:bidi="ar-SA"/>
        </w:rPr>
        <w:t>(</w:t>
      </w:r>
      <w:r>
        <w:rPr>
          <w:rFonts w:ascii="Times New Roman" w:hAnsi="宋体" w:eastAsia="宋体" w:cs="Times New Roman"/>
          <w:color w:val="000000"/>
          <w:kern w:val="2"/>
          <w:sz w:val="24"/>
          <w:szCs w:val="24"/>
          <w:shd w:val="clear" w:color="auto" w:fill="auto"/>
          <w:lang w:val="en-US" w:eastAsia="zh-CN" w:bidi="ar-SA"/>
        </w:rPr>
        <w:t>用</w:t>
      </w:r>
      <w:r>
        <w:rPr>
          <w:rFonts w:ascii="Times New Roman" w:hAnsi="Times New Roman" w:eastAsia="宋体" w:cs="Times New Roman"/>
          <w:color w:val="000000"/>
          <w:kern w:val="2"/>
          <w:sz w:val="24"/>
          <w:szCs w:val="24"/>
          <w:shd w:val="clear" w:color="auto" w:fill="auto"/>
          <w:lang w:val="en-US" w:eastAsia="zh-CN" w:bidi="ar-SA"/>
        </w:rPr>
        <w:t>)</w:t>
      </w:r>
      <w:r>
        <w:rPr>
          <w:rFonts w:ascii="Times New Roman" w:hAnsi="宋体" w:eastAsia="宋体" w:cs="Times New Roman"/>
          <w:color w:val="000000"/>
          <w:kern w:val="2"/>
          <w:sz w:val="24"/>
          <w:szCs w:val="24"/>
          <w:shd w:val="clear" w:color="auto" w:fill="auto"/>
          <w:lang w:val="en-US" w:eastAsia="zh-CN" w:bidi="ar-SA"/>
        </w:rPr>
        <w:t>林地面积最多，占总征地面积的</w:t>
      </w:r>
      <w:r>
        <w:rPr>
          <w:rFonts w:ascii="Times New Roman" w:hAnsi="Times New Roman" w:eastAsia="宋体" w:cs="Times New Roman"/>
          <w:color w:val="000000"/>
          <w:kern w:val="2"/>
          <w:sz w:val="24"/>
          <w:szCs w:val="24"/>
          <w:shd w:val="clear" w:color="auto" w:fill="FFFFFF"/>
          <w:lang w:val="en-US" w:eastAsia="zh-CN" w:bidi="ar-SA"/>
        </w:rPr>
        <w:t>83.78%</w:t>
      </w:r>
      <w:r>
        <w:rPr>
          <w:rFonts w:ascii="Times New Roman" w:hAnsi="宋体" w:eastAsia="宋体" w:cs="Times New Roman"/>
          <w:color w:val="000000"/>
          <w:kern w:val="2"/>
          <w:sz w:val="24"/>
          <w:szCs w:val="24"/>
          <w:shd w:val="clear" w:color="auto" w:fill="auto"/>
          <w:lang w:val="en-US" w:eastAsia="zh-CN" w:bidi="ar-SA"/>
        </w:rPr>
        <w:t>，其次为</w:t>
      </w:r>
      <w:r>
        <w:rPr>
          <w:rFonts w:hint="eastAsia" w:ascii="Times New Roman" w:hAnsi="宋体" w:eastAsia="宋体" w:cs="Times New Roman"/>
          <w:color w:val="000000"/>
          <w:kern w:val="2"/>
          <w:sz w:val="24"/>
          <w:szCs w:val="24"/>
          <w:shd w:val="clear" w:color="auto" w:fill="auto"/>
          <w:lang w:val="en-US" w:eastAsia="zh-CN" w:bidi="ar-SA"/>
        </w:rPr>
        <w:t>耕</w:t>
      </w:r>
      <w:r>
        <w:rPr>
          <w:rFonts w:ascii="Times New Roman" w:hAnsi="宋体" w:eastAsia="宋体" w:cs="Times New Roman"/>
          <w:color w:val="000000"/>
          <w:kern w:val="2"/>
          <w:sz w:val="24"/>
          <w:szCs w:val="24"/>
          <w:shd w:val="clear" w:color="auto" w:fill="auto"/>
          <w:lang w:val="en-US" w:eastAsia="zh-CN" w:bidi="ar-SA"/>
        </w:rPr>
        <w:t>地、</w:t>
      </w:r>
      <w:r>
        <w:rPr>
          <w:rFonts w:hint="eastAsia" w:ascii="Times New Roman" w:hAnsi="宋体" w:eastAsia="宋体" w:cs="Times New Roman"/>
          <w:color w:val="000000"/>
          <w:kern w:val="2"/>
          <w:sz w:val="24"/>
          <w:szCs w:val="24"/>
          <w:shd w:val="clear" w:color="auto" w:fill="auto"/>
          <w:lang w:val="en-US" w:eastAsia="zh-CN" w:bidi="ar-SA"/>
        </w:rPr>
        <w:t>水域及水利设施用地和交通运输用</w:t>
      </w:r>
      <w:r>
        <w:rPr>
          <w:rFonts w:ascii="Times New Roman" w:hAnsi="宋体" w:eastAsia="宋体" w:cs="Times New Roman"/>
          <w:color w:val="000000"/>
          <w:kern w:val="2"/>
          <w:sz w:val="24"/>
          <w:szCs w:val="24"/>
          <w:shd w:val="clear" w:color="auto" w:fill="auto"/>
          <w:lang w:val="en-US" w:eastAsia="zh-CN" w:bidi="ar-SA"/>
        </w:rPr>
        <w:t>地，分别占比</w:t>
      </w:r>
      <w:r>
        <w:rPr>
          <w:rFonts w:ascii="Times New Roman" w:hAnsi="Times New Roman" w:eastAsia="宋体" w:cs="Times New Roman"/>
          <w:color w:val="000000"/>
          <w:kern w:val="2"/>
          <w:sz w:val="24"/>
          <w:szCs w:val="24"/>
          <w:shd w:val="clear" w:color="auto" w:fill="FFFFFF"/>
          <w:lang w:val="en-US" w:eastAsia="zh-CN" w:bidi="ar-SA"/>
        </w:rPr>
        <w:t>10.77%</w:t>
      </w:r>
      <w:r>
        <w:rPr>
          <w:rFonts w:ascii="Times New Roman" w:hAnsi="宋体" w:eastAsia="宋体" w:cs="Times New Roman"/>
          <w:color w:val="000000"/>
          <w:kern w:val="2"/>
          <w:sz w:val="24"/>
          <w:szCs w:val="24"/>
          <w:shd w:val="clear" w:color="auto" w:fill="auto"/>
          <w:lang w:val="en-US" w:eastAsia="zh-CN" w:bidi="ar-SA"/>
        </w:rPr>
        <w:t>、3.09%和</w:t>
      </w:r>
      <w:r>
        <w:rPr>
          <w:rFonts w:ascii="Times New Roman" w:hAnsi="Times New Roman" w:eastAsia="宋体" w:cs="Times New Roman"/>
          <w:color w:val="000000"/>
          <w:kern w:val="2"/>
          <w:sz w:val="24"/>
          <w:szCs w:val="24"/>
          <w:shd w:val="clear" w:color="auto" w:fill="auto"/>
          <w:lang w:val="en-US" w:eastAsia="zh-CN" w:bidi="ar-SA"/>
        </w:rPr>
        <w:t>1.28%</w:t>
      </w:r>
      <w:r>
        <w:rPr>
          <w:rFonts w:ascii="Times New Roman" w:hAnsi="宋体" w:eastAsia="宋体" w:cs="Times New Roman"/>
          <w:color w:val="000000"/>
          <w:kern w:val="2"/>
          <w:sz w:val="24"/>
          <w:szCs w:val="24"/>
          <w:shd w:val="clear" w:color="auto" w:fill="auto"/>
          <w:lang w:val="en-US" w:eastAsia="zh-CN" w:bidi="ar-SA"/>
        </w:rPr>
        <w:t>，其他各类土地较少，合计占比为</w:t>
      </w:r>
      <w:r>
        <w:rPr>
          <w:rFonts w:ascii="Times New Roman" w:hAnsi="Times New Roman" w:eastAsia="宋体" w:cs="Times New Roman"/>
          <w:color w:val="000000"/>
          <w:kern w:val="2"/>
          <w:sz w:val="24"/>
          <w:szCs w:val="24"/>
          <w:shd w:val="clear" w:color="auto" w:fill="auto"/>
          <w:lang w:val="en-US" w:eastAsia="zh-CN" w:bidi="ar-SA"/>
        </w:rPr>
        <w:t>1.07%</w:t>
      </w:r>
      <w:r>
        <w:rPr>
          <w:rFonts w:ascii="Times New Roman" w:hAnsi="宋体" w:eastAsia="宋体" w:cs="Times New Roman"/>
          <w:color w:val="000000"/>
          <w:kern w:val="2"/>
          <w:sz w:val="24"/>
          <w:szCs w:val="24"/>
          <w:shd w:val="clear" w:color="auto" w:fill="auto"/>
          <w:lang w:val="en-US" w:eastAsia="zh-CN" w:bidi="ar-SA"/>
        </w:rPr>
        <w:t>。按建设征地区土地汇总成果详见表</w:t>
      </w:r>
      <w:r>
        <w:rPr>
          <w:rFonts w:ascii="Times New Roman" w:hAnsi="Times New Roman" w:eastAsia="宋体" w:cs="Times New Roman"/>
          <w:color w:val="000000"/>
          <w:kern w:val="2"/>
          <w:sz w:val="24"/>
          <w:szCs w:val="24"/>
          <w:shd w:val="clear" w:color="auto" w:fill="auto"/>
          <w:lang w:val="en-US" w:eastAsia="zh-CN" w:bidi="ar-SA"/>
        </w:rPr>
        <w:t>8.1-1</w:t>
      </w:r>
      <w:r>
        <w:rPr>
          <w:rFonts w:ascii="Times New Roman" w:hAnsi="宋体" w:eastAsia="宋体" w:cs="Times New Roman"/>
          <w:color w:val="000000"/>
          <w:kern w:val="2"/>
          <w:sz w:val="24"/>
          <w:szCs w:val="24"/>
          <w:shd w:val="clear" w:color="auto" w:fill="auto"/>
          <w:lang w:val="en-US" w:eastAsia="zh-CN" w:bidi="ar-SA"/>
        </w:rPr>
        <w:t>。</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Times New Roman" w:eastAsia="宋体" w:cs="Times New Roman"/>
          <w:color w:val="000000"/>
          <w:kern w:val="2"/>
          <w:sz w:val="24"/>
          <w:szCs w:val="24"/>
          <w:shd w:val="clear" w:color="auto" w:fill="auto"/>
          <w:lang w:val="en-US" w:eastAsia="zh-CN" w:bidi="ar-SA"/>
        </w:rPr>
        <w:t xml:space="preserve">a) </w:t>
      </w:r>
      <w:r>
        <w:rPr>
          <w:rFonts w:ascii="Times New Roman" w:hAnsi="宋体" w:eastAsia="宋体" w:cs="Times New Roman"/>
          <w:color w:val="000000"/>
          <w:kern w:val="2"/>
          <w:sz w:val="24"/>
          <w:szCs w:val="24"/>
          <w:shd w:val="clear" w:color="auto" w:fill="auto"/>
          <w:lang w:val="en-US" w:eastAsia="zh-CN" w:bidi="ar-SA"/>
        </w:rPr>
        <w:t>枢纽工程建设区临时用地区</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枢纽工程建设区临时征用土地面积为</w:t>
      </w:r>
      <w:r>
        <w:rPr>
          <w:rFonts w:ascii="Times New Roman" w:hAnsi="Times New Roman" w:eastAsia="宋体" w:cs="Times New Roman"/>
          <w:color w:val="000000"/>
          <w:kern w:val="2"/>
          <w:sz w:val="24"/>
          <w:szCs w:val="24"/>
          <w:shd w:val="clear" w:color="auto" w:fill="auto"/>
          <w:lang w:val="en-US" w:eastAsia="zh-CN" w:bidi="ar-SA"/>
        </w:rPr>
        <w:t>961.8</w:t>
      </w:r>
      <w:r>
        <w:rPr>
          <w:rFonts w:hint="eastAsia" w:ascii="Times New Roman" w:hAnsi="Times New Roman" w:eastAsia="宋体" w:cs="Times New Roman"/>
          <w:color w:val="000000"/>
          <w:kern w:val="2"/>
          <w:sz w:val="24"/>
          <w:szCs w:val="24"/>
          <w:shd w:val="clear" w:color="auto" w:fill="auto"/>
          <w:lang w:val="en-US" w:eastAsia="zh-CN" w:bidi="ar-SA"/>
        </w:rPr>
        <w:t>3</w:t>
      </w:r>
      <w:r>
        <w:rPr>
          <w:rFonts w:ascii="Times New Roman" w:hAnsi="宋体" w:eastAsia="宋体" w:cs="Times New Roman"/>
          <w:color w:val="000000"/>
          <w:kern w:val="2"/>
          <w:sz w:val="24"/>
          <w:szCs w:val="24"/>
          <w:shd w:val="clear" w:color="auto" w:fill="auto"/>
          <w:lang w:val="en-US" w:eastAsia="zh-CN" w:bidi="ar-SA"/>
        </w:rPr>
        <w:t>亩，其中耕地面积为</w:t>
      </w:r>
      <w:r>
        <w:rPr>
          <w:rFonts w:ascii="Times New Roman" w:hAnsi="Times New Roman" w:eastAsia="宋体" w:cs="Times New Roman"/>
          <w:color w:val="000000"/>
          <w:kern w:val="2"/>
          <w:sz w:val="24"/>
          <w:szCs w:val="24"/>
          <w:shd w:val="clear" w:color="auto" w:fill="auto"/>
          <w:lang w:val="en-US" w:eastAsia="zh-CN" w:bidi="ar-SA"/>
        </w:rPr>
        <w:t>15.55</w:t>
      </w:r>
      <w:r>
        <w:rPr>
          <w:rFonts w:ascii="Times New Roman" w:hAnsi="宋体" w:eastAsia="宋体" w:cs="Times New Roman"/>
          <w:color w:val="000000"/>
          <w:kern w:val="2"/>
          <w:sz w:val="24"/>
          <w:szCs w:val="24"/>
          <w:shd w:val="clear" w:color="auto" w:fill="auto"/>
          <w:lang w:val="en-US" w:eastAsia="zh-CN" w:bidi="ar-SA"/>
        </w:rPr>
        <w:t>亩，园地面积</w:t>
      </w:r>
      <w:r>
        <w:rPr>
          <w:rFonts w:ascii="Times New Roman" w:hAnsi="Times New Roman" w:eastAsia="宋体" w:cs="Times New Roman"/>
          <w:color w:val="000000"/>
          <w:kern w:val="2"/>
          <w:sz w:val="24"/>
          <w:szCs w:val="24"/>
          <w:shd w:val="clear" w:color="auto" w:fill="auto"/>
          <w:lang w:val="en-US" w:eastAsia="zh-CN" w:bidi="ar-SA"/>
        </w:rPr>
        <w:t>3.68</w:t>
      </w:r>
      <w:r>
        <w:rPr>
          <w:rFonts w:ascii="Times New Roman" w:hAnsi="宋体" w:eastAsia="宋体" w:cs="Times New Roman"/>
          <w:color w:val="000000"/>
          <w:kern w:val="2"/>
          <w:sz w:val="24"/>
          <w:szCs w:val="24"/>
          <w:shd w:val="clear" w:color="auto" w:fill="auto"/>
          <w:lang w:val="en-US" w:eastAsia="zh-CN" w:bidi="ar-SA"/>
        </w:rPr>
        <w:t>亩，林地面积</w:t>
      </w:r>
      <w:r>
        <w:rPr>
          <w:rFonts w:ascii="Times New Roman" w:hAnsi="Times New Roman" w:eastAsia="宋体" w:cs="Times New Roman"/>
          <w:color w:val="000000"/>
          <w:kern w:val="2"/>
          <w:sz w:val="24"/>
          <w:szCs w:val="24"/>
          <w:shd w:val="clear" w:color="auto" w:fill="FFFFFF"/>
          <w:lang w:val="en-US" w:eastAsia="zh-CN" w:bidi="ar-SA"/>
        </w:rPr>
        <w:t>932.36</w:t>
      </w:r>
      <w:r>
        <w:rPr>
          <w:rFonts w:ascii="Times New Roman" w:hAnsi="宋体" w:eastAsia="宋体" w:cs="Times New Roman"/>
          <w:color w:val="000000"/>
          <w:kern w:val="2"/>
          <w:sz w:val="24"/>
          <w:szCs w:val="24"/>
          <w:shd w:val="clear" w:color="auto" w:fill="auto"/>
          <w:lang w:val="en-US" w:eastAsia="zh-CN" w:bidi="ar-SA"/>
        </w:rPr>
        <w:t>亩</w:t>
      </w:r>
      <w:r>
        <w:rPr>
          <w:rFonts w:hint="eastAsia" w:ascii="Times New Roman" w:hAnsi="宋体" w:eastAsia="宋体" w:cs="Times New Roman"/>
          <w:color w:val="000000"/>
          <w:kern w:val="2"/>
          <w:sz w:val="24"/>
          <w:szCs w:val="24"/>
          <w:shd w:val="clear" w:color="auto" w:fill="auto"/>
          <w:lang w:val="en-US" w:eastAsia="zh-CN" w:bidi="ar-SA"/>
        </w:rPr>
        <w:t>，草地面积0</w:t>
      </w:r>
      <w:r>
        <w:rPr>
          <w:rFonts w:ascii="Times New Roman" w:hAnsi="宋体" w:eastAsia="宋体" w:cs="Times New Roman"/>
          <w:color w:val="000000"/>
          <w:kern w:val="2"/>
          <w:sz w:val="24"/>
          <w:szCs w:val="24"/>
          <w:shd w:val="clear" w:color="auto" w:fill="auto"/>
          <w:lang w:val="en-US" w:eastAsia="zh-CN" w:bidi="ar-SA"/>
        </w:rPr>
        <w:t>.</w:t>
      </w:r>
      <w:r>
        <w:rPr>
          <w:rFonts w:hint="eastAsia" w:ascii="Times New Roman" w:hAnsi="宋体" w:eastAsia="宋体" w:cs="Times New Roman"/>
          <w:color w:val="000000"/>
          <w:kern w:val="2"/>
          <w:sz w:val="24"/>
          <w:szCs w:val="24"/>
          <w:shd w:val="clear" w:color="auto" w:fill="auto"/>
          <w:lang w:val="en-US" w:eastAsia="zh-CN" w:bidi="ar-SA"/>
        </w:rPr>
        <w:t>0</w:t>
      </w:r>
      <w:r>
        <w:rPr>
          <w:rFonts w:ascii="Times New Roman" w:hAnsi="宋体" w:eastAsia="宋体" w:cs="Times New Roman"/>
          <w:color w:val="000000"/>
          <w:kern w:val="2"/>
          <w:sz w:val="24"/>
          <w:szCs w:val="24"/>
          <w:shd w:val="clear" w:color="auto" w:fill="auto"/>
          <w:lang w:val="en-US" w:eastAsia="zh-CN" w:bidi="ar-SA"/>
        </w:rPr>
        <w:t>2</w:t>
      </w:r>
      <w:r>
        <w:rPr>
          <w:rFonts w:hint="eastAsia" w:ascii="Times New Roman" w:hAnsi="宋体" w:eastAsia="宋体" w:cs="Times New Roman"/>
          <w:color w:val="000000"/>
          <w:kern w:val="2"/>
          <w:sz w:val="24"/>
          <w:szCs w:val="24"/>
          <w:shd w:val="clear" w:color="auto" w:fill="auto"/>
          <w:lang w:val="en-US" w:eastAsia="zh-CN" w:bidi="ar-SA"/>
        </w:rPr>
        <w:t>亩，</w:t>
      </w:r>
      <w:r>
        <w:rPr>
          <w:rFonts w:ascii="Times New Roman" w:hAnsi="宋体" w:eastAsia="宋体" w:cs="Times New Roman"/>
          <w:color w:val="000000"/>
          <w:kern w:val="2"/>
          <w:sz w:val="24"/>
          <w:szCs w:val="24"/>
          <w:shd w:val="clear" w:color="auto" w:fill="auto"/>
          <w:lang w:val="en-US" w:eastAsia="zh-CN" w:bidi="ar-SA"/>
        </w:rPr>
        <w:t>交通运输用地</w:t>
      </w:r>
      <w:r>
        <w:rPr>
          <w:rFonts w:hint="eastAsia" w:ascii="Times New Roman" w:hAnsi="宋体" w:eastAsia="宋体" w:cs="Times New Roman"/>
          <w:color w:val="000000"/>
          <w:kern w:val="2"/>
          <w:sz w:val="24"/>
          <w:szCs w:val="24"/>
          <w:shd w:val="clear" w:color="auto" w:fill="auto"/>
          <w:lang w:val="en-US" w:eastAsia="zh-CN" w:bidi="ar-SA"/>
        </w:rPr>
        <w:t>面积</w:t>
      </w:r>
      <w:r>
        <w:rPr>
          <w:rFonts w:ascii="Times New Roman" w:hAnsi="Times New Roman" w:eastAsia="宋体" w:cs="Times New Roman"/>
          <w:color w:val="000000"/>
          <w:kern w:val="2"/>
          <w:sz w:val="24"/>
          <w:szCs w:val="24"/>
          <w:shd w:val="clear" w:color="auto" w:fill="auto"/>
          <w:lang w:val="en-US" w:eastAsia="zh-CN" w:bidi="ar-SA"/>
        </w:rPr>
        <w:t>10.22</w:t>
      </w:r>
      <w:r>
        <w:rPr>
          <w:rFonts w:ascii="Times New Roman" w:hAnsi="宋体" w:eastAsia="宋体" w:cs="Times New Roman"/>
          <w:color w:val="000000"/>
          <w:kern w:val="2"/>
          <w:sz w:val="24"/>
          <w:szCs w:val="24"/>
          <w:shd w:val="clear" w:color="auto" w:fill="auto"/>
          <w:lang w:val="en-US" w:eastAsia="zh-CN" w:bidi="ar-SA"/>
        </w:rPr>
        <w:t>亩。</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Times New Roman" w:eastAsia="宋体" w:cs="Times New Roman"/>
          <w:color w:val="000000"/>
          <w:kern w:val="2"/>
          <w:sz w:val="24"/>
          <w:szCs w:val="24"/>
          <w:shd w:val="clear" w:color="auto" w:fill="auto"/>
          <w:lang w:val="en-US" w:eastAsia="zh-CN" w:bidi="ar-SA"/>
        </w:rPr>
        <w:t xml:space="preserve">b) </w:t>
      </w:r>
      <w:r>
        <w:rPr>
          <w:rFonts w:ascii="Times New Roman" w:hAnsi="宋体" w:eastAsia="宋体" w:cs="Times New Roman"/>
          <w:color w:val="000000"/>
          <w:kern w:val="2"/>
          <w:sz w:val="24"/>
          <w:szCs w:val="24"/>
          <w:shd w:val="clear" w:color="auto" w:fill="auto"/>
          <w:lang w:val="en-US" w:eastAsia="zh-CN" w:bidi="ar-SA"/>
        </w:rPr>
        <w:t>枢纽工程建设区永久占地区</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枢</w:t>
      </w:r>
      <w:r>
        <w:rPr>
          <w:rFonts w:ascii="Times New Roman" w:hAnsi="宋体" w:eastAsia="宋体" w:cs="Times New Roman"/>
          <w:color w:val="000000"/>
          <w:spacing w:val="6"/>
          <w:kern w:val="2"/>
          <w:sz w:val="24"/>
          <w:szCs w:val="24"/>
          <w:shd w:val="clear" w:color="auto" w:fill="auto"/>
          <w:lang w:val="en-US" w:eastAsia="zh-CN" w:bidi="ar-SA"/>
        </w:rPr>
        <w:t>纽工程建设区永久征收土地面积为</w:t>
      </w:r>
      <w:r>
        <w:rPr>
          <w:rFonts w:ascii="Times New Roman" w:hAnsi="Times New Roman" w:eastAsia="宋体" w:cs="Times New Roman"/>
          <w:color w:val="000000"/>
          <w:spacing w:val="6"/>
          <w:kern w:val="2"/>
          <w:sz w:val="24"/>
          <w:szCs w:val="24"/>
          <w:shd w:val="clear" w:color="auto" w:fill="auto"/>
          <w:lang w:val="en-US" w:eastAsia="zh-CN" w:bidi="ar-SA"/>
        </w:rPr>
        <w:t>2450.</w:t>
      </w:r>
      <w:r>
        <w:rPr>
          <w:rFonts w:hint="eastAsia" w:ascii="Times New Roman" w:hAnsi="Times New Roman" w:eastAsia="宋体" w:cs="Times New Roman"/>
          <w:color w:val="000000"/>
          <w:spacing w:val="6"/>
          <w:kern w:val="2"/>
          <w:sz w:val="24"/>
          <w:szCs w:val="24"/>
          <w:shd w:val="clear" w:color="auto" w:fill="auto"/>
          <w:lang w:val="en-US" w:eastAsia="zh-CN" w:bidi="ar-SA"/>
        </w:rPr>
        <w:t>6</w:t>
      </w:r>
      <w:r>
        <w:rPr>
          <w:rFonts w:ascii="Times New Roman" w:hAnsi="Times New Roman" w:eastAsia="宋体" w:cs="Times New Roman"/>
          <w:color w:val="000000"/>
          <w:spacing w:val="6"/>
          <w:kern w:val="2"/>
          <w:sz w:val="24"/>
          <w:szCs w:val="24"/>
          <w:shd w:val="clear" w:color="auto" w:fill="auto"/>
          <w:lang w:val="en-US" w:eastAsia="zh-CN" w:bidi="ar-SA"/>
        </w:rPr>
        <w:t>0</w:t>
      </w:r>
      <w:r>
        <w:rPr>
          <w:rFonts w:ascii="Times New Roman" w:hAnsi="宋体" w:eastAsia="宋体" w:cs="Times New Roman"/>
          <w:color w:val="000000"/>
          <w:spacing w:val="6"/>
          <w:kern w:val="2"/>
          <w:sz w:val="24"/>
          <w:szCs w:val="24"/>
          <w:shd w:val="clear" w:color="auto" w:fill="auto"/>
          <w:lang w:val="en-US" w:eastAsia="zh-CN" w:bidi="ar-SA"/>
        </w:rPr>
        <w:t>亩，其中耕地面积为</w:t>
      </w:r>
      <w:r>
        <w:rPr>
          <w:rFonts w:ascii="Times New Roman" w:hAnsi="Times New Roman" w:eastAsia="宋体" w:cs="Times New Roman"/>
          <w:color w:val="000000"/>
          <w:spacing w:val="6"/>
          <w:kern w:val="2"/>
          <w:sz w:val="24"/>
          <w:szCs w:val="24"/>
          <w:shd w:val="clear" w:color="auto" w:fill="auto"/>
          <w:lang w:val="en-US" w:eastAsia="zh-CN" w:bidi="ar-SA"/>
        </w:rPr>
        <w:t>206.92</w:t>
      </w:r>
      <w:r>
        <w:rPr>
          <w:rFonts w:ascii="Times New Roman" w:hAnsi="宋体" w:eastAsia="宋体" w:cs="Times New Roman"/>
          <w:color w:val="000000"/>
          <w:spacing w:val="6"/>
          <w:kern w:val="2"/>
          <w:sz w:val="24"/>
          <w:szCs w:val="24"/>
          <w:shd w:val="clear" w:color="auto" w:fill="auto"/>
          <w:lang w:val="en-US" w:eastAsia="zh-CN" w:bidi="ar-SA"/>
        </w:rPr>
        <w:t>亩，</w:t>
      </w:r>
      <w:r>
        <w:rPr>
          <w:rFonts w:ascii="Times New Roman" w:hAnsi="宋体" w:eastAsia="宋体" w:cs="Times New Roman"/>
          <w:color w:val="000000"/>
          <w:kern w:val="2"/>
          <w:sz w:val="24"/>
          <w:szCs w:val="24"/>
          <w:shd w:val="clear" w:color="auto" w:fill="auto"/>
          <w:lang w:val="en-US" w:eastAsia="zh-CN" w:bidi="ar-SA"/>
        </w:rPr>
        <w:t>园地面积</w:t>
      </w:r>
      <w:r>
        <w:rPr>
          <w:rFonts w:ascii="Times New Roman" w:hAnsi="Times New Roman" w:eastAsia="宋体" w:cs="Times New Roman"/>
          <w:color w:val="000000"/>
          <w:kern w:val="2"/>
          <w:sz w:val="24"/>
          <w:szCs w:val="24"/>
          <w:shd w:val="clear" w:color="auto" w:fill="auto"/>
          <w:lang w:val="en-US" w:eastAsia="zh-CN" w:bidi="ar-SA"/>
        </w:rPr>
        <w:t>15.98</w:t>
      </w:r>
      <w:r>
        <w:rPr>
          <w:rFonts w:ascii="Times New Roman" w:hAnsi="宋体" w:eastAsia="宋体" w:cs="Times New Roman"/>
          <w:color w:val="000000"/>
          <w:kern w:val="2"/>
          <w:sz w:val="24"/>
          <w:szCs w:val="24"/>
          <w:shd w:val="clear" w:color="auto" w:fill="auto"/>
          <w:lang w:val="en-US" w:eastAsia="zh-CN" w:bidi="ar-SA"/>
        </w:rPr>
        <w:t>亩，林地面积</w:t>
      </w:r>
      <w:r>
        <w:rPr>
          <w:rFonts w:ascii="Times New Roman" w:hAnsi="Times New Roman" w:eastAsia="宋体" w:cs="Times New Roman"/>
          <w:color w:val="000000"/>
          <w:kern w:val="2"/>
          <w:sz w:val="24"/>
          <w:szCs w:val="24"/>
          <w:shd w:val="clear" w:color="auto" w:fill="auto"/>
          <w:lang w:val="en-US" w:eastAsia="zh-CN" w:bidi="ar-SA"/>
        </w:rPr>
        <w:t>2195.91</w:t>
      </w:r>
      <w:r>
        <w:rPr>
          <w:rFonts w:ascii="Times New Roman" w:hAnsi="宋体" w:eastAsia="宋体" w:cs="Times New Roman"/>
          <w:color w:val="000000"/>
          <w:kern w:val="2"/>
          <w:sz w:val="24"/>
          <w:szCs w:val="24"/>
          <w:shd w:val="clear" w:color="auto" w:fill="auto"/>
          <w:lang w:val="en-US" w:eastAsia="zh-CN" w:bidi="ar-SA"/>
        </w:rPr>
        <w:t>亩，草地面积</w:t>
      </w:r>
      <w:r>
        <w:rPr>
          <w:rFonts w:ascii="Times New Roman" w:hAnsi="Times New Roman" w:eastAsia="宋体" w:cs="Times New Roman"/>
          <w:color w:val="000000"/>
          <w:kern w:val="2"/>
          <w:sz w:val="24"/>
          <w:szCs w:val="24"/>
          <w:shd w:val="clear" w:color="auto" w:fill="auto"/>
          <w:lang w:val="en-US" w:eastAsia="zh-CN" w:bidi="ar-SA"/>
        </w:rPr>
        <w:t>2.26</w:t>
      </w:r>
      <w:r>
        <w:rPr>
          <w:rFonts w:ascii="Times New Roman" w:hAnsi="宋体" w:eastAsia="宋体" w:cs="Times New Roman"/>
          <w:color w:val="000000"/>
          <w:kern w:val="2"/>
          <w:sz w:val="24"/>
          <w:szCs w:val="24"/>
          <w:shd w:val="clear" w:color="auto" w:fill="auto"/>
          <w:lang w:val="en-US" w:eastAsia="zh-CN" w:bidi="ar-SA"/>
        </w:rPr>
        <w:t>亩，住宅用地面积</w:t>
      </w:r>
      <w:r>
        <w:rPr>
          <w:rFonts w:ascii="Times New Roman" w:hAnsi="Times New Roman" w:eastAsia="宋体" w:cs="Times New Roman"/>
          <w:color w:val="000000"/>
          <w:kern w:val="2"/>
          <w:sz w:val="24"/>
          <w:szCs w:val="24"/>
          <w:shd w:val="clear" w:color="auto" w:fill="auto"/>
          <w:lang w:val="en-US" w:eastAsia="zh-CN" w:bidi="ar-SA"/>
        </w:rPr>
        <w:t>0.60</w:t>
      </w:r>
      <w:r>
        <w:rPr>
          <w:rFonts w:ascii="Times New Roman" w:hAnsi="宋体" w:eastAsia="宋体" w:cs="Times New Roman"/>
          <w:color w:val="000000"/>
          <w:kern w:val="2"/>
          <w:sz w:val="24"/>
          <w:szCs w:val="24"/>
          <w:shd w:val="clear" w:color="auto" w:fill="auto"/>
          <w:lang w:val="en-US" w:eastAsia="zh-CN" w:bidi="ar-SA"/>
        </w:rPr>
        <w:t>亩，交通运输用地</w:t>
      </w:r>
      <w:r>
        <w:rPr>
          <w:rFonts w:ascii="Times New Roman" w:hAnsi="Times New Roman" w:eastAsia="宋体" w:cs="Times New Roman"/>
          <w:color w:val="000000"/>
          <w:kern w:val="2"/>
          <w:sz w:val="24"/>
          <w:szCs w:val="24"/>
          <w:shd w:val="clear" w:color="auto" w:fill="auto"/>
          <w:lang w:val="en-US" w:eastAsia="zh-CN" w:bidi="ar-SA"/>
        </w:rPr>
        <w:t>19.46</w:t>
      </w:r>
      <w:r>
        <w:rPr>
          <w:rFonts w:ascii="Times New Roman" w:hAnsi="宋体" w:eastAsia="宋体" w:cs="Times New Roman"/>
          <w:color w:val="000000"/>
          <w:kern w:val="2"/>
          <w:sz w:val="24"/>
          <w:szCs w:val="24"/>
          <w:shd w:val="clear" w:color="auto" w:fill="auto"/>
          <w:lang w:val="en-US" w:eastAsia="zh-CN" w:bidi="ar-SA"/>
        </w:rPr>
        <w:t>亩，水域及水利设施用地</w:t>
      </w:r>
      <w:r>
        <w:rPr>
          <w:rFonts w:ascii="Times New Roman" w:hAnsi="Times New Roman" w:eastAsia="宋体" w:cs="Times New Roman"/>
          <w:color w:val="000000"/>
          <w:kern w:val="2"/>
          <w:sz w:val="24"/>
          <w:szCs w:val="24"/>
          <w:shd w:val="clear" w:color="auto" w:fill="auto"/>
          <w:lang w:val="en-US" w:eastAsia="zh-CN" w:bidi="ar-SA"/>
        </w:rPr>
        <w:t>9.47</w:t>
      </w:r>
      <w:r>
        <w:rPr>
          <w:rFonts w:ascii="Times New Roman" w:hAnsi="宋体" w:eastAsia="宋体" w:cs="Times New Roman"/>
          <w:color w:val="000000"/>
          <w:kern w:val="2"/>
          <w:sz w:val="24"/>
          <w:szCs w:val="24"/>
          <w:shd w:val="clear" w:color="auto" w:fill="auto"/>
          <w:lang w:val="en-US" w:eastAsia="zh-CN" w:bidi="ar-SA"/>
        </w:rPr>
        <w:t>亩。</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Times New Roman" w:eastAsia="宋体" w:cs="Times New Roman"/>
          <w:color w:val="000000"/>
          <w:kern w:val="2"/>
          <w:sz w:val="24"/>
          <w:szCs w:val="24"/>
          <w:shd w:val="clear" w:color="auto" w:fill="auto"/>
          <w:lang w:val="en-US" w:eastAsia="zh-CN" w:bidi="ar-SA"/>
        </w:rPr>
        <w:t xml:space="preserve">c) </w:t>
      </w:r>
      <w:r>
        <w:rPr>
          <w:rFonts w:ascii="Times New Roman" w:hAnsi="宋体" w:eastAsia="宋体" w:cs="Times New Roman"/>
          <w:color w:val="000000"/>
          <w:kern w:val="2"/>
          <w:sz w:val="24"/>
          <w:szCs w:val="24"/>
          <w:shd w:val="clear" w:color="auto" w:fill="auto"/>
          <w:lang w:val="en-US" w:eastAsia="zh-CN" w:bidi="ar-SA"/>
        </w:rPr>
        <w:t>水库淹没区</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auto"/>
          <w:lang w:val="en-US" w:eastAsia="zh-CN" w:bidi="ar-SA"/>
        </w:rPr>
        <w:t>水库淹没区征收土地面积为</w:t>
      </w:r>
      <w:r>
        <w:rPr>
          <w:rFonts w:ascii="Times New Roman" w:hAnsi="Times New Roman" w:eastAsia="宋体" w:cs="Times New Roman"/>
          <w:color w:val="000000"/>
          <w:kern w:val="2"/>
          <w:sz w:val="24"/>
          <w:szCs w:val="24"/>
          <w:shd w:val="clear" w:color="auto" w:fill="auto"/>
          <w:lang w:val="en-US" w:eastAsia="zh-CN" w:bidi="ar-SA"/>
        </w:rPr>
        <w:t>1378.9</w:t>
      </w:r>
      <w:r>
        <w:rPr>
          <w:rFonts w:ascii="Times New Roman" w:hAnsi="宋体" w:eastAsia="宋体" w:cs="Times New Roman"/>
          <w:color w:val="000000"/>
          <w:kern w:val="2"/>
          <w:sz w:val="24"/>
          <w:szCs w:val="24"/>
          <w:shd w:val="clear" w:color="auto" w:fill="auto"/>
          <w:lang w:val="en-US" w:eastAsia="zh-CN" w:bidi="ar-SA"/>
        </w:rPr>
        <w:t>亩，其中耕地</w:t>
      </w:r>
      <w:r>
        <w:rPr>
          <w:rFonts w:ascii="Times New Roman" w:hAnsi="Times New Roman" w:eastAsia="宋体" w:cs="Times New Roman"/>
          <w:color w:val="000000"/>
          <w:kern w:val="2"/>
          <w:sz w:val="24"/>
          <w:szCs w:val="24"/>
          <w:shd w:val="clear" w:color="auto" w:fill="auto"/>
          <w:lang w:val="en-US" w:eastAsia="zh-CN" w:bidi="ar-SA"/>
        </w:rPr>
        <w:t>293.71</w:t>
      </w:r>
      <w:r>
        <w:rPr>
          <w:rFonts w:ascii="Times New Roman" w:hAnsi="宋体" w:eastAsia="宋体" w:cs="Times New Roman"/>
          <w:color w:val="000000"/>
          <w:kern w:val="2"/>
          <w:sz w:val="24"/>
          <w:szCs w:val="24"/>
          <w:shd w:val="clear" w:color="auto" w:fill="auto"/>
          <w:lang w:val="en-US" w:eastAsia="zh-CN" w:bidi="ar-SA"/>
        </w:rPr>
        <w:t>亩，园地面积</w:t>
      </w:r>
      <w:r>
        <w:rPr>
          <w:rFonts w:ascii="Times New Roman" w:hAnsi="Times New Roman" w:eastAsia="宋体" w:cs="Times New Roman"/>
          <w:color w:val="000000"/>
          <w:kern w:val="2"/>
          <w:sz w:val="24"/>
          <w:szCs w:val="24"/>
          <w:shd w:val="clear" w:color="auto" w:fill="auto"/>
          <w:lang w:val="en-US" w:eastAsia="zh-CN" w:bidi="ar-SA"/>
        </w:rPr>
        <w:t>8.01</w:t>
      </w:r>
      <w:r>
        <w:rPr>
          <w:rFonts w:ascii="Times New Roman" w:hAnsi="宋体" w:eastAsia="宋体" w:cs="Times New Roman"/>
          <w:color w:val="000000"/>
          <w:kern w:val="2"/>
          <w:sz w:val="24"/>
          <w:szCs w:val="24"/>
          <w:shd w:val="clear" w:color="auto" w:fill="auto"/>
          <w:lang w:val="en-US" w:eastAsia="zh-CN" w:bidi="ar-SA"/>
        </w:rPr>
        <w:t>亩，林地面积</w:t>
      </w:r>
      <w:r>
        <w:rPr>
          <w:rFonts w:ascii="Times New Roman" w:hAnsi="Times New Roman" w:eastAsia="宋体" w:cs="Times New Roman"/>
          <w:color w:val="000000"/>
          <w:kern w:val="2"/>
          <w:sz w:val="24"/>
          <w:szCs w:val="24"/>
          <w:shd w:val="clear" w:color="auto" w:fill="auto"/>
          <w:lang w:val="en-US" w:eastAsia="zh-CN" w:bidi="ar-SA"/>
        </w:rPr>
        <w:t>886.09</w:t>
      </w:r>
      <w:r>
        <w:rPr>
          <w:rFonts w:ascii="Times New Roman" w:hAnsi="宋体" w:eastAsia="宋体" w:cs="Times New Roman"/>
          <w:color w:val="000000"/>
          <w:kern w:val="2"/>
          <w:sz w:val="24"/>
          <w:szCs w:val="24"/>
          <w:shd w:val="clear" w:color="auto" w:fill="auto"/>
          <w:lang w:val="en-US" w:eastAsia="zh-CN" w:bidi="ar-SA"/>
        </w:rPr>
        <w:t>亩，草地面积</w:t>
      </w:r>
      <w:r>
        <w:rPr>
          <w:rFonts w:ascii="Times New Roman" w:hAnsi="Times New Roman" w:eastAsia="宋体" w:cs="Times New Roman"/>
          <w:color w:val="000000"/>
          <w:kern w:val="2"/>
          <w:sz w:val="24"/>
          <w:szCs w:val="24"/>
          <w:shd w:val="clear" w:color="auto" w:fill="auto"/>
          <w:lang w:val="en-US" w:eastAsia="zh-CN" w:bidi="ar-SA"/>
        </w:rPr>
        <w:t>19.08</w:t>
      </w:r>
      <w:r>
        <w:rPr>
          <w:rFonts w:ascii="Times New Roman" w:hAnsi="宋体" w:eastAsia="宋体" w:cs="Times New Roman"/>
          <w:color w:val="000000"/>
          <w:kern w:val="2"/>
          <w:sz w:val="24"/>
          <w:szCs w:val="24"/>
          <w:shd w:val="clear" w:color="auto" w:fill="auto"/>
          <w:lang w:val="en-US" w:eastAsia="zh-CN" w:bidi="ar-SA"/>
        </w:rPr>
        <w:t>亩，住宅用地面积</w:t>
      </w:r>
      <w:r>
        <w:rPr>
          <w:rFonts w:ascii="Times New Roman" w:hAnsi="Times New Roman" w:eastAsia="宋体" w:cs="Times New Roman"/>
          <w:color w:val="000000"/>
          <w:kern w:val="2"/>
          <w:sz w:val="24"/>
          <w:szCs w:val="24"/>
          <w:shd w:val="clear" w:color="auto" w:fill="auto"/>
          <w:lang w:val="en-US" w:eastAsia="zh-CN" w:bidi="ar-SA"/>
        </w:rPr>
        <w:t>1.88</w:t>
      </w:r>
      <w:r>
        <w:rPr>
          <w:rFonts w:ascii="Times New Roman" w:hAnsi="宋体" w:eastAsia="宋体" w:cs="Times New Roman"/>
          <w:color w:val="000000"/>
          <w:kern w:val="2"/>
          <w:sz w:val="24"/>
          <w:szCs w:val="24"/>
          <w:shd w:val="clear" w:color="auto" w:fill="auto"/>
          <w:lang w:val="en-US" w:eastAsia="zh-CN" w:bidi="ar-SA"/>
        </w:rPr>
        <w:t>亩，交通运输用地</w:t>
      </w:r>
      <w:r>
        <w:rPr>
          <w:rFonts w:ascii="Times New Roman" w:hAnsi="Times New Roman" w:eastAsia="宋体" w:cs="Times New Roman"/>
          <w:color w:val="000000"/>
          <w:kern w:val="2"/>
          <w:sz w:val="24"/>
          <w:szCs w:val="24"/>
          <w:shd w:val="clear" w:color="auto" w:fill="auto"/>
          <w:lang w:val="en-US" w:eastAsia="zh-CN" w:bidi="ar-SA"/>
        </w:rPr>
        <w:t>31.7</w:t>
      </w:r>
      <w:r>
        <w:rPr>
          <w:rFonts w:hint="eastAsia" w:ascii="Times New Roman" w:hAnsi="Times New Roman" w:eastAsia="宋体" w:cs="Times New Roman"/>
          <w:color w:val="000000"/>
          <w:kern w:val="2"/>
          <w:sz w:val="24"/>
          <w:szCs w:val="24"/>
          <w:shd w:val="clear" w:color="auto" w:fill="auto"/>
          <w:lang w:val="en-US" w:eastAsia="zh-CN" w:bidi="ar-SA"/>
        </w:rPr>
        <w:t>6</w:t>
      </w:r>
      <w:r>
        <w:rPr>
          <w:rFonts w:ascii="Times New Roman" w:hAnsi="宋体" w:eastAsia="宋体" w:cs="Times New Roman"/>
          <w:color w:val="000000"/>
          <w:kern w:val="2"/>
          <w:sz w:val="24"/>
          <w:szCs w:val="24"/>
          <w:shd w:val="clear" w:color="auto" w:fill="auto"/>
          <w:lang w:val="en-US" w:eastAsia="zh-CN" w:bidi="ar-SA"/>
        </w:rPr>
        <w:t>亩，水域及水利设施用地</w:t>
      </w:r>
      <w:r>
        <w:rPr>
          <w:rFonts w:ascii="Times New Roman" w:hAnsi="Times New Roman" w:eastAsia="宋体" w:cs="Times New Roman"/>
          <w:color w:val="000000"/>
          <w:kern w:val="2"/>
          <w:sz w:val="24"/>
          <w:szCs w:val="24"/>
          <w:shd w:val="clear" w:color="auto" w:fill="auto"/>
          <w:lang w:val="en-US" w:eastAsia="zh-CN" w:bidi="ar-SA"/>
        </w:rPr>
        <w:t>138.37</w:t>
      </w:r>
      <w:r>
        <w:rPr>
          <w:rFonts w:ascii="Times New Roman" w:hAnsi="宋体" w:eastAsia="宋体" w:cs="Times New Roman"/>
          <w:color w:val="000000"/>
          <w:kern w:val="2"/>
          <w:sz w:val="24"/>
          <w:szCs w:val="24"/>
          <w:shd w:val="clear" w:color="auto" w:fill="auto"/>
          <w:lang w:val="en-US" w:eastAsia="zh-CN" w:bidi="ar-SA"/>
        </w:rPr>
        <w:t>亩。</w:t>
      </w:r>
    </w:p>
    <w:p>
      <w:pPr>
        <w:overflowPunct w:val="0"/>
        <w:autoSpaceDE w:val="0"/>
        <w:autoSpaceDN w:val="0"/>
        <w:snapToGrid w:val="0"/>
        <w:spacing w:line="360" w:lineRule="auto"/>
        <w:rPr>
          <w:rFonts w:cs="Times New Roman"/>
          <w:color w:val="000000"/>
          <w:sz w:val="24"/>
          <w:szCs w:val="21"/>
        </w:rPr>
      </w:pPr>
    </w:p>
    <w:p>
      <w:pPr>
        <w:overflowPunct w:val="0"/>
        <w:autoSpaceDE w:val="0"/>
        <w:autoSpaceDN w:val="0"/>
        <w:snapToGrid w:val="0"/>
        <w:spacing w:line="360" w:lineRule="auto"/>
        <w:rPr>
          <w:color w:val="000000"/>
          <w:sz w:val="24"/>
          <w:szCs w:val="21"/>
        </w:rPr>
        <w:sectPr>
          <w:footerReference r:id="rId33" w:type="default"/>
          <w:pgSz w:w="11906" w:h="16838"/>
          <w:pgMar w:top="1588" w:right="1559" w:bottom="1531" w:left="1559" w:header="1134" w:footer="1247" w:gutter="0"/>
          <w:cols w:space="720" w:num="1"/>
          <w:docGrid w:linePitch="312" w:charSpace="0"/>
        </w:sectPr>
      </w:pPr>
    </w:p>
    <w:p>
      <w:pPr>
        <w:widowControl w:val="0"/>
        <w:spacing w:line="480" w:lineRule="exact"/>
        <w:jc w:val="center"/>
        <w:rPr>
          <w:rFonts w:ascii="Times New Roman" w:hAnsi="宋体" w:eastAsia="黑体" w:cs="Times New Roman"/>
          <w:w w:val="98"/>
          <w:kern w:val="0"/>
          <w:sz w:val="18"/>
          <w:szCs w:val="18"/>
          <w:lang w:val="en-US" w:eastAsia="zh-CN" w:bidi="ar-SA"/>
        </w:rPr>
      </w:pPr>
      <w:r>
        <w:rPr>
          <w:rFonts w:hint="eastAsia" w:ascii="Times New Roman" w:hAnsi="Times New Roman" w:eastAsia="黑体" w:cs="Times New Roman"/>
          <w:kern w:val="0"/>
          <w:sz w:val="24"/>
          <w:szCs w:val="22"/>
          <w:lang w:val="en-US" w:eastAsia="zh-CN" w:bidi="ar-SA"/>
        </w:rPr>
        <w:t>表</w:t>
      </w:r>
      <w:r>
        <w:rPr>
          <w:rFonts w:ascii="Times New Roman" w:hAnsi="Times New Roman" w:eastAsia="黑体" w:cs="Times New Roman"/>
          <w:kern w:val="0"/>
          <w:sz w:val="24"/>
          <w:szCs w:val="22"/>
          <w:lang w:val="en-US" w:eastAsia="zh-CN" w:bidi="ar-SA"/>
        </w:rPr>
        <w:t xml:space="preserve">8.1-1  </w:t>
      </w:r>
      <w:r>
        <w:rPr>
          <w:rFonts w:hint="eastAsia" w:ascii="Times New Roman" w:hAnsi="Times New Roman" w:eastAsia="黑体" w:cs="Times New Roman"/>
          <w:kern w:val="2"/>
          <w:sz w:val="24"/>
          <w:szCs w:val="22"/>
          <w:lang w:val="en-US" w:eastAsia="zh-CN" w:bidi="ar-SA"/>
        </w:rPr>
        <w:t>陆河</w:t>
      </w:r>
      <w:r>
        <w:rPr>
          <w:rFonts w:hint="eastAsia" w:ascii="Times New Roman" w:hAnsi="Times New Roman" w:eastAsia="黑体" w:cs="Times New Roman"/>
          <w:kern w:val="0"/>
          <w:sz w:val="24"/>
          <w:szCs w:val="22"/>
          <w:lang w:val="en-US" w:eastAsia="zh-CN" w:bidi="ar-SA"/>
        </w:rPr>
        <w:t>抽水蓄能电站土地指标汇总表</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0"/>
        <w:gridCol w:w="1669"/>
        <w:gridCol w:w="1363"/>
        <w:gridCol w:w="1363"/>
        <w:gridCol w:w="1363"/>
        <w:gridCol w:w="1363"/>
        <w:gridCol w:w="1374"/>
        <w:gridCol w:w="1363"/>
        <w:gridCol w:w="1364"/>
        <w:gridCol w:w="13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序号</w:t>
            </w:r>
          </w:p>
        </w:tc>
        <w:tc>
          <w:tcPr>
            <w:tcW w:w="1669"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项     目</w:t>
            </w:r>
          </w:p>
        </w:tc>
        <w:tc>
          <w:tcPr>
            <w:tcW w:w="1363"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单位</w:t>
            </w:r>
          </w:p>
        </w:tc>
        <w:tc>
          <w:tcPr>
            <w:tcW w:w="1363"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合计</w:t>
            </w:r>
          </w:p>
        </w:tc>
        <w:tc>
          <w:tcPr>
            <w:tcW w:w="4100" w:type="dxa"/>
            <w:gridSpan w:val="3"/>
            <w:noWrap w:val="0"/>
            <w:vAlign w:val="center"/>
          </w:tcPr>
          <w:p>
            <w:pPr>
              <w:widowControl/>
              <w:jc w:val="center"/>
              <w:textAlignment w:val="center"/>
              <w:rPr>
                <w:rFonts w:cs="Times New Roman"/>
                <w:color w:val="000000"/>
                <w:szCs w:val="21"/>
              </w:rPr>
            </w:pPr>
            <w:r>
              <w:rPr>
                <w:rFonts w:cs="Times New Roman"/>
                <w:color w:val="000000"/>
                <w:kern w:val="0"/>
                <w:szCs w:val="21"/>
                <w:lang w:bidi="ar"/>
              </w:rPr>
              <w:t>枢纽工程建设区</w:t>
            </w:r>
          </w:p>
        </w:tc>
        <w:tc>
          <w:tcPr>
            <w:tcW w:w="4102" w:type="dxa"/>
            <w:gridSpan w:val="3"/>
            <w:noWrap w:val="0"/>
            <w:vAlign w:val="center"/>
          </w:tcPr>
          <w:p>
            <w:pPr>
              <w:widowControl/>
              <w:jc w:val="center"/>
              <w:textAlignment w:val="center"/>
              <w:rPr>
                <w:rFonts w:cs="Times New Roman"/>
                <w:color w:val="000000"/>
                <w:szCs w:val="21"/>
              </w:rPr>
            </w:pPr>
            <w:r>
              <w:rPr>
                <w:rFonts w:cs="Times New Roman"/>
                <w:color w:val="000000"/>
                <w:kern w:val="0"/>
                <w:szCs w:val="21"/>
                <w:lang w:bidi="ar"/>
              </w:rPr>
              <w:t>水库淹没影响区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vMerge w:val="continue"/>
            <w:noWrap w:val="0"/>
            <w:vAlign w:val="center"/>
          </w:tcPr>
          <w:p>
            <w:pPr>
              <w:jc w:val="center"/>
              <w:rPr>
                <w:rFonts w:cs="Times New Roman"/>
                <w:color w:val="000000"/>
                <w:szCs w:val="21"/>
              </w:rPr>
            </w:pPr>
          </w:p>
        </w:tc>
        <w:tc>
          <w:tcPr>
            <w:tcW w:w="1669" w:type="dxa"/>
            <w:vMerge w:val="continue"/>
            <w:noWrap w:val="0"/>
            <w:vAlign w:val="center"/>
          </w:tcPr>
          <w:p>
            <w:pPr>
              <w:jc w:val="center"/>
              <w:rPr>
                <w:rFonts w:cs="Times New Roman"/>
                <w:color w:val="000000"/>
                <w:szCs w:val="21"/>
              </w:rPr>
            </w:pPr>
          </w:p>
        </w:tc>
        <w:tc>
          <w:tcPr>
            <w:tcW w:w="1363" w:type="dxa"/>
            <w:vMerge w:val="continue"/>
            <w:noWrap w:val="0"/>
            <w:vAlign w:val="center"/>
          </w:tcPr>
          <w:p>
            <w:pPr>
              <w:jc w:val="center"/>
              <w:rPr>
                <w:rFonts w:cs="Times New Roman"/>
                <w:color w:val="000000"/>
                <w:szCs w:val="21"/>
              </w:rPr>
            </w:pPr>
          </w:p>
        </w:tc>
        <w:tc>
          <w:tcPr>
            <w:tcW w:w="1363" w:type="dxa"/>
            <w:vMerge w:val="continue"/>
            <w:noWrap w:val="0"/>
            <w:vAlign w:val="center"/>
          </w:tcPr>
          <w:p>
            <w:pPr>
              <w:jc w:val="center"/>
              <w:rPr>
                <w:rFonts w:cs="Times New Roman"/>
                <w:color w:val="000000"/>
                <w:szCs w:val="21"/>
              </w:rPr>
            </w:pP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永久占地</w:t>
            </w:r>
          </w:p>
        </w:tc>
        <w:tc>
          <w:tcPr>
            <w:tcW w:w="137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临时用地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364"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上水库</w:t>
            </w:r>
          </w:p>
          <w:p>
            <w:pPr>
              <w:widowControl/>
              <w:jc w:val="center"/>
              <w:textAlignment w:val="center"/>
              <w:rPr>
                <w:rFonts w:cs="Times New Roman"/>
                <w:color w:val="000000"/>
                <w:szCs w:val="21"/>
              </w:rPr>
            </w:pPr>
            <w:r>
              <w:rPr>
                <w:rFonts w:cs="Times New Roman"/>
                <w:color w:val="000000"/>
                <w:kern w:val="0"/>
                <w:szCs w:val="21"/>
                <w:lang w:bidi="ar"/>
              </w:rPr>
              <w:t>淹没区</w:t>
            </w:r>
          </w:p>
        </w:tc>
        <w:tc>
          <w:tcPr>
            <w:tcW w:w="1375"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下水库</w:t>
            </w:r>
          </w:p>
          <w:p>
            <w:pPr>
              <w:widowControl/>
              <w:jc w:val="center"/>
              <w:textAlignment w:val="center"/>
              <w:rPr>
                <w:rFonts w:cs="Times New Roman"/>
                <w:color w:val="000000"/>
                <w:szCs w:val="21"/>
              </w:rPr>
            </w:pPr>
            <w:r>
              <w:rPr>
                <w:rFonts w:cs="Times New Roman"/>
                <w:color w:val="000000"/>
                <w:kern w:val="0"/>
                <w:szCs w:val="21"/>
                <w:lang w:bidi="ar"/>
              </w:rPr>
              <w:t>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一</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土地面积</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4791.33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3412.43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2450.60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961.83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1378.90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872.79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506.11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陆地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4643.49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3402.96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2441.13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961.83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1240.53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765.92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474.61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水域</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147.84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138.37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106.87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ign w:val="center"/>
          </w:tcPr>
          <w:p>
            <w:pPr>
              <w:widowControl/>
              <w:jc w:val="center"/>
              <w:textAlignment w:val="center"/>
              <w:rPr>
                <w:rFonts w:cs="Times New Roman"/>
                <w:color w:val="000000"/>
                <w:szCs w:val="21"/>
              </w:rPr>
            </w:pPr>
            <w:r>
              <w:rPr>
                <w:rFonts w:cs="Times New Roman"/>
                <w:color w:val="000000"/>
                <w:kern w:val="0"/>
                <w:szCs w:val="21"/>
                <w:lang w:bidi="ar"/>
              </w:rPr>
              <w:t>(一)</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农用地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4791.33 </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3412.43 </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2450.60 </w:t>
            </w:r>
          </w:p>
        </w:tc>
        <w:tc>
          <w:tcPr>
            <w:tcW w:w="137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961.83 </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1378.90 </w:t>
            </w:r>
          </w:p>
        </w:tc>
        <w:tc>
          <w:tcPr>
            <w:tcW w:w="136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872.79 </w:t>
            </w:r>
          </w:p>
        </w:tc>
        <w:tc>
          <w:tcPr>
            <w:tcW w:w="13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 xml:space="preserve">506.11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耕地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516.19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222.47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206.92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15.55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293.71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151.28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142.43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365.28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168.40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152.86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xml:space="preserve">15.54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196.88 </w:t>
            </w:r>
          </w:p>
        </w:tc>
        <w:tc>
          <w:tcPr>
            <w:tcW w:w="136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xml:space="preserve">79.09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117.79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旱地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150.90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54.08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54.06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0.02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96.83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72.19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24.64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园地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27.67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19.66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15.98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3.68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8.01 </w:t>
            </w:r>
          </w:p>
        </w:tc>
        <w:tc>
          <w:tcPr>
            <w:tcW w:w="136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8.01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果园</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19.95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18.57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14.89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3.68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1.39 </w:t>
            </w:r>
          </w:p>
        </w:tc>
        <w:tc>
          <w:tcPr>
            <w:tcW w:w="136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1.39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茶园</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7.72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1.09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1.09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6.62 </w:t>
            </w:r>
          </w:p>
        </w:tc>
        <w:tc>
          <w:tcPr>
            <w:tcW w:w="136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6.62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林地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4014.36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3128.27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2195.91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932.36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886.09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579.60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306.49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有林地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3980.31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3124.90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2192.54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932.36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855.41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549.25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306.16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灌木林地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34.05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3.37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3.37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30.68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30.35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0.33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草地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21.35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2.28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2.26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0.02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19.08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14.75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4.33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其他草地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21.35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2.28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2.26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0.02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19.08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14.75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4.33 </w:t>
            </w:r>
          </w:p>
        </w:tc>
      </w:tr>
    </w:tbl>
    <w:p>
      <w:pPr>
        <w:widowControl w:val="0"/>
        <w:spacing w:line="480" w:lineRule="exact"/>
        <w:jc w:val="center"/>
        <w:rPr>
          <w:rFonts w:hint="eastAsia" w:ascii="Times New Roman" w:hAnsi="宋体" w:eastAsia="黑体" w:cs="Times New Roman"/>
          <w:w w:val="98"/>
          <w:kern w:val="0"/>
          <w:sz w:val="18"/>
          <w:szCs w:val="18"/>
          <w:lang w:val="en-US" w:eastAsia="zh-CN" w:bidi="ar-SA"/>
        </w:rPr>
      </w:pPr>
      <w:r>
        <w:rPr>
          <w:rFonts w:hint="eastAsia" w:ascii="Times New Roman" w:hAnsi="Times New Roman" w:eastAsia="黑体" w:cs="Times New Roman"/>
          <w:kern w:val="0"/>
          <w:sz w:val="24"/>
          <w:szCs w:val="22"/>
          <w:lang w:val="en-US" w:eastAsia="zh-CN" w:bidi="ar-SA"/>
        </w:rPr>
        <w:t>表</w:t>
      </w:r>
      <w:r>
        <w:rPr>
          <w:rFonts w:ascii="Times New Roman" w:hAnsi="Times New Roman" w:eastAsia="黑体" w:cs="Times New Roman"/>
          <w:kern w:val="0"/>
          <w:sz w:val="24"/>
          <w:szCs w:val="22"/>
          <w:lang w:val="en-US" w:eastAsia="zh-CN" w:bidi="ar-SA"/>
        </w:rPr>
        <w:t>8.1-1</w:t>
      </w:r>
      <w:r>
        <w:rPr>
          <w:rFonts w:hint="eastAsia" w:ascii="Times New Roman" w:hAnsi="Times New Roman" w:eastAsia="黑体" w:cs="Times New Roman"/>
          <w:kern w:val="0"/>
          <w:sz w:val="24"/>
          <w:szCs w:val="22"/>
          <w:lang w:val="en-US" w:eastAsia="zh-CN" w:bidi="ar-SA"/>
        </w:rPr>
        <w:t>(续)</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0"/>
        <w:gridCol w:w="1669"/>
        <w:gridCol w:w="1363"/>
        <w:gridCol w:w="1363"/>
        <w:gridCol w:w="1363"/>
        <w:gridCol w:w="1363"/>
        <w:gridCol w:w="1374"/>
        <w:gridCol w:w="1363"/>
        <w:gridCol w:w="1364"/>
        <w:gridCol w:w="13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序号</w:t>
            </w:r>
          </w:p>
        </w:tc>
        <w:tc>
          <w:tcPr>
            <w:tcW w:w="1669"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项     目</w:t>
            </w:r>
          </w:p>
        </w:tc>
        <w:tc>
          <w:tcPr>
            <w:tcW w:w="1363"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单位</w:t>
            </w:r>
          </w:p>
        </w:tc>
        <w:tc>
          <w:tcPr>
            <w:tcW w:w="1363"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合计</w:t>
            </w:r>
          </w:p>
        </w:tc>
        <w:tc>
          <w:tcPr>
            <w:tcW w:w="4100" w:type="dxa"/>
            <w:gridSpan w:val="3"/>
            <w:noWrap w:val="0"/>
            <w:vAlign w:val="center"/>
          </w:tcPr>
          <w:p>
            <w:pPr>
              <w:widowControl/>
              <w:jc w:val="center"/>
              <w:textAlignment w:val="center"/>
              <w:rPr>
                <w:rFonts w:cs="Times New Roman"/>
                <w:color w:val="000000"/>
                <w:szCs w:val="21"/>
              </w:rPr>
            </w:pPr>
            <w:r>
              <w:rPr>
                <w:rFonts w:cs="Times New Roman"/>
                <w:color w:val="000000"/>
                <w:kern w:val="0"/>
                <w:szCs w:val="21"/>
                <w:lang w:bidi="ar"/>
              </w:rPr>
              <w:t>枢纽工程建设区</w:t>
            </w:r>
          </w:p>
        </w:tc>
        <w:tc>
          <w:tcPr>
            <w:tcW w:w="4102" w:type="dxa"/>
            <w:gridSpan w:val="3"/>
            <w:noWrap w:val="0"/>
            <w:vAlign w:val="center"/>
          </w:tcPr>
          <w:p>
            <w:pPr>
              <w:widowControl/>
              <w:jc w:val="center"/>
              <w:textAlignment w:val="center"/>
              <w:rPr>
                <w:rFonts w:cs="Times New Roman"/>
                <w:color w:val="000000"/>
                <w:szCs w:val="21"/>
              </w:rPr>
            </w:pPr>
            <w:r>
              <w:rPr>
                <w:rFonts w:cs="Times New Roman"/>
                <w:color w:val="000000"/>
                <w:kern w:val="0"/>
                <w:szCs w:val="21"/>
                <w:lang w:bidi="ar"/>
              </w:rPr>
              <w:t>水库淹没影响区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vMerge w:val="continue"/>
            <w:noWrap w:val="0"/>
            <w:vAlign w:val="center"/>
          </w:tcPr>
          <w:p>
            <w:pPr>
              <w:jc w:val="center"/>
              <w:rPr>
                <w:rFonts w:cs="Times New Roman"/>
                <w:color w:val="000000"/>
                <w:szCs w:val="21"/>
              </w:rPr>
            </w:pPr>
          </w:p>
        </w:tc>
        <w:tc>
          <w:tcPr>
            <w:tcW w:w="1669" w:type="dxa"/>
            <w:vMerge w:val="continue"/>
            <w:noWrap w:val="0"/>
            <w:vAlign w:val="center"/>
          </w:tcPr>
          <w:p>
            <w:pPr>
              <w:jc w:val="center"/>
              <w:rPr>
                <w:rFonts w:cs="Times New Roman"/>
                <w:color w:val="000000"/>
                <w:szCs w:val="21"/>
              </w:rPr>
            </w:pPr>
          </w:p>
        </w:tc>
        <w:tc>
          <w:tcPr>
            <w:tcW w:w="1363" w:type="dxa"/>
            <w:vMerge w:val="continue"/>
            <w:noWrap w:val="0"/>
            <w:vAlign w:val="center"/>
          </w:tcPr>
          <w:p>
            <w:pPr>
              <w:jc w:val="center"/>
              <w:rPr>
                <w:rFonts w:cs="Times New Roman"/>
                <w:color w:val="000000"/>
                <w:szCs w:val="21"/>
              </w:rPr>
            </w:pPr>
          </w:p>
        </w:tc>
        <w:tc>
          <w:tcPr>
            <w:tcW w:w="1363" w:type="dxa"/>
            <w:vMerge w:val="continue"/>
            <w:noWrap w:val="0"/>
            <w:vAlign w:val="center"/>
          </w:tcPr>
          <w:p>
            <w:pPr>
              <w:jc w:val="center"/>
              <w:rPr>
                <w:rFonts w:cs="Times New Roman"/>
                <w:color w:val="000000"/>
                <w:szCs w:val="21"/>
              </w:rPr>
            </w:pP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永久占地</w:t>
            </w:r>
          </w:p>
        </w:tc>
        <w:tc>
          <w:tcPr>
            <w:tcW w:w="137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临时用地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1364"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上水库</w:t>
            </w:r>
          </w:p>
          <w:p>
            <w:pPr>
              <w:widowControl/>
              <w:jc w:val="center"/>
              <w:textAlignment w:val="center"/>
              <w:rPr>
                <w:rFonts w:cs="Times New Roman"/>
                <w:color w:val="000000"/>
                <w:szCs w:val="21"/>
              </w:rPr>
            </w:pPr>
            <w:r>
              <w:rPr>
                <w:rFonts w:cs="Times New Roman"/>
                <w:color w:val="000000"/>
                <w:kern w:val="0"/>
                <w:szCs w:val="21"/>
                <w:lang w:bidi="ar"/>
              </w:rPr>
              <w:t>淹没区</w:t>
            </w:r>
          </w:p>
        </w:tc>
        <w:tc>
          <w:tcPr>
            <w:tcW w:w="1375"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下水库</w:t>
            </w:r>
          </w:p>
          <w:p>
            <w:pPr>
              <w:widowControl/>
              <w:jc w:val="center"/>
              <w:textAlignment w:val="center"/>
              <w:rPr>
                <w:rFonts w:cs="Times New Roman"/>
                <w:color w:val="000000"/>
                <w:szCs w:val="21"/>
              </w:rPr>
            </w:pPr>
            <w:r>
              <w:rPr>
                <w:rFonts w:cs="Times New Roman"/>
                <w:color w:val="000000"/>
                <w:kern w:val="0"/>
                <w:szCs w:val="21"/>
                <w:lang w:bidi="ar"/>
              </w:rPr>
              <w:t>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住宅用地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2.48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0.60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0.60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1.88 </w:t>
            </w:r>
          </w:p>
        </w:tc>
        <w:tc>
          <w:tcPr>
            <w:tcW w:w="136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1.88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农村宅基地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2.48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0.60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0.60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1.88 </w:t>
            </w:r>
          </w:p>
        </w:tc>
        <w:tc>
          <w:tcPr>
            <w:tcW w:w="136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1.88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交通运输用地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61.43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29.67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19.46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10.22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31.76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20.29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11.47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公路用地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10.45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4.75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4.75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5.70 </w:t>
            </w:r>
          </w:p>
        </w:tc>
        <w:tc>
          <w:tcPr>
            <w:tcW w:w="136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农村道路</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50.98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24.92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14.71 </w:t>
            </w:r>
          </w:p>
        </w:tc>
        <w:tc>
          <w:tcPr>
            <w:tcW w:w="137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10.22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26.06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20.29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5.77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水域及水利设施用地</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147.84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138.37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106.87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31.50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河流水面</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32.14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22.67 </w:t>
            </w:r>
          </w:p>
        </w:tc>
        <w:tc>
          <w:tcPr>
            <w:tcW w:w="136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22.67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noWrap w:val="0"/>
            <w:vAlign w:val="center"/>
          </w:tcPr>
          <w:p>
            <w:pPr>
              <w:jc w:val="center"/>
              <w:rPr>
                <w:rFonts w:cs="Times New Roman"/>
                <w:color w:val="000000"/>
                <w:szCs w:val="21"/>
              </w:rPr>
            </w:pPr>
          </w:p>
        </w:tc>
        <w:tc>
          <w:tcPr>
            <w:tcW w:w="1669"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水库水面</w:t>
            </w:r>
          </w:p>
        </w:tc>
        <w:tc>
          <w:tcPr>
            <w:tcW w:w="136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99.79 </w:t>
            </w:r>
          </w:p>
        </w:tc>
        <w:tc>
          <w:tcPr>
            <w:tcW w:w="13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99.79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99.79 </w:t>
            </w:r>
          </w:p>
        </w:tc>
        <w:tc>
          <w:tcPr>
            <w:tcW w:w="1375"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0" w:type="dxa"/>
            <w:tcBorders>
              <w:bottom w:val="single" w:color="auto" w:sz="12" w:space="0"/>
            </w:tcBorders>
            <w:noWrap w:val="0"/>
            <w:vAlign w:val="center"/>
          </w:tcPr>
          <w:p>
            <w:pPr>
              <w:jc w:val="center"/>
              <w:rPr>
                <w:rFonts w:cs="Times New Roman"/>
                <w:color w:val="000000"/>
                <w:szCs w:val="21"/>
              </w:rPr>
            </w:pPr>
          </w:p>
        </w:tc>
        <w:tc>
          <w:tcPr>
            <w:tcW w:w="1669"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水工建筑用地</w:t>
            </w:r>
          </w:p>
        </w:tc>
        <w:tc>
          <w:tcPr>
            <w:tcW w:w="1363"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15.91 </w:t>
            </w:r>
          </w:p>
        </w:tc>
        <w:tc>
          <w:tcPr>
            <w:tcW w:w="13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74" w:type="dxa"/>
            <w:tcBorders>
              <w:top w:val="nil"/>
              <w:left w:val="nil"/>
              <w:bottom w:val="single" w:color="000000" w:sz="8" w:space="0"/>
              <w:right w:val="single" w:color="000000" w:sz="8" w:space="0"/>
            </w:tcBorders>
            <w:noWrap w:val="0"/>
            <w:vAlign w:val="center"/>
          </w:tcPr>
          <w:p>
            <w:pPr>
              <w:jc w:val="center"/>
              <w:rPr>
                <w:rFonts w:cs="Times New Roman"/>
                <w:color w:val="000000"/>
                <w:kern w:val="0"/>
                <w:szCs w:val="21"/>
                <w:lang w:bidi="ar"/>
              </w:rPr>
            </w:pPr>
            <w:r>
              <w:rPr>
                <w:rFonts w:hint="eastAsia" w:cs="Times New Roman"/>
                <w:color w:val="000000"/>
                <w:kern w:val="0"/>
                <w:szCs w:val="21"/>
                <w:lang w:bidi="ar"/>
              </w:rPr>
              <w:t>　</w:t>
            </w:r>
          </w:p>
        </w:tc>
        <w:tc>
          <w:tcPr>
            <w:tcW w:w="1363"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15.91 </w:t>
            </w:r>
          </w:p>
        </w:tc>
        <w:tc>
          <w:tcPr>
            <w:tcW w:w="1364"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7.08 </w:t>
            </w:r>
          </w:p>
        </w:tc>
        <w:tc>
          <w:tcPr>
            <w:tcW w:w="1375" w:type="dxa"/>
            <w:tcBorders>
              <w:top w:val="nil"/>
              <w:left w:val="nil"/>
              <w:bottom w:val="single" w:color="000000" w:sz="8" w:space="0"/>
              <w:right w:val="single" w:color="000000" w:sz="8" w:space="0"/>
            </w:tcBorders>
            <w:noWrap w:val="0"/>
            <w:vAlign w:val="center"/>
          </w:tcPr>
          <w:p>
            <w:pPr>
              <w:widowControl/>
              <w:jc w:val="center"/>
              <w:textAlignment w:val="center"/>
              <w:rPr>
                <w:rFonts w:cs="Times New Roman"/>
                <w:color w:val="000000"/>
                <w:kern w:val="0"/>
                <w:szCs w:val="21"/>
                <w:lang w:bidi="ar"/>
              </w:rPr>
            </w:pPr>
            <w:r>
              <w:rPr>
                <w:rFonts w:hint="eastAsia" w:cs="Times New Roman"/>
                <w:color w:val="000000"/>
                <w:kern w:val="0"/>
                <w:szCs w:val="21"/>
                <w:lang w:bidi="ar"/>
              </w:rPr>
              <w:t xml:space="preserve">8.83 </w:t>
            </w:r>
          </w:p>
        </w:tc>
      </w:tr>
    </w:tbl>
    <w:p>
      <w:pPr>
        <w:rPr>
          <w:color w:val="000000"/>
        </w:rPr>
        <w:sectPr>
          <w:footerReference r:id="rId34" w:type="default"/>
          <w:pgSz w:w="16838" w:h="11906" w:orient="landscape"/>
          <w:pgMar w:top="1588" w:right="1559" w:bottom="1531" w:left="1559" w:header="1134" w:footer="1247" w:gutter="0"/>
          <w:cols w:space="720" w:num="1"/>
          <w:docGrid w:linePitch="312" w:charSpace="0"/>
        </w:sectPr>
      </w:pP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26" w:name="_Toc90945259"/>
      <w:bookmarkStart w:id="627" w:name="_Toc86257968"/>
      <w:r>
        <w:rPr>
          <w:rFonts w:ascii="Times New Roman" w:hAnsi="Times New Roman" w:eastAsia="黑体" w:cs="Times New Roman"/>
          <w:bCs/>
          <w:snapToGrid w:val="0"/>
          <w:color w:val="000000"/>
          <w:kern w:val="0"/>
          <w:sz w:val="28"/>
          <w:szCs w:val="28"/>
          <w:lang w:val="en-US" w:eastAsia="zh-CN" w:bidi="ar-SA"/>
        </w:rPr>
        <w:t xml:space="preserve">8.2  </w:t>
      </w:r>
      <w:r>
        <w:rPr>
          <w:rFonts w:ascii="Times New Roman" w:hAnsi="宋体" w:eastAsia="黑体" w:cs="Times New Roman"/>
          <w:bCs/>
          <w:snapToGrid w:val="0"/>
          <w:color w:val="000000"/>
          <w:kern w:val="0"/>
          <w:sz w:val="28"/>
          <w:szCs w:val="28"/>
          <w:lang w:val="en-US" w:eastAsia="zh-CN" w:bidi="ar-SA"/>
        </w:rPr>
        <w:t>搬迁人口</w:t>
      </w:r>
      <w:bookmarkEnd w:id="626"/>
      <w:bookmarkEnd w:id="627"/>
    </w:p>
    <w:p>
      <w:pPr>
        <w:widowControl w:val="0"/>
        <w:overflowPunct w:val="0"/>
        <w:autoSpaceDE w:val="0"/>
        <w:autoSpaceDN w:val="0"/>
        <w:adjustRightInd w:val="0"/>
        <w:snapToGrid w:val="0"/>
        <w:spacing w:line="500" w:lineRule="exact"/>
        <w:ind w:firstLine="480" w:firstLineChars="200"/>
        <w:jc w:val="both"/>
        <w:rPr>
          <w:rFonts w:ascii="Times New Roman" w:hAnsi="宋体"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陆河抽水蓄能电站2个施工总布置方案建设征地范围均涉及广东省汕尾市陆河县新田镇激石溪村委和汕尾市吉溪林场，该村全部村民于10年前集中搬迁至新田镇居住，且村内大部分房屋已于2019年农村改造时拆除，剩余本工程建设征地范围内的零星房屋均无常驻村民，仅作为生产性房屋，</w:t>
      </w:r>
      <w:r>
        <w:rPr>
          <w:rFonts w:hint="eastAsia" w:ascii="Times New Roman" w:hAnsi="宋体" w:eastAsia="宋体" w:cs="Times New Roman"/>
          <w:color w:val="000000"/>
          <w:kern w:val="2"/>
          <w:sz w:val="24"/>
          <w:szCs w:val="24"/>
          <w:shd w:val="clear" w:color="auto" w:fill="auto"/>
          <w:lang w:val="en-US" w:eastAsia="zh-CN" w:bidi="ar-SA"/>
        </w:rPr>
        <w:t>本工程建设征地</w:t>
      </w:r>
      <w:r>
        <w:rPr>
          <w:rFonts w:ascii="Times New Roman" w:hAnsi="宋体" w:eastAsia="宋体" w:cs="Times New Roman"/>
          <w:color w:val="000000"/>
          <w:kern w:val="2"/>
          <w:sz w:val="24"/>
          <w:szCs w:val="24"/>
          <w:shd w:val="clear" w:color="auto" w:fill="auto"/>
          <w:lang w:val="en-US" w:eastAsia="zh-CN" w:bidi="ar-SA"/>
        </w:rPr>
        <w:t xml:space="preserve">不涉及搬迁人口。 </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28" w:name="_Toc86257969"/>
      <w:bookmarkStart w:id="629" w:name="_Toc90945260"/>
      <w:r>
        <w:rPr>
          <w:rFonts w:ascii="Times New Roman" w:hAnsi="Times New Roman" w:eastAsia="黑体" w:cs="Times New Roman"/>
          <w:bCs/>
          <w:snapToGrid w:val="0"/>
          <w:color w:val="000000"/>
          <w:kern w:val="0"/>
          <w:sz w:val="28"/>
          <w:szCs w:val="28"/>
          <w:lang w:val="en-US" w:eastAsia="zh-CN" w:bidi="ar-SA"/>
        </w:rPr>
        <w:t>8.3  房屋、附属设施及装修</w:t>
      </w:r>
      <w:bookmarkEnd w:id="628"/>
      <w:bookmarkEnd w:id="629"/>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8.3.1  </w:t>
      </w:r>
      <w:r>
        <w:rPr>
          <w:rFonts w:ascii="Times New Roman" w:hAnsi="宋体" w:eastAsia="黑体" w:cs="Times New Roman"/>
          <w:bCs/>
          <w:snapToGrid w:val="0"/>
          <w:color w:val="000000"/>
          <w:kern w:val="0"/>
          <w:sz w:val="24"/>
          <w:szCs w:val="24"/>
          <w:lang w:val="en-US" w:eastAsia="zh-CN" w:bidi="ar-SA"/>
        </w:rPr>
        <w:t>房屋</w:t>
      </w:r>
    </w:p>
    <w:p>
      <w:pPr>
        <w:widowControl w:val="0"/>
        <w:overflowPunct w:val="0"/>
        <w:autoSpaceDE w:val="0"/>
        <w:autoSpaceDN w:val="0"/>
        <w:adjustRightInd w:val="0"/>
        <w:snapToGrid w:val="0"/>
        <w:spacing w:line="50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根据调查细则的要求，</w:t>
      </w:r>
      <w:r>
        <w:rPr>
          <w:rFonts w:hint="eastAsia" w:ascii="Times New Roman" w:hAnsi="宋体" w:eastAsia="宋体" w:cs="Times New Roman"/>
          <w:color w:val="000000"/>
          <w:kern w:val="2"/>
          <w:sz w:val="24"/>
          <w:szCs w:val="24"/>
          <w:shd w:val="clear" w:color="auto" w:fill="auto"/>
          <w:lang w:val="en-US" w:eastAsia="zh-CN" w:bidi="ar-SA"/>
        </w:rPr>
        <w:t>陆河</w:t>
      </w:r>
      <w:r>
        <w:rPr>
          <w:rFonts w:ascii="Times New Roman" w:hAnsi="宋体" w:eastAsia="宋体" w:cs="Times New Roman"/>
          <w:color w:val="000000"/>
          <w:kern w:val="2"/>
          <w:sz w:val="24"/>
          <w:szCs w:val="24"/>
          <w:shd w:val="clear" w:color="auto" w:fill="auto"/>
          <w:lang w:val="en-US" w:eastAsia="zh-CN" w:bidi="ar-SA"/>
        </w:rPr>
        <w:t>抽水蓄能电站建设征地影响房屋可按所处建设征地范围、房屋权属、结构等进行划分，其中：建设征地范围结合人口搬迁红线确定，房屋结构包括钢混、砖混、砖木、土木、简易等。</w:t>
      </w:r>
    </w:p>
    <w:p>
      <w:pPr>
        <w:widowControl w:val="0"/>
        <w:overflowPunct w:val="0"/>
        <w:autoSpaceDE w:val="0"/>
        <w:autoSpaceDN w:val="0"/>
        <w:adjustRightInd w:val="0"/>
        <w:snapToGrid w:val="0"/>
        <w:spacing w:line="500" w:lineRule="exact"/>
        <w:ind w:firstLine="480" w:firstLineChars="200"/>
        <w:jc w:val="both"/>
        <w:rPr>
          <w:rFonts w:hint="eastAsia" w:ascii="Times New Roman" w:hAnsi="宋体" w:eastAsia="宋体" w:cs="Times New Roman"/>
          <w:color w:val="000000"/>
          <w:kern w:val="2"/>
          <w:sz w:val="24"/>
          <w:szCs w:val="24"/>
          <w:shd w:val="clear" w:color="auto" w:fill="auto"/>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陆河抽水蓄能电站建设征地涉及房屋总面积1086.63m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，其中砖混结构133.43m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；砖木结构2.03m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；土木结构193.53m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，木结构10.2m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；其他结构747.44m</w:t>
      </w:r>
      <w:r>
        <w:rPr>
          <w:rFonts w:hint="eastAsia" w:ascii="Times New Roman" w:hAnsi="宋体" w:eastAsia="宋体" w:cs="Times New Roman"/>
          <w:color w:val="000000"/>
          <w:kern w:val="2"/>
          <w:sz w:val="24"/>
          <w:szCs w:val="24"/>
          <w:shd w:val="clear" w:color="auto" w:fill="FFFFFF"/>
          <w:vertAlign w:val="superscript"/>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。均在水库淹没区。</w:t>
      </w:r>
      <w:r>
        <w:rPr>
          <w:rFonts w:hint="eastAsia" w:ascii="Times New Roman" w:hAnsi="宋体" w:eastAsia="宋体" w:cs="Times New Roman"/>
          <w:color w:val="000000"/>
          <w:kern w:val="2"/>
          <w:sz w:val="24"/>
          <w:szCs w:val="24"/>
          <w:shd w:val="clear" w:color="auto" w:fill="auto"/>
          <w:lang w:val="en-US" w:eastAsia="zh-CN" w:bidi="ar-SA"/>
        </w:rPr>
        <w:t>陆河</w:t>
      </w:r>
      <w:r>
        <w:rPr>
          <w:rFonts w:ascii="Times New Roman" w:hAnsi="宋体" w:eastAsia="宋体" w:cs="Times New Roman"/>
          <w:color w:val="000000"/>
          <w:kern w:val="2"/>
          <w:sz w:val="24"/>
          <w:szCs w:val="24"/>
          <w:shd w:val="clear" w:color="auto" w:fill="auto"/>
          <w:lang w:val="en-US" w:eastAsia="zh-CN" w:bidi="ar-SA"/>
        </w:rPr>
        <w:t>抽水蓄能电站房屋指标详见表</w:t>
      </w:r>
      <w:r>
        <w:rPr>
          <w:rFonts w:ascii="Times New Roman" w:hAnsi="Times New Roman" w:eastAsia="宋体" w:cs="Times New Roman"/>
          <w:color w:val="000000"/>
          <w:kern w:val="2"/>
          <w:sz w:val="24"/>
          <w:szCs w:val="24"/>
          <w:shd w:val="clear" w:color="auto" w:fill="auto"/>
          <w:lang w:val="en-US" w:eastAsia="zh-CN" w:bidi="ar-SA"/>
        </w:rPr>
        <w:t>8.3.1-1</w:t>
      </w:r>
      <w:r>
        <w:rPr>
          <w:rFonts w:ascii="Times New Roman" w:hAnsi="宋体" w:eastAsia="宋体" w:cs="Times New Roman"/>
          <w:color w:val="000000"/>
          <w:kern w:val="2"/>
          <w:sz w:val="24"/>
          <w:szCs w:val="24"/>
          <w:shd w:val="clear" w:color="auto" w:fill="auto"/>
          <w:lang w:val="en-US" w:eastAsia="zh-CN" w:bidi="ar-SA"/>
        </w:rPr>
        <w:t>。</w:t>
      </w:r>
    </w:p>
    <w:p>
      <w:pPr>
        <w:spacing w:before="120" w:beforeLines="50" w:line="460" w:lineRule="exact"/>
        <w:jc w:val="center"/>
        <w:rPr>
          <w:rFonts w:cs="Times New Roman"/>
          <w:color w:val="000000"/>
          <w:szCs w:val="21"/>
        </w:rPr>
      </w:pPr>
      <w:r>
        <w:rPr>
          <w:rFonts w:hAnsi="黑体" w:eastAsia="黑体" w:cs="Times New Roman"/>
          <w:color w:val="000000"/>
          <w:sz w:val="24"/>
          <w:szCs w:val="22"/>
        </w:rPr>
        <w:t xml:space="preserve">表8.3.1-1  </w:t>
      </w:r>
      <w:r>
        <w:rPr>
          <w:rFonts w:hint="eastAsia" w:hAnsi="黑体" w:eastAsia="黑体" w:cs="Times New Roman"/>
          <w:color w:val="000000"/>
          <w:sz w:val="24"/>
          <w:szCs w:val="22"/>
        </w:rPr>
        <w:t>陆河</w:t>
      </w:r>
      <w:r>
        <w:rPr>
          <w:rFonts w:hAnsi="黑体" w:eastAsia="黑体" w:cs="Times New Roman"/>
          <w:color w:val="000000"/>
          <w:sz w:val="24"/>
          <w:szCs w:val="22"/>
        </w:rPr>
        <w:t>抽水蓄能电站房屋指标汇总表</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085"/>
        <w:gridCol w:w="822"/>
        <w:gridCol w:w="925"/>
        <w:gridCol w:w="822"/>
        <w:gridCol w:w="852"/>
        <w:gridCol w:w="824"/>
        <w:gridCol w:w="923"/>
        <w:gridCol w:w="823"/>
        <w:gridCol w:w="9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1085"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项     目</w:t>
            </w:r>
          </w:p>
        </w:tc>
        <w:tc>
          <w:tcPr>
            <w:tcW w:w="822"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单位</w:t>
            </w:r>
          </w:p>
        </w:tc>
        <w:tc>
          <w:tcPr>
            <w:tcW w:w="925"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2498"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2672"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085" w:type="dxa"/>
            <w:vMerge w:val="continue"/>
            <w:noWrap w:val="0"/>
            <w:vAlign w:val="center"/>
          </w:tcPr>
          <w:p>
            <w:pPr>
              <w:widowControl/>
              <w:jc w:val="left"/>
              <w:rPr>
                <w:rFonts w:cs="Times New Roman"/>
                <w:color w:val="000000"/>
                <w:kern w:val="0"/>
                <w:szCs w:val="21"/>
              </w:rPr>
            </w:pPr>
          </w:p>
        </w:tc>
        <w:tc>
          <w:tcPr>
            <w:tcW w:w="822" w:type="dxa"/>
            <w:vMerge w:val="continue"/>
            <w:noWrap w:val="0"/>
            <w:vAlign w:val="center"/>
          </w:tcPr>
          <w:p>
            <w:pPr>
              <w:widowControl/>
              <w:jc w:val="left"/>
              <w:rPr>
                <w:rFonts w:cs="Times New Roman"/>
                <w:color w:val="000000"/>
                <w:kern w:val="0"/>
                <w:szCs w:val="21"/>
              </w:rPr>
            </w:pPr>
          </w:p>
        </w:tc>
        <w:tc>
          <w:tcPr>
            <w:tcW w:w="925" w:type="dxa"/>
            <w:vMerge w:val="continue"/>
            <w:noWrap w:val="0"/>
            <w:vAlign w:val="center"/>
          </w:tcPr>
          <w:p>
            <w:pPr>
              <w:widowControl/>
              <w:jc w:val="left"/>
              <w:rPr>
                <w:rFonts w:cs="Times New Roman"/>
                <w:color w:val="000000"/>
                <w:kern w:val="0"/>
                <w:szCs w:val="21"/>
              </w:rPr>
            </w:pPr>
          </w:p>
        </w:tc>
        <w:tc>
          <w:tcPr>
            <w:tcW w:w="822"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52" w:type="dxa"/>
            <w:noWrap w:val="0"/>
            <w:vAlign w:val="center"/>
          </w:tcPr>
          <w:p>
            <w:pPr>
              <w:widowControl/>
              <w:jc w:val="center"/>
              <w:rPr>
                <w:rFonts w:hint="eastAsia" w:cs="Times New Roman"/>
                <w:color w:val="000000"/>
                <w:kern w:val="0"/>
                <w:szCs w:val="21"/>
              </w:rPr>
            </w:pPr>
            <w:r>
              <w:rPr>
                <w:rFonts w:cs="Times New Roman"/>
                <w:color w:val="000000"/>
                <w:kern w:val="0"/>
                <w:szCs w:val="21"/>
              </w:rPr>
              <w:t>永久</w:t>
            </w:r>
          </w:p>
          <w:p>
            <w:pPr>
              <w:widowControl/>
              <w:jc w:val="center"/>
              <w:rPr>
                <w:rFonts w:cs="Times New Roman"/>
                <w:color w:val="000000"/>
                <w:kern w:val="0"/>
                <w:szCs w:val="21"/>
              </w:rPr>
            </w:pPr>
            <w:r>
              <w:rPr>
                <w:rFonts w:cs="Times New Roman"/>
                <w:color w:val="000000"/>
                <w:kern w:val="0"/>
                <w:szCs w:val="21"/>
              </w:rPr>
              <w:t>占地</w:t>
            </w:r>
          </w:p>
        </w:tc>
        <w:tc>
          <w:tcPr>
            <w:tcW w:w="824" w:type="dxa"/>
            <w:noWrap w:val="0"/>
            <w:vAlign w:val="center"/>
          </w:tcPr>
          <w:p>
            <w:pPr>
              <w:widowControl/>
              <w:jc w:val="center"/>
              <w:rPr>
                <w:rFonts w:cs="Times New Roman"/>
                <w:color w:val="000000"/>
                <w:kern w:val="0"/>
                <w:szCs w:val="21"/>
              </w:rPr>
            </w:pPr>
            <w:r>
              <w:rPr>
                <w:rFonts w:cs="Times New Roman"/>
                <w:color w:val="000000"/>
                <w:kern w:val="0"/>
                <w:szCs w:val="21"/>
              </w:rPr>
              <w:t>临时用地</w:t>
            </w:r>
          </w:p>
        </w:tc>
        <w:tc>
          <w:tcPr>
            <w:tcW w:w="923"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23" w:type="dxa"/>
            <w:noWrap w:val="0"/>
            <w:vAlign w:val="center"/>
          </w:tcPr>
          <w:p>
            <w:pPr>
              <w:widowControl/>
              <w:jc w:val="center"/>
              <w:rPr>
                <w:rFonts w:cs="Times New Roman"/>
                <w:color w:val="000000"/>
                <w:kern w:val="0"/>
                <w:szCs w:val="21"/>
              </w:rPr>
            </w:pPr>
            <w:r>
              <w:rPr>
                <w:rFonts w:cs="Times New Roman"/>
                <w:color w:val="000000"/>
                <w:kern w:val="0"/>
                <w:szCs w:val="21"/>
              </w:rPr>
              <w:t>上水库淹没区</w:t>
            </w:r>
          </w:p>
        </w:tc>
        <w:tc>
          <w:tcPr>
            <w:tcW w:w="926" w:type="dxa"/>
            <w:noWrap w:val="0"/>
            <w:vAlign w:val="center"/>
          </w:tcPr>
          <w:p>
            <w:pPr>
              <w:widowControl/>
              <w:jc w:val="center"/>
              <w:rPr>
                <w:rFonts w:cs="Times New Roman"/>
                <w:color w:val="000000"/>
                <w:kern w:val="0"/>
                <w:szCs w:val="21"/>
              </w:rPr>
            </w:pPr>
            <w:r>
              <w:rPr>
                <w:rFonts w:cs="Times New Roman"/>
                <w:color w:val="000000"/>
                <w:kern w:val="0"/>
                <w:szCs w:val="21"/>
              </w:rPr>
              <w:t>下水库淹没区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085" w:type="dxa"/>
            <w:noWrap w:val="0"/>
            <w:vAlign w:val="center"/>
          </w:tcPr>
          <w:p>
            <w:pPr>
              <w:widowControl/>
              <w:jc w:val="center"/>
              <w:rPr>
                <w:rFonts w:cs="Times New Roman"/>
                <w:color w:val="000000"/>
                <w:kern w:val="0"/>
                <w:szCs w:val="21"/>
              </w:rPr>
            </w:pPr>
            <w:r>
              <w:rPr>
                <w:rFonts w:cs="Times New Roman"/>
                <w:color w:val="000000"/>
                <w:kern w:val="0"/>
                <w:szCs w:val="21"/>
              </w:rPr>
              <w:t>房屋</w:t>
            </w:r>
          </w:p>
        </w:tc>
        <w:tc>
          <w:tcPr>
            <w:tcW w:w="822"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25" w:type="dxa"/>
            <w:noWrap w:val="0"/>
            <w:vAlign w:val="center"/>
          </w:tcPr>
          <w:p>
            <w:pPr>
              <w:widowControl/>
              <w:jc w:val="center"/>
              <w:rPr>
                <w:rFonts w:cs="Times New Roman"/>
                <w:color w:val="000000"/>
                <w:kern w:val="0"/>
                <w:szCs w:val="21"/>
              </w:rPr>
            </w:pPr>
            <w:r>
              <w:rPr>
                <w:rFonts w:cs="Times New Roman"/>
                <w:color w:val="000000"/>
                <w:kern w:val="0"/>
                <w:szCs w:val="21"/>
              </w:rPr>
              <w:t>1086.63</w:t>
            </w:r>
          </w:p>
        </w:tc>
        <w:tc>
          <w:tcPr>
            <w:tcW w:w="82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3" w:type="dxa"/>
            <w:noWrap w:val="0"/>
            <w:vAlign w:val="center"/>
          </w:tcPr>
          <w:p>
            <w:pPr>
              <w:widowControl/>
              <w:jc w:val="center"/>
              <w:rPr>
                <w:rFonts w:cs="Times New Roman"/>
                <w:color w:val="000000"/>
                <w:kern w:val="0"/>
                <w:szCs w:val="21"/>
              </w:rPr>
            </w:pPr>
            <w:r>
              <w:rPr>
                <w:rFonts w:cs="Times New Roman"/>
                <w:color w:val="000000"/>
                <w:kern w:val="0"/>
                <w:szCs w:val="21"/>
              </w:rPr>
              <w:t>1086.63</w:t>
            </w:r>
          </w:p>
        </w:tc>
        <w:tc>
          <w:tcPr>
            <w:tcW w:w="8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6" w:type="dxa"/>
            <w:noWrap w:val="0"/>
            <w:vAlign w:val="center"/>
          </w:tcPr>
          <w:p>
            <w:pPr>
              <w:widowControl/>
              <w:jc w:val="center"/>
              <w:rPr>
                <w:rFonts w:cs="Times New Roman"/>
                <w:color w:val="000000"/>
                <w:kern w:val="0"/>
                <w:szCs w:val="21"/>
              </w:rPr>
            </w:pPr>
            <w:r>
              <w:rPr>
                <w:rFonts w:cs="Times New Roman"/>
                <w:color w:val="000000"/>
                <w:kern w:val="0"/>
                <w:szCs w:val="21"/>
              </w:rPr>
              <w:t>1086.63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1085" w:type="dxa"/>
            <w:noWrap/>
            <w:vAlign w:val="center"/>
          </w:tcPr>
          <w:p>
            <w:pPr>
              <w:widowControl/>
              <w:jc w:val="center"/>
              <w:rPr>
                <w:rFonts w:cs="Times New Roman"/>
                <w:color w:val="000000"/>
                <w:kern w:val="0"/>
                <w:szCs w:val="21"/>
              </w:rPr>
            </w:pPr>
            <w:r>
              <w:rPr>
                <w:rFonts w:cs="Times New Roman"/>
                <w:color w:val="000000"/>
                <w:kern w:val="0"/>
                <w:szCs w:val="21"/>
              </w:rPr>
              <w:t>框架结构</w:t>
            </w:r>
          </w:p>
        </w:tc>
        <w:tc>
          <w:tcPr>
            <w:tcW w:w="822"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2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2"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6"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1085" w:type="dxa"/>
            <w:noWrap/>
            <w:vAlign w:val="center"/>
          </w:tcPr>
          <w:p>
            <w:pPr>
              <w:widowControl/>
              <w:jc w:val="center"/>
              <w:rPr>
                <w:rFonts w:cs="Times New Roman"/>
                <w:color w:val="000000"/>
                <w:kern w:val="0"/>
                <w:szCs w:val="21"/>
              </w:rPr>
            </w:pPr>
            <w:r>
              <w:rPr>
                <w:rFonts w:cs="Times New Roman"/>
                <w:color w:val="000000"/>
                <w:kern w:val="0"/>
                <w:szCs w:val="21"/>
              </w:rPr>
              <w:t>砖混结构</w:t>
            </w:r>
          </w:p>
        </w:tc>
        <w:tc>
          <w:tcPr>
            <w:tcW w:w="822"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25" w:type="dxa"/>
            <w:noWrap w:val="0"/>
            <w:vAlign w:val="center"/>
          </w:tcPr>
          <w:p>
            <w:pPr>
              <w:widowControl/>
              <w:jc w:val="center"/>
              <w:rPr>
                <w:rFonts w:cs="Times New Roman"/>
                <w:color w:val="000000"/>
                <w:kern w:val="0"/>
                <w:szCs w:val="21"/>
              </w:rPr>
            </w:pPr>
            <w:r>
              <w:rPr>
                <w:rFonts w:cs="Times New Roman"/>
                <w:color w:val="000000"/>
                <w:kern w:val="0"/>
                <w:szCs w:val="21"/>
              </w:rPr>
              <w:t>133.43</w:t>
            </w:r>
          </w:p>
        </w:tc>
        <w:tc>
          <w:tcPr>
            <w:tcW w:w="82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2"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3" w:type="dxa"/>
            <w:noWrap w:val="0"/>
            <w:vAlign w:val="center"/>
          </w:tcPr>
          <w:p>
            <w:pPr>
              <w:widowControl/>
              <w:jc w:val="center"/>
              <w:rPr>
                <w:rFonts w:cs="Times New Roman"/>
                <w:color w:val="000000"/>
                <w:kern w:val="0"/>
                <w:szCs w:val="21"/>
              </w:rPr>
            </w:pPr>
            <w:r>
              <w:rPr>
                <w:rFonts w:cs="Times New Roman"/>
                <w:color w:val="000000"/>
                <w:kern w:val="0"/>
                <w:szCs w:val="21"/>
              </w:rPr>
              <w:t>133.43</w:t>
            </w:r>
          </w:p>
        </w:tc>
        <w:tc>
          <w:tcPr>
            <w:tcW w:w="8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6" w:type="dxa"/>
            <w:noWrap w:val="0"/>
            <w:vAlign w:val="center"/>
          </w:tcPr>
          <w:p>
            <w:pPr>
              <w:widowControl/>
              <w:jc w:val="center"/>
              <w:rPr>
                <w:rFonts w:cs="Times New Roman"/>
                <w:color w:val="000000"/>
                <w:kern w:val="0"/>
                <w:szCs w:val="21"/>
              </w:rPr>
            </w:pPr>
            <w:r>
              <w:rPr>
                <w:rFonts w:cs="Times New Roman"/>
                <w:color w:val="000000"/>
                <w:kern w:val="0"/>
                <w:szCs w:val="21"/>
              </w:rPr>
              <w:t>133.43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1085" w:type="dxa"/>
            <w:noWrap/>
            <w:vAlign w:val="center"/>
          </w:tcPr>
          <w:p>
            <w:pPr>
              <w:widowControl/>
              <w:jc w:val="center"/>
              <w:rPr>
                <w:rFonts w:cs="Times New Roman"/>
                <w:color w:val="000000"/>
                <w:kern w:val="0"/>
                <w:szCs w:val="21"/>
              </w:rPr>
            </w:pPr>
            <w:r>
              <w:rPr>
                <w:rFonts w:cs="Times New Roman"/>
                <w:color w:val="000000"/>
                <w:kern w:val="0"/>
                <w:szCs w:val="21"/>
              </w:rPr>
              <w:t>砖木结构</w:t>
            </w:r>
          </w:p>
        </w:tc>
        <w:tc>
          <w:tcPr>
            <w:tcW w:w="822"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25" w:type="dxa"/>
            <w:noWrap w:val="0"/>
            <w:vAlign w:val="center"/>
          </w:tcPr>
          <w:p>
            <w:pPr>
              <w:widowControl/>
              <w:jc w:val="center"/>
              <w:rPr>
                <w:rFonts w:cs="Times New Roman"/>
                <w:color w:val="000000"/>
                <w:kern w:val="0"/>
                <w:szCs w:val="21"/>
              </w:rPr>
            </w:pPr>
            <w:r>
              <w:rPr>
                <w:rFonts w:cs="Times New Roman"/>
                <w:color w:val="000000"/>
                <w:kern w:val="0"/>
                <w:szCs w:val="21"/>
              </w:rPr>
              <w:t>2.03</w:t>
            </w:r>
          </w:p>
        </w:tc>
        <w:tc>
          <w:tcPr>
            <w:tcW w:w="82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2"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3" w:type="dxa"/>
            <w:noWrap w:val="0"/>
            <w:vAlign w:val="center"/>
          </w:tcPr>
          <w:p>
            <w:pPr>
              <w:widowControl/>
              <w:jc w:val="center"/>
              <w:rPr>
                <w:rFonts w:cs="Times New Roman"/>
                <w:color w:val="000000"/>
                <w:kern w:val="0"/>
                <w:szCs w:val="21"/>
              </w:rPr>
            </w:pPr>
            <w:r>
              <w:rPr>
                <w:rFonts w:cs="Times New Roman"/>
                <w:color w:val="000000"/>
                <w:kern w:val="0"/>
                <w:szCs w:val="21"/>
              </w:rPr>
              <w:t>2.03</w:t>
            </w:r>
          </w:p>
        </w:tc>
        <w:tc>
          <w:tcPr>
            <w:tcW w:w="8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6" w:type="dxa"/>
            <w:noWrap w:val="0"/>
            <w:vAlign w:val="center"/>
          </w:tcPr>
          <w:p>
            <w:pPr>
              <w:widowControl/>
              <w:jc w:val="center"/>
              <w:rPr>
                <w:rFonts w:cs="Times New Roman"/>
                <w:color w:val="000000"/>
                <w:kern w:val="0"/>
                <w:szCs w:val="21"/>
              </w:rPr>
            </w:pPr>
            <w:r>
              <w:rPr>
                <w:rFonts w:cs="Times New Roman"/>
                <w:color w:val="000000"/>
                <w:kern w:val="0"/>
                <w:szCs w:val="21"/>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noWrap w:val="0"/>
            <w:vAlign w:val="center"/>
          </w:tcPr>
          <w:p>
            <w:pPr>
              <w:widowControl/>
              <w:jc w:val="center"/>
              <w:rPr>
                <w:rFonts w:cs="Times New Roman"/>
                <w:color w:val="000000"/>
                <w:kern w:val="0"/>
                <w:szCs w:val="21"/>
              </w:rPr>
            </w:pPr>
            <w:r>
              <w:rPr>
                <w:rFonts w:cs="Times New Roman"/>
                <w:color w:val="000000"/>
                <w:kern w:val="0"/>
                <w:szCs w:val="21"/>
              </w:rPr>
              <w:t>4</w:t>
            </w:r>
          </w:p>
        </w:tc>
        <w:tc>
          <w:tcPr>
            <w:tcW w:w="1085" w:type="dxa"/>
            <w:noWrap/>
            <w:vAlign w:val="center"/>
          </w:tcPr>
          <w:p>
            <w:pPr>
              <w:widowControl/>
              <w:jc w:val="center"/>
              <w:rPr>
                <w:rFonts w:cs="Times New Roman"/>
                <w:color w:val="000000"/>
                <w:kern w:val="0"/>
                <w:szCs w:val="21"/>
              </w:rPr>
            </w:pPr>
            <w:r>
              <w:rPr>
                <w:rFonts w:cs="Times New Roman"/>
                <w:color w:val="000000"/>
                <w:kern w:val="0"/>
                <w:szCs w:val="21"/>
              </w:rPr>
              <w:t>土木结构</w:t>
            </w:r>
          </w:p>
        </w:tc>
        <w:tc>
          <w:tcPr>
            <w:tcW w:w="822"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25" w:type="dxa"/>
            <w:noWrap w:val="0"/>
            <w:vAlign w:val="center"/>
          </w:tcPr>
          <w:p>
            <w:pPr>
              <w:widowControl/>
              <w:jc w:val="center"/>
              <w:rPr>
                <w:rFonts w:cs="Times New Roman"/>
                <w:color w:val="000000"/>
                <w:kern w:val="0"/>
                <w:szCs w:val="21"/>
              </w:rPr>
            </w:pPr>
            <w:r>
              <w:rPr>
                <w:rFonts w:cs="Times New Roman"/>
                <w:color w:val="000000"/>
                <w:kern w:val="0"/>
                <w:szCs w:val="21"/>
              </w:rPr>
              <w:t>193.53</w:t>
            </w:r>
          </w:p>
        </w:tc>
        <w:tc>
          <w:tcPr>
            <w:tcW w:w="82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2"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3" w:type="dxa"/>
            <w:noWrap w:val="0"/>
            <w:vAlign w:val="center"/>
          </w:tcPr>
          <w:p>
            <w:pPr>
              <w:widowControl/>
              <w:jc w:val="center"/>
              <w:rPr>
                <w:rFonts w:cs="Times New Roman"/>
                <w:color w:val="000000"/>
                <w:kern w:val="0"/>
                <w:szCs w:val="21"/>
              </w:rPr>
            </w:pPr>
            <w:r>
              <w:rPr>
                <w:rFonts w:cs="Times New Roman"/>
                <w:color w:val="000000"/>
                <w:kern w:val="0"/>
                <w:szCs w:val="21"/>
              </w:rPr>
              <w:t>193.53</w:t>
            </w:r>
          </w:p>
        </w:tc>
        <w:tc>
          <w:tcPr>
            <w:tcW w:w="8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6" w:type="dxa"/>
            <w:noWrap w:val="0"/>
            <w:vAlign w:val="center"/>
          </w:tcPr>
          <w:p>
            <w:pPr>
              <w:widowControl/>
              <w:jc w:val="center"/>
              <w:rPr>
                <w:rFonts w:cs="Times New Roman"/>
                <w:color w:val="000000"/>
                <w:kern w:val="0"/>
                <w:szCs w:val="21"/>
              </w:rPr>
            </w:pPr>
            <w:r>
              <w:rPr>
                <w:rFonts w:cs="Times New Roman"/>
                <w:color w:val="000000"/>
                <w:kern w:val="0"/>
                <w:szCs w:val="21"/>
              </w:rPr>
              <w:t>193.53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1085" w:type="dxa"/>
            <w:noWrap/>
            <w:vAlign w:val="center"/>
          </w:tcPr>
          <w:p>
            <w:pPr>
              <w:widowControl/>
              <w:jc w:val="center"/>
              <w:rPr>
                <w:rFonts w:cs="Times New Roman"/>
                <w:color w:val="000000"/>
                <w:kern w:val="0"/>
                <w:szCs w:val="21"/>
              </w:rPr>
            </w:pPr>
            <w:r>
              <w:rPr>
                <w:rFonts w:cs="Times New Roman"/>
                <w:color w:val="000000"/>
                <w:kern w:val="0"/>
                <w:szCs w:val="21"/>
              </w:rPr>
              <w:t>木结构</w:t>
            </w:r>
          </w:p>
        </w:tc>
        <w:tc>
          <w:tcPr>
            <w:tcW w:w="822"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25" w:type="dxa"/>
            <w:noWrap w:val="0"/>
            <w:vAlign w:val="center"/>
          </w:tcPr>
          <w:p>
            <w:pPr>
              <w:widowControl/>
              <w:jc w:val="center"/>
              <w:rPr>
                <w:rFonts w:cs="Times New Roman"/>
                <w:color w:val="000000"/>
                <w:kern w:val="0"/>
                <w:szCs w:val="21"/>
              </w:rPr>
            </w:pPr>
            <w:r>
              <w:rPr>
                <w:rFonts w:cs="Times New Roman"/>
                <w:color w:val="000000"/>
                <w:kern w:val="0"/>
                <w:szCs w:val="21"/>
              </w:rPr>
              <w:t>10.2</w:t>
            </w:r>
          </w:p>
        </w:tc>
        <w:tc>
          <w:tcPr>
            <w:tcW w:w="82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2"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3" w:type="dxa"/>
            <w:noWrap w:val="0"/>
            <w:vAlign w:val="center"/>
          </w:tcPr>
          <w:p>
            <w:pPr>
              <w:widowControl/>
              <w:jc w:val="center"/>
              <w:rPr>
                <w:rFonts w:cs="Times New Roman"/>
                <w:color w:val="000000"/>
                <w:kern w:val="0"/>
                <w:szCs w:val="21"/>
              </w:rPr>
            </w:pPr>
            <w:r>
              <w:rPr>
                <w:rFonts w:cs="Times New Roman"/>
                <w:color w:val="000000"/>
                <w:kern w:val="0"/>
                <w:szCs w:val="21"/>
              </w:rPr>
              <w:t>10.2</w:t>
            </w:r>
          </w:p>
        </w:tc>
        <w:tc>
          <w:tcPr>
            <w:tcW w:w="8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6" w:type="dxa"/>
            <w:noWrap w:val="0"/>
            <w:vAlign w:val="center"/>
          </w:tcPr>
          <w:p>
            <w:pPr>
              <w:widowControl/>
              <w:jc w:val="center"/>
              <w:rPr>
                <w:rFonts w:cs="Times New Roman"/>
                <w:color w:val="000000"/>
                <w:kern w:val="0"/>
                <w:szCs w:val="21"/>
              </w:rPr>
            </w:pPr>
            <w:r>
              <w:rPr>
                <w:rFonts w:cs="Times New Roman"/>
                <w:color w:val="000000"/>
                <w:kern w:val="0"/>
                <w:szCs w:val="21"/>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noWrap w:val="0"/>
            <w:vAlign w:val="center"/>
          </w:tcPr>
          <w:p>
            <w:pPr>
              <w:widowControl/>
              <w:jc w:val="center"/>
              <w:rPr>
                <w:rFonts w:cs="Times New Roman"/>
                <w:color w:val="000000"/>
                <w:kern w:val="0"/>
                <w:szCs w:val="21"/>
              </w:rPr>
            </w:pPr>
            <w:r>
              <w:rPr>
                <w:rFonts w:cs="Times New Roman"/>
                <w:color w:val="000000"/>
                <w:kern w:val="0"/>
                <w:szCs w:val="21"/>
              </w:rPr>
              <w:t>6</w:t>
            </w:r>
          </w:p>
        </w:tc>
        <w:tc>
          <w:tcPr>
            <w:tcW w:w="1085" w:type="dxa"/>
            <w:noWrap/>
            <w:vAlign w:val="center"/>
          </w:tcPr>
          <w:p>
            <w:pPr>
              <w:widowControl/>
              <w:jc w:val="center"/>
              <w:rPr>
                <w:rFonts w:cs="Times New Roman"/>
                <w:color w:val="000000"/>
                <w:kern w:val="0"/>
                <w:szCs w:val="21"/>
              </w:rPr>
            </w:pPr>
            <w:r>
              <w:rPr>
                <w:rFonts w:cs="Times New Roman"/>
                <w:color w:val="000000"/>
                <w:kern w:val="0"/>
                <w:szCs w:val="21"/>
              </w:rPr>
              <w:t>简易结构</w:t>
            </w:r>
          </w:p>
        </w:tc>
        <w:tc>
          <w:tcPr>
            <w:tcW w:w="822"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2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2"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3"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6"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7</w:t>
            </w:r>
          </w:p>
        </w:tc>
        <w:tc>
          <w:tcPr>
            <w:tcW w:w="1085"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其他结构</w:t>
            </w:r>
          </w:p>
        </w:tc>
        <w:tc>
          <w:tcPr>
            <w:tcW w:w="822"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25"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747.44</w:t>
            </w:r>
          </w:p>
        </w:tc>
        <w:tc>
          <w:tcPr>
            <w:tcW w:w="822"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2"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824"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3"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747.44</w:t>
            </w:r>
          </w:p>
        </w:tc>
        <w:tc>
          <w:tcPr>
            <w:tcW w:w="823"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926"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747.44</w:t>
            </w:r>
          </w:p>
        </w:tc>
      </w:tr>
    </w:tbl>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8.3.2  </w:t>
      </w:r>
      <w:r>
        <w:rPr>
          <w:rFonts w:ascii="Times New Roman" w:hAnsi="宋体" w:eastAsia="黑体" w:cs="Times New Roman"/>
          <w:bCs/>
          <w:snapToGrid w:val="0"/>
          <w:color w:val="000000"/>
          <w:kern w:val="0"/>
          <w:sz w:val="24"/>
          <w:szCs w:val="24"/>
          <w:lang w:val="en-US" w:eastAsia="zh-CN" w:bidi="ar-SA"/>
        </w:rPr>
        <w:t>附属建筑物</w:t>
      </w:r>
    </w:p>
    <w:p>
      <w:pPr>
        <w:widowControl w:val="0"/>
        <w:overflowPunct w:val="0"/>
        <w:autoSpaceDE w:val="0"/>
        <w:autoSpaceDN w:val="0"/>
        <w:adjustRightInd w:val="0"/>
        <w:snapToGrid w:val="0"/>
        <w:spacing w:line="480" w:lineRule="exact"/>
        <w:ind w:firstLine="480" w:firstLineChars="200"/>
        <w:jc w:val="both"/>
        <w:rPr>
          <w:rFonts w:ascii="Times New Roman" w:hAnsi="宋体"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根据可行性研究阶段调查成果，</w:t>
      </w:r>
      <w:r>
        <w:rPr>
          <w:rFonts w:hint="eastAsia" w:ascii="Times New Roman" w:hAnsi="宋体" w:eastAsia="宋体" w:cs="Times New Roman"/>
          <w:color w:val="000000"/>
          <w:kern w:val="2"/>
          <w:sz w:val="24"/>
          <w:szCs w:val="24"/>
          <w:shd w:val="clear" w:color="auto" w:fill="auto"/>
          <w:lang w:val="en-US" w:eastAsia="zh-CN" w:bidi="ar-SA"/>
        </w:rPr>
        <w:t>陆河</w:t>
      </w:r>
      <w:r>
        <w:rPr>
          <w:rFonts w:ascii="Times New Roman" w:hAnsi="宋体" w:eastAsia="宋体" w:cs="Times New Roman"/>
          <w:color w:val="000000"/>
          <w:kern w:val="2"/>
          <w:sz w:val="24"/>
          <w:szCs w:val="24"/>
          <w:shd w:val="clear" w:color="auto" w:fill="auto"/>
          <w:lang w:val="en-US" w:eastAsia="zh-CN" w:bidi="ar-SA"/>
        </w:rPr>
        <w:t>抽水蓄能电站建设征地区涉及</w:t>
      </w:r>
      <w:r>
        <w:rPr>
          <w:rFonts w:hint="eastAsia" w:ascii="Times New Roman" w:hAnsi="宋体" w:eastAsia="宋体" w:cs="Times New Roman"/>
          <w:color w:val="000000"/>
          <w:kern w:val="2"/>
          <w:sz w:val="24"/>
          <w:szCs w:val="24"/>
          <w:shd w:val="clear" w:color="auto" w:fill="auto"/>
          <w:lang w:val="en-US" w:eastAsia="zh-CN" w:bidi="ar-SA"/>
        </w:rPr>
        <w:t>地坪、砖砌围墙、圈舍、护栏、铁门</w:t>
      </w:r>
      <w:r>
        <w:rPr>
          <w:rFonts w:ascii="Times New Roman" w:hAnsi="宋体" w:eastAsia="宋体" w:cs="Times New Roman"/>
          <w:color w:val="000000"/>
          <w:kern w:val="2"/>
          <w:sz w:val="24"/>
          <w:szCs w:val="24"/>
          <w:shd w:val="clear" w:color="auto" w:fill="auto"/>
          <w:lang w:val="en-US" w:eastAsia="zh-CN" w:bidi="ar-SA"/>
        </w:rPr>
        <w:t>等，根据《实物指标调查细则》，按附属建筑物的权属、结构、规格等进行调查，调查结果详见表</w:t>
      </w:r>
      <w:r>
        <w:rPr>
          <w:rFonts w:ascii="Times New Roman" w:hAnsi="Times New Roman" w:eastAsia="宋体" w:cs="Times New Roman"/>
          <w:color w:val="000000"/>
          <w:kern w:val="2"/>
          <w:sz w:val="24"/>
          <w:szCs w:val="24"/>
          <w:shd w:val="clear" w:color="auto" w:fill="auto"/>
          <w:lang w:val="en-US" w:eastAsia="zh-CN" w:bidi="ar-SA"/>
        </w:rPr>
        <w:t>8.3.2-1</w:t>
      </w:r>
      <w:r>
        <w:rPr>
          <w:rFonts w:ascii="Times New Roman" w:hAnsi="宋体" w:eastAsia="宋体" w:cs="Times New Roman"/>
          <w:color w:val="000000"/>
          <w:kern w:val="2"/>
          <w:sz w:val="24"/>
          <w:szCs w:val="24"/>
          <w:shd w:val="clear" w:color="auto" w:fill="auto"/>
          <w:lang w:val="en-US" w:eastAsia="zh-CN" w:bidi="ar-SA"/>
        </w:rPr>
        <w:t>。</w:t>
      </w:r>
    </w:p>
    <w:p>
      <w:pPr>
        <w:widowControl w:val="0"/>
        <w:overflowPunct w:val="0"/>
        <w:autoSpaceDE w:val="0"/>
        <w:autoSpaceDN w:val="0"/>
        <w:adjustRightInd w:val="0"/>
        <w:snapToGrid w:val="0"/>
        <w:spacing w:line="480" w:lineRule="exact"/>
        <w:ind w:firstLine="480" w:firstLineChars="200"/>
        <w:jc w:val="center"/>
        <w:rPr>
          <w:rFonts w:ascii="Times New Roman" w:hAnsi="Times New Roman" w:eastAsia="黑体" w:cs="Times New Roman"/>
          <w:color w:val="000000"/>
          <w:kern w:val="2"/>
          <w:sz w:val="24"/>
          <w:szCs w:val="24"/>
          <w:shd w:val="clear" w:color="auto" w:fill="FFFFFF"/>
          <w:lang w:val="en-US" w:eastAsia="zh-CN" w:bidi="ar-SA"/>
        </w:rPr>
      </w:pPr>
      <w:r>
        <w:rPr>
          <w:rFonts w:ascii="Times New Roman" w:hAnsi="黑体" w:eastAsia="黑体" w:cs="Times New Roman"/>
          <w:color w:val="000000"/>
          <w:kern w:val="2"/>
          <w:sz w:val="24"/>
          <w:szCs w:val="24"/>
          <w:shd w:val="clear" w:color="auto" w:fill="FFFFFF"/>
          <w:lang w:val="en-US" w:eastAsia="zh-CN" w:bidi="ar-SA"/>
        </w:rPr>
        <w:t>表</w:t>
      </w:r>
      <w:r>
        <w:rPr>
          <w:rFonts w:ascii="Times New Roman" w:hAnsi="Times New Roman" w:eastAsia="黑体" w:cs="Times New Roman"/>
          <w:color w:val="000000"/>
          <w:kern w:val="2"/>
          <w:sz w:val="24"/>
          <w:szCs w:val="24"/>
          <w:shd w:val="clear" w:color="auto" w:fill="FFFFFF"/>
          <w:lang w:val="en-US" w:eastAsia="zh-CN" w:bidi="ar-SA"/>
        </w:rPr>
        <w:t>8.3.</w:t>
      </w:r>
      <w:r>
        <w:rPr>
          <w:rFonts w:hint="eastAsia" w:ascii="Times New Roman" w:hAnsi="Times New Roman" w:eastAsia="黑体" w:cs="Times New Roman"/>
          <w:color w:val="000000"/>
          <w:kern w:val="2"/>
          <w:sz w:val="24"/>
          <w:szCs w:val="24"/>
          <w:shd w:val="clear" w:color="auto" w:fill="FFFFFF"/>
          <w:lang w:val="en-US" w:eastAsia="zh-CN" w:bidi="ar-SA"/>
        </w:rPr>
        <w:t>2</w:t>
      </w:r>
      <w:r>
        <w:rPr>
          <w:rFonts w:ascii="Times New Roman" w:hAnsi="Times New Roman" w:eastAsia="黑体" w:cs="Times New Roman"/>
          <w:color w:val="000000"/>
          <w:kern w:val="2"/>
          <w:sz w:val="24"/>
          <w:szCs w:val="24"/>
          <w:shd w:val="clear" w:color="auto" w:fill="FFFFFF"/>
          <w:lang w:val="en-US" w:eastAsia="zh-CN" w:bidi="ar-SA"/>
        </w:rPr>
        <w:t xml:space="preserve">-1  </w:t>
      </w:r>
      <w:r>
        <w:rPr>
          <w:rFonts w:hint="eastAsia" w:ascii="Times New Roman" w:hAnsi="黑体" w:eastAsia="黑体" w:cs="Times New Roman"/>
          <w:color w:val="000000"/>
          <w:kern w:val="2"/>
          <w:sz w:val="24"/>
          <w:szCs w:val="24"/>
          <w:shd w:val="clear" w:color="auto" w:fill="FFFFFF"/>
          <w:lang w:val="en-US" w:eastAsia="zh-CN" w:bidi="ar-SA"/>
        </w:rPr>
        <w:t>陆河</w:t>
      </w:r>
      <w:r>
        <w:rPr>
          <w:rFonts w:ascii="Times New Roman" w:hAnsi="黑体" w:eastAsia="黑体" w:cs="Times New Roman"/>
          <w:color w:val="000000"/>
          <w:kern w:val="2"/>
          <w:sz w:val="24"/>
          <w:szCs w:val="24"/>
          <w:shd w:val="clear" w:color="auto" w:fill="FFFFFF"/>
          <w:lang w:val="en-US" w:eastAsia="zh-CN" w:bidi="ar-SA"/>
        </w:rPr>
        <w:t>抽水蓄能电站建设征地影响附属建筑物汇总表</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428"/>
        <w:gridCol w:w="924"/>
        <w:gridCol w:w="908"/>
        <w:gridCol w:w="744"/>
        <w:gridCol w:w="768"/>
        <w:gridCol w:w="745"/>
        <w:gridCol w:w="908"/>
        <w:gridCol w:w="744"/>
        <w:gridCol w:w="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142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项     目</w:t>
            </w:r>
          </w:p>
        </w:tc>
        <w:tc>
          <w:tcPr>
            <w:tcW w:w="924"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单位</w:t>
            </w:r>
          </w:p>
        </w:tc>
        <w:tc>
          <w:tcPr>
            <w:tcW w:w="90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2257"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2563"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continue"/>
            <w:noWrap w:val="0"/>
            <w:vAlign w:val="center"/>
          </w:tcPr>
          <w:p>
            <w:pPr>
              <w:widowControl/>
              <w:jc w:val="left"/>
              <w:rPr>
                <w:rFonts w:cs="Times New Roman"/>
                <w:color w:val="000000"/>
                <w:kern w:val="0"/>
                <w:szCs w:val="21"/>
              </w:rPr>
            </w:pPr>
          </w:p>
        </w:tc>
        <w:tc>
          <w:tcPr>
            <w:tcW w:w="1428" w:type="dxa"/>
            <w:vMerge w:val="continue"/>
            <w:noWrap w:val="0"/>
            <w:vAlign w:val="center"/>
          </w:tcPr>
          <w:p>
            <w:pPr>
              <w:widowControl/>
              <w:jc w:val="left"/>
              <w:rPr>
                <w:rFonts w:cs="Times New Roman"/>
                <w:color w:val="000000"/>
                <w:kern w:val="0"/>
                <w:szCs w:val="21"/>
              </w:rPr>
            </w:pPr>
          </w:p>
        </w:tc>
        <w:tc>
          <w:tcPr>
            <w:tcW w:w="924" w:type="dxa"/>
            <w:vMerge w:val="continue"/>
            <w:noWrap w:val="0"/>
            <w:vAlign w:val="center"/>
          </w:tcPr>
          <w:p>
            <w:pPr>
              <w:widowControl/>
              <w:jc w:val="left"/>
              <w:rPr>
                <w:rFonts w:cs="Times New Roman"/>
                <w:color w:val="000000"/>
                <w:kern w:val="0"/>
                <w:szCs w:val="21"/>
              </w:rPr>
            </w:pPr>
          </w:p>
        </w:tc>
        <w:tc>
          <w:tcPr>
            <w:tcW w:w="908" w:type="dxa"/>
            <w:vMerge w:val="continue"/>
            <w:noWrap w:val="0"/>
            <w:vAlign w:val="center"/>
          </w:tcPr>
          <w:p>
            <w:pPr>
              <w:widowControl/>
              <w:jc w:val="left"/>
              <w:rPr>
                <w:rFonts w:cs="Times New Roman"/>
                <w:color w:val="000000"/>
                <w:kern w:val="0"/>
                <w:szCs w:val="21"/>
              </w:rPr>
            </w:pP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768" w:type="dxa"/>
            <w:noWrap w:val="0"/>
            <w:vAlign w:val="center"/>
          </w:tcPr>
          <w:p>
            <w:pPr>
              <w:widowControl/>
              <w:jc w:val="center"/>
              <w:rPr>
                <w:rFonts w:cs="Times New Roman"/>
                <w:color w:val="000000"/>
                <w:kern w:val="0"/>
                <w:szCs w:val="21"/>
              </w:rPr>
            </w:pPr>
            <w:r>
              <w:rPr>
                <w:rFonts w:cs="Times New Roman"/>
                <w:color w:val="000000"/>
                <w:kern w:val="0"/>
                <w:szCs w:val="21"/>
              </w:rPr>
              <w:t>永久占地</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临时用地</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上水库淹没区</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下水库淹没区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428" w:type="dxa"/>
            <w:noWrap w:val="0"/>
            <w:vAlign w:val="center"/>
          </w:tcPr>
          <w:p>
            <w:pPr>
              <w:widowControl/>
              <w:jc w:val="center"/>
              <w:rPr>
                <w:rFonts w:cs="Times New Roman"/>
                <w:color w:val="000000"/>
                <w:kern w:val="0"/>
                <w:szCs w:val="21"/>
              </w:rPr>
            </w:pPr>
            <w:r>
              <w:rPr>
                <w:rFonts w:cs="Times New Roman"/>
                <w:color w:val="000000"/>
                <w:kern w:val="0"/>
                <w:szCs w:val="21"/>
              </w:rPr>
              <w:t>附属建筑物</w:t>
            </w: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restart"/>
            <w:noWrap w:val="0"/>
            <w:vAlign w:val="center"/>
          </w:tcPr>
          <w:p>
            <w:pPr>
              <w:widowControl/>
              <w:jc w:val="center"/>
              <w:rPr>
                <w:rFonts w:cs="Times New Roman"/>
                <w:color w:val="000000"/>
                <w:kern w:val="0"/>
                <w:szCs w:val="21"/>
              </w:rPr>
            </w:pPr>
            <w:r>
              <w:rPr>
                <w:rFonts w:cs="Times New Roman"/>
                <w:color w:val="000000"/>
                <w:kern w:val="0"/>
                <w:szCs w:val="21"/>
              </w:rPr>
              <w:t>1</w:t>
            </w:r>
          </w:p>
        </w:tc>
        <w:tc>
          <w:tcPr>
            <w:tcW w:w="1428" w:type="dxa"/>
            <w:vMerge w:val="restart"/>
            <w:noWrap/>
            <w:vAlign w:val="center"/>
          </w:tcPr>
          <w:p>
            <w:pPr>
              <w:widowControl/>
              <w:jc w:val="center"/>
              <w:rPr>
                <w:rFonts w:cs="Times New Roman"/>
                <w:color w:val="000000"/>
                <w:kern w:val="0"/>
                <w:szCs w:val="21"/>
              </w:rPr>
            </w:pPr>
            <w:r>
              <w:rPr>
                <w:rFonts w:cs="Times New Roman"/>
                <w:color w:val="000000"/>
                <w:kern w:val="0"/>
                <w:szCs w:val="21"/>
              </w:rPr>
              <w:t>地坪(</w:t>
            </w:r>
            <w:r>
              <w:rPr>
                <w:rFonts w:cs="Times New Roman"/>
                <w:color w:val="000000"/>
                <w:szCs w:val="21"/>
              </w:rPr>
              <w:t>m</w:t>
            </w:r>
            <w:r>
              <w:rPr>
                <w:rFonts w:cs="Times New Roman"/>
                <w:color w:val="000000"/>
                <w:szCs w:val="21"/>
                <w:vertAlign w:val="superscript"/>
              </w:rPr>
              <w:t>2</w:t>
            </w:r>
            <w:r>
              <w:rPr>
                <w:rFonts w:cs="Times New Roman"/>
                <w:color w:val="000000"/>
                <w:kern w:val="0"/>
                <w:szCs w:val="21"/>
              </w:rPr>
              <w:t>)</w:t>
            </w: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1300.73</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1300.73</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1300.73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continue"/>
            <w:noWrap w:val="0"/>
            <w:vAlign w:val="center"/>
          </w:tcPr>
          <w:p>
            <w:pPr>
              <w:widowControl/>
              <w:jc w:val="left"/>
              <w:rPr>
                <w:rFonts w:cs="Times New Roman"/>
                <w:color w:val="000000"/>
                <w:kern w:val="0"/>
                <w:szCs w:val="21"/>
              </w:rPr>
            </w:pPr>
          </w:p>
        </w:tc>
        <w:tc>
          <w:tcPr>
            <w:tcW w:w="1428" w:type="dxa"/>
            <w:vMerge w:val="continue"/>
            <w:noWrap w:val="0"/>
            <w:vAlign w:val="center"/>
          </w:tcPr>
          <w:p>
            <w:pPr>
              <w:widowControl/>
              <w:jc w:val="left"/>
              <w:rPr>
                <w:rFonts w:cs="Times New Roman"/>
                <w:color w:val="000000"/>
                <w:kern w:val="0"/>
                <w:szCs w:val="21"/>
              </w:rPr>
            </w:pP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水泥</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1218.72</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1218.72</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1218.72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continue"/>
            <w:noWrap w:val="0"/>
            <w:vAlign w:val="center"/>
          </w:tcPr>
          <w:p>
            <w:pPr>
              <w:widowControl/>
              <w:jc w:val="left"/>
              <w:rPr>
                <w:rFonts w:cs="Times New Roman"/>
                <w:color w:val="000000"/>
                <w:kern w:val="0"/>
                <w:szCs w:val="21"/>
              </w:rPr>
            </w:pPr>
          </w:p>
        </w:tc>
        <w:tc>
          <w:tcPr>
            <w:tcW w:w="1428" w:type="dxa"/>
            <w:vMerge w:val="continue"/>
            <w:noWrap w:val="0"/>
            <w:vAlign w:val="center"/>
          </w:tcPr>
          <w:p>
            <w:pPr>
              <w:widowControl/>
              <w:jc w:val="left"/>
              <w:rPr>
                <w:rFonts w:cs="Times New Roman"/>
                <w:color w:val="000000"/>
                <w:kern w:val="0"/>
                <w:szCs w:val="21"/>
              </w:rPr>
            </w:pP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铺砖</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82.01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82.01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82.01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砖砌围墙</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21.00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圈舍</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90.81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90.81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90.81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4</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护栏</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56.61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56.61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56.61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排碑</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2.24</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2.24</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6</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香炉</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2.59</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2.59</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浆砌石基础</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204.42</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204.42</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204.42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8</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铁门</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13.2</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13.2</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遮阴网棚</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213.27</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213.27</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213.27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10</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屋外灶台</w:t>
            </w:r>
          </w:p>
        </w:tc>
        <w:tc>
          <w:tcPr>
            <w:tcW w:w="92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1.2</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1.2</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restart"/>
            <w:noWrap w:val="0"/>
            <w:vAlign w:val="center"/>
          </w:tcPr>
          <w:p>
            <w:pPr>
              <w:widowControl/>
              <w:jc w:val="center"/>
              <w:rPr>
                <w:rFonts w:cs="Times New Roman"/>
                <w:color w:val="000000"/>
                <w:kern w:val="0"/>
                <w:szCs w:val="21"/>
              </w:rPr>
            </w:pPr>
            <w:r>
              <w:rPr>
                <w:rFonts w:cs="Times New Roman"/>
                <w:color w:val="000000"/>
                <w:kern w:val="0"/>
                <w:szCs w:val="21"/>
              </w:rPr>
              <w:t>11</w:t>
            </w:r>
          </w:p>
        </w:tc>
        <w:tc>
          <w:tcPr>
            <w:tcW w:w="1428" w:type="dxa"/>
            <w:vMerge w:val="restart"/>
            <w:noWrap/>
            <w:vAlign w:val="center"/>
          </w:tcPr>
          <w:p>
            <w:pPr>
              <w:widowControl/>
              <w:jc w:val="center"/>
              <w:rPr>
                <w:rFonts w:cs="Times New Roman"/>
                <w:color w:val="000000"/>
                <w:kern w:val="0"/>
                <w:szCs w:val="21"/>
              </w:rPr>
            </w:pPr>
            <w:r>
              <w:rPr>
                <w:rFonts w:cs="Times New Roman"/>
                <w:color w:val="000000"/>
                <w:kern w:val="0"/>
                <w:szCs w:val="21"/>
              </w:rPr>
              <w:t>入户道路(</w:t>
            </w:r>
            <w:r>
              <w:rPr>
                <w:rFonts w:cs="Times New Roman"/>
                <w:color w:val="000000"/>
                <w:szCs w:val="21"/>
              </w:rPr>
              <w:t>m</w:t>
            </w:r>
            <w:r>
              <w:rPr>
                <w:rFonts w:cs="Times New Roman"/>
                <w:color w:val="000000"/>
                <w:szCs w:val="21"/>
                <w:vertAlign w:val="superscript"/>
              </w:rPr>
              <w:t>2</w:t>
            </w:r>
            <w:r>
              <w:rPr>
                <w:rFonts w:cs="Times New Roman"/>
                <w:color w:val="000000"/>
                <w:kern w:val="0"/>
                <w:szCs w:val="21"/>
              </w:rPr>
              <w:t>)</w:t>
            </w: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188.48</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188.48</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188.48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continue"/>
            <w:noWrap w:val="0"/>
            <w:vAlign w:val="center"/>
          </w:tcPr>
          <w:p>
            <w:pPr>
              <w:widowControl/>
              <w:jc w:val="left"/>
              <w:rPr>
                <w:rFonts w:cs="Times New Roman"/>
                <w:color w:val="000000"/>
                <w:kern w:val="0"/>
                <w:szCs w:val="21"/>
              </w:rPr>
            </w:pPr>
          </w:p>
        </w:tc>
        <w:tc>
          <w:tcPr>
            <w:tcW w:w="1428" w:type="dxa"/>
            <w:vMerge w:val="continue"/>
            <w:noWrap w:val="0"/>
            <w:vAlign w:val="center"/>
          </w:tcPr>
          <w:p>
            <w:pPr>
              <w:widowControl/>
              <w:jc w:val="left"/>
              <w:rPr>
                <w:rFonts w:cs="Times New Roman"/>
                <w:color w:val="000000"/>
                <w:kern w:val="0"/>
                <w:szCs w:val="21"/>
              </w:rPr>
            </w:pP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三合土</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86.4</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86.4</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86.4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continue"/>
            <w:noWrap w:val="0"/>
            <w:vAlign w:val="center"/>
          </w:tcPr>
          <w:p>
            <w:pPr>
              <w:widowControl/>
              <w:jc w:val="left"/>
              <w:rPr>
                <w:rFonts w:cs="Times New Roman"/>
                <w:color w:val="000000"/>
                <w:kern w:val="0"/>
                <w:szCs w:val="21"/>
              </w:rPr>
            </w:pPr>
          </w:p>
        </w:tc>
        <w:tc>
          <w:tcPr>
            <w:tcW w:w="1428" w:type="dxa"/>
            <w:vMerge w:val="continue"/>
            <w:noWrap w:val="0"/>
            <w:vAlign w:val="center"/>
          </w:tcPr>
          <w:p>
            <w:pPr>
              <w:widowControl/>
              <w:jc w:val="left"/>
              <w:rPr>
                <w:rFonts w:cs="Times New Roman"/>
                <w:color w:val="000000"/>
                <w:kern w:val="0"/>
                <w:szCs w:val="21"/>
              </w:rPr>
            </w:pP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土</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102.08</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102.08</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102.08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noWrap w:val="0"/>
            <w:vAlign w:val="center"/>
          </w:tcPr>
          <w:p>
            <w:pPr>
              <w:widowControl/>
              <w:jc w:val="center"/>
              <w:rPr>
                <w:rFonts w:cs="Times New Roman"/>
                <w:color w:val="000000"/>
                <w:kern w:val="0"/>
                <w:szCs w:val="21"/>
              </w:rPr>
            </w:pPr>
            <w:r>
              <w:rPr>
                <w:rFonts w:cs="Times New Roman"/>
                <w:color w:val="000000"/>
                <w:kern w:val="0"/>
                <w:szCs w:val="21"/>
              </w:rPr>
              <w:t>12</w:t>
            </w:r>
          </w:p>
        </w:tc>
        <w:tc>
          <w:tcPr>
            <w:tcW w:w="1428" w:type="dxa"/>
            <w:noWrap/>
            <w:vAlign w:val="center"/>
          </w:tcPr>
          <w:p>
            <w:pPr>
              <w:widowControl/>
              <w:jc w:val="center"/>
              <w:rPr>
                <w:rFonts w:cs="Times New Roman"/>
                <w:color w:val="000000"/>
                <w:kern w:val="0"/>
                <w:szCs w:val="21"/>
              </w:rPr>
            </w:pPr>
            <w:r>
              <w:rPr>
                <w:rFonts w:cs="Times New Roman"/>
                <w:color w:val="000000"/>
                <w:kern w:val="0"/>
                <w:szCs w:val="21"/>
              </w:rPr>
              <w:t>化粪池</w:t>
            </w: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个</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restart"/>
            <w:noWrap w:val="0"/>
            <w:vAlign w:val="center"/>
          </w:tcPr>
          <w:p>
            <w:pPr>
              <w:widowControl/>
              <w:jc w:val="center"/>
              <w:rPr>
                <w:rFonts w:cs="Times New Roman"/>
                <w:color w:val="000000"/>
                <w:kern w:val="0"/>
                <w:szCs w:val="21"/>
              </w:rPr>
            </w:pPr>
            <w:r>
              <w:rPr>
                <w:rFonts w:cs="Times New Roman"/>
                <w:color w:val="000000"/>
                <w:kern w:val="0"/>
                <w:szCs w:val="21"/>
              </w:rPr>
              <w:t>13</w:t>
            </w:r>
          </w:p>
        </w:tc>
        <w:tc>
          <w:tcPr>
            <w:tcW w:w="1428" w:type="dxa"/>
            <w:vMerge w:val="restart"/>
            <w:noWrap/>
            <w:vAlign w:val="center"/>
          </w:tcPr>
          <w:p>
            <w:pPr>
              <w:widowControl/>
              <w:jc w:val="center"/>
              <w:rPr>
                <w:rFonts w:cs="Times New Roman"/>
                <w:color w:val="000000"/>
                <w:kern w:val="0"/>
                <w:szCs w:val="21"/>
              </w:rPr>
            </w:pPr>
            <w:r>
              <w:rPr>
                <w:rFonts w:cs="Times New Roman"/>
                <w:color w:val="000000"/>
                <w:kern w:val="0"/>
                <w:szCs w:val="21"/>
              </w:rPr>
              <w:t>蜂箱(个)</w:t>
            </w: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600</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600</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continue"/>
            <w:noWrap w:val="0"/>
            <w:vAlign w:val="center"/>
          </w:tcPr>
          <w:p>
            <w:pPr>
              <w:widowControl/>
              <w:jc w:val="left"/>
              <w:rPr>
                <w:rFonts w:cs="Times New Roman"/>
                <w:color w:val="000000"/>
                <w:kern w:val="0"/>
                <w:szCs w:val="21"/>
              </w:rPr>
            </w:pPr>
          </w:p>
        </w:tc>
        <w:tc>
          <w:tcPr>
            <w:tcW w:w="1428" w:type="dxa"/>
            <w:vMerge w:val="continue"/>
            <w:noWrap w:val="0"/>
            <w:vAlign w:val="center"/>
          </w:tcPr>
          <w:p>
            <w:pPr>
              <w:widowControl/>
              <w:jc w:val="left"/>
              <w:rPr>
                <w:rFonts w:cs="Times New Roman"/>
                <w:color w:val="000000"/>
                <w:kern w:val="0"/>
                <w:szCs w:val="21"/>
              </w:rPr>
            </w:pPr>
          </w:p>
        </w:tc>
        <w:tc>
          <w:tcPr>
            <w:tcW w:w="924" w:type="dxa"/>
            <w:noWrap w:val="0"/>
            <w:vAlign w:val="center"/>
          </w:tcPr>
          <w:p>
            <w:pPr>
              <w:widowControl/>
              <w:jc w:val="center"/>
              <w:rPr>
                <w:rFonts w:cs="Times New Roman"/>
                <w:color w:val="000000"/>
                <w:kern w:val="0"/>
                <w:szCs w:val="21"/>
              </w:rPr>
            </w:pPr>
            <w:r>
              <w:rPr>
                <w:rFonts w:cs="Times New Roman"/>
                <w:color w:val="000000"/>
                <w:kern w:val="0"/>
                <w:szCs w:val="21"/>
              </w:rPr>
              <w:t>有蜂</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500</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noWrap w:val="0"/>
            <w:vAlign w:val="center"/>
          </w:tcPr>
          <w:p>
            <w:pPr>
              <w:widowControl/>
              <w:jc w:val="center"/>
              <w:rPr>
                <w:rFonts w:cs="Times New Roman"/>
                <w:color w:val="000000"/>
                <w:kern w:val="0"/>
                <w:szCs w:val="21"/>
              </w:rPr>
            </w:pPr>
            <w:r>
              <w:rPr>
                <w:rFonts w:cs="Times New Roman"/>
                <w:color w:val="000000"/>
                <w:kern w:val="0"/>
                <w:szCs w:val="21"/>
              </w:rPr>
              <w:t>500</w:t>
            </w:r>
          </w:p>
        </w:tc>
        <w:tc>
          <w:tcPr>
            <w:tcW w:w="74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noWrap w:val="0"/>
            <w:vAlign w:val="center"/>
          </w:tcPr>
          <w:p>
            <w:pPr>
              <w:widowControl/>
              <w:jc w:val="center"/>
              <w:rPr>
                <w:rFonts w:cs="Times New Roman"/>
                <w:color w:val="000000"/>
                <w:kern w:val="0"/>
                <w:szCs w:val="21"/>
              </w:rPr>
            </w:pPr>
            <w:r>
              <w:rPr>
                <w:rFonts w:cs="Times New Roman"/>
                <w:color w:val="000000"/>
                <w:kern w:val="0"/>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Merge w:val="continue"/>
            <w:tcBorders>
              <w:bottom w:val="single" w:color="auto" w:sz="12" w:space="0"/>
            </w:tcBorders>
            <w:noWrap w:val="0"/>
            <w:vAlign w:val="center"/>
          </w:tcPr>
          <w:p>
            <w:pPr>
              <w:widowControl/>
              <w:jc w:val="left"/>
              <w:rPr>
                <w:rFonts w:cs="Times New Roman"/>
                <w:color w:val="000000"/>
                <w:kern w:val="0"/>
                <w:szCs w:val="21"/>
              </w:rPr>
            </w:pPr>
          </w:p>
        </w:tc>
        <w:tc>
          <w:tcPr>
            <w:tcW w:w="1428" w:type="dxa"/>
            <w:vMerge w:val="continue"/>
            <w:tcBorders>
              <w:bottom w:val="single" w:color="auto" w:sz="12" w:space="0"/>
            </w:tcBorders>
            <w:noWrap w:val="0"/>
            <w:vAlign w:val="center"/>
          </w:tcPr>
          <w:p>
            <w:pPr>
              <w:widowControl/>
              <w:jc w:val="left"/>
              <w:rPr>
                <w:rFonts w:cs="Times New Roman"/>
                <w:color w:val="000000"/>
                <w:kern w:val="0"/>
                <w:szCs w:val="21"/>
              </w:rPr>
            </w:pPr>
          </w:p>
        </w:tc>
        <w:tc>
          <w:tcPr>
            <w:tcW w:w="924"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无蜂</w:t>
            </w:r>
          </w:p>
        </w:tc>
        <w:tc>
          <w:tcPr>
            <w:tcW w:w="908"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100</w:t>
            </w:r>
          </w:p>
        </w:tc>
        <w:tc>
          <w:tcPr>
            <w:tcW w:w="744"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768"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745"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908"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100</w:t>
            </w:r>
          </w:p>
        </w:tc>
        <w:tc>
          <w:tcPr>
            <w:tcW w:w="744"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911"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100</w:t>
            </w:r>
          </w:p>
        </w:tc>
      </w:tr>
    </w:tbl>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30" w:name="_Toc86257970"/>
      <w:bookmarkStart w:id="631" w:name="_Toc90945261"/>
      <w:bookmarkStart w:id="632" w:name="_Hlk90396024"/>
      <w:r>
        <w:rPr>
          <w:rFonts w:ascii="Times New Roman" w:hAnsi="Times New Roman" w:eastAsia="黑体" w:cs="Times New Roman"/>
          <w:bCs/>
          <w:snapToGrid w:val="0"/>
          <w:color w:val="000000"/>
          <w:kern w:val="0"/>
          <w:sz w:val="28"/>
          <w:szCs w:val="28"/>
          <w:lang w:val="en-US" w:eastAsia="zh-CN" w:bidi="ar-SA"/>
        </w:rPr>
        <w:t xml:space="preserve">8.4  </w:t>
      </w:r>
      <w:r>
        <w:rPr>
          <w:rFonts w:ascii="Times New Roman" w:hAnsi="宋体" w:eastAsia="黑体" w:cs="Times New Roman"/>
          <w:bCs/>
          <w:snapToGrid w:val="0"/>
          <w:color w:val="000000"/>
          <w:kern w:val="0"/>
          <w:sz w:val="28"/>
          <w:szCs w:val="28"/>
          <w:lang w:val="en-US" w:eastAsia="zh-CN" w:bidi="ar-SA"/>
        </w:rPr>
        <w:t>零星树木</w:t>
      </w:r>
      <w:bookmarkEnd w:id="630"/>
      <w:bookmarkEnd w:id="631"/>
    </w:p>
    <w:bookmarkEnd w:id="632"/>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联合工作组对</w:t>
      </w:r>
      <w:r>
        <w:rPr>
          <w:rFonts w:hint="eastAsia" w:ascii="Times New Roman" w:hAnsi="宋体" w:eastAsia="宋体" w:cs="Times New Roman"/>
          <w:color w:val="000000"/>
          <w:kern w:val="2"/>
          <w:sz w:val="24"/>
          <w:szCs w:val="24"/>
          <w:shd w:val="clear" w:color="auto" w:fill="auto"/>
          <w:lang w:val="en-US" w:eastAsia="zh-CN" w:bidi="ar-SA"/>
        </w:rPr>
        <w:t>陆河</w:t>
      </w:r>
      <w:r>
        <w:rPr>
          <w:rFonts w:ascii="Times New Roman" w:hAnsi="宋体" w:eastAsia="宋体" w:cs="Times New Roman"/>
          <w:color w:val="000000"/>
          <w:kern w:val="2"/>
          <w:sz w:val="24"/>
          <w:szCs w:val="24"/>
          <w:shd w:val="clear" w:color="auto" w:fill="auto"/>
          <w:lang w:val="en-US" w:eastAsia="zh-CN" w:bidi="ar-SA"/>
        </w:rPr>
        <w:t>抽水蓄能电站建设征地范围内林园地外零星分散生长的树木采用现场清点方法进行统计，分范围、逐地块、逐户进行。</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0"/>
          <w:sz w:val="24"/>
          <w:szCs w:val="24"/>
          <w:shd w:val="clear" w:color="auto" w:fill="FFFFFF"/>
          <w:lang w:val="en-US" w:eastAsia="zh-CN" w:bidi="ar-SA"/>
        </w:rPr>
      </w:pPr>
      <w:r>
        <w:rPr>
          <w:rFonts w:ascii="Times New Roman" w:hAnsi="宋体" w:eastAsia="宋体" w:cs="Times New Roman"/>
          <w:color w:val="000000"/>
          <w:kern w:val="2"/>
          <w:sz w:val="24"/>
          <w:szCs w:val="24"/>
          <w:shd w:val="clear" w:color="auto" w:fill="auto"/>
          <w:lang w:val="en-US" w:eastAsia="zh-CN" w:bidi="ar-SA"/>
        </w:rPr>
        <w:t>根据本阶段调查结果，</w:t>
      </w:r>
      <w:r>
        <w:rPr>
          <w:rFonts w:hint="eastAsia" w:ascii="Times New Roman" w:hAnsi="宋体" w:eastAsia="宋体" w:cs="Times New Roman"/>
          <w:color w:val="000000"/>
          <w:kern w:val="2"/>
          <w:sz w:val="24"/>
          <w:szCs w:val="24"/>
          <w:shd w:val="clear" w:color="auto" w:fill="auto"/>
          <w:lang w:val="en-US" w:eastAsia="zh-CN" w:bidi="ar-SA"/>
        </w:rPr>
        <w:t>陆河</w:t>
      </w:r>
      <w:r>
        <w:rPr>
          <w:rFonts w:ascii="Times New Roman" w:hAnsi="宋体" w:eastAsia="宋体" w:cs="Times New Roman"/>
          <w:color w:val="000000"/>
          <w:kern w:val="2"/>
          <w:sz w:val="24"/>
          <w:szCs w:val="24"/>
          <w:shd w:val="clear" w:color="auto" w:fill="auto"/>
          <w:lang w:val="en-US" w:eastAsia="zh-CN" w:bidi="ar-SA"/>
        </w:rPr>
        <w:t>抽水蓄能电站建设征地涉及零星树木共</w:t>
      </w:r>
      <w:r>
        <w:rPr>
          <w:rFonts w:ascii="Times New Roman" w:hAnsi="Times New Roman" w:eastAsia="宋体" w:cs="Times New Roman"/>
          <w:color w:val="000000"/>
          <w:kern w:val="2"/>
          <w:sz w:val="24"/>
          <w:szCs w:val="24"/>
          <w:shd w:val="clear" w:color="auto" w:fill="auto"/>
          <w:lang w:val="en-US" w:eastAsia="zh-CN" w:bidi="ar-SA"/>
        </w:rPr>
        <w:t>221</w:t>
      </w:r>
      <w:r>
        <w:rPr>
          <w:rFonts w:hint="eastAsia" w:ascii="Times New Roman" w:hAnsi="宋体" w:eastAsia="宋体" w:cs="Times New Roman"/>
          <w:color w:val="000000"/>
          <w:kern w:val="2"/>
          <w:sz w:val="24"/>
          <w:szCs w:val="24"/>
          <w:shd w:val="clear" w:color="auto" w:fill="auto"/>
          <w:lang w:val="en-US" w:eastAsia="zh-CN" w:bidi="ar-SA"/>
        </w:rPr>
        <w:t>棵</w:t>
      </w:r>
      <w:r>
        <w:rPr>
          <w:rFonts w:ascii="Times New Roman" w:hAnsi="宋体" w:eastAsia="宋体" w:cs="Times New Roman"/>
          <w:color w:val="000000"/>
          <w:kern w:val="2"/>
          <w:sz w:val="24"/>
          <w:szCs w:val="24"/>
          <w:shd w:val="clear" w:color="auto" w:fill="auto"/>
          <w:lang w:val="en-US" w:eastAsia="zh-CN" w:bidi="ar-SA"/>
        </w:rPr>
        <w:t>，</w:t>
      </w:r>
      <w:r>
        <w:rPr>
          <w:rFonts w:hint="eastAsia" w:ascii="Times New Roman" w:hAnsi="宋体" w:eastAsia="宋体" w:cs="Times New Roman"/>
          <w:color w:val="000000"/>
          <w:kern w:val="2"/>
          <w:sz w:val="24"/>
          <w:szCs w:val="24"/>
          <w:shd w:val="clear" w:color="auto" w:fill="auto"/>
          <w:lang w:val="en-US" w:eastAsia="zh-CN" w:bidi="ar-SA"/>
        </w:rPr>
        <w:t>均在</w:t>
      </w:r>
      <w:r>
        <w:rPr>
          <w:rFonts w:ascii="Times New Roman" w:hAnsi="宋体" w:eastAsia="宋体" w:cs="Times New Roman"/>
          <w:color w:val="000000"/>
          <w:kern w:val="2"/>
          <w:sz w:val="24"/>
          <w:szCs w:val="24"/>
          <w:shd w:val="clear" w:color="auto" w:fill="auto"/>
          <w:lang w:val="en-US" w:eastAsia="zh-CN" w:bidi="ar-SA"/>
        </w:rPr>
        <w:t>水库淹没影响区内，调查结果详见表</w:t>
      </w:r>
      <w:r>
        <w:rPr>
          <w:rFonts w:ascii="Times New Roman" w:hAnsi="Times New Roman" w:eastAsia="宋体" w:cs="Times New Roman"/>
          <w:color w:val="000000"/>
          <w:kern w:val="2"/>
          <w:sz w:val="24"/>
          <w:szCs w:val="24"/>
          <w:shd w:val="clear" w:color="auto" w:fill="auto"/>
          <w:lang w:val="en-US" w:eastAsia="zh-CN" w:bidi="ar-SA"/>
        </w:rPr>
        <w:t>8.4-1</w:t>
      </w:r>
      <w:r>
        <w:rPr>
          <w:rFonts w:ascii="Times New Roman" w:hAnsi="宋体" w:eastAsia="宋体" w:cs="Times New Roman"/>
          <w:color w:val="000000"/>
          <w:kern w:val="2"/>
          <w:sz w:val="24"/>
          <w:szCs w:val="24"/>
          <w:shd w:val="clear" w:color="auto" w:fill="auto"/>
          <w:lang w:val="en-US" w:eastAsia="zh-CN" w:bidi="ar-SA"/>
        </w:rPr>
        <w:t>。</w:t>
      </w:r>
    </w:p>
    <w:p>
      <w:pPr>
        <w:keepNext/>
        <w:widowControl w:val="0"/>
        <w:jc w:val="center"/>
        <w:rPr>
          <w:rFonts w:ascii="Times New Roman" w:hAnsi="宋体" w:eastAsia="宋体" w:cs="Times New Roman"/>
          <w:color w:val="000000"/>
          <w:kern w:val="2"/>
          <w:sz w:val="21"/>
          <w:szCs w:val="21"/>
          <w:lang w:val="en-US" w:eastAsia="zh-CN" w:bidi="ar-SA"/>
        </w:rPr>
      </w:pPr>
      <w:r>
        <w:rPr>
          <w:rFonts w:hint="eastAsia" w:ascii="Times New Roman" w:hAnsi="Times New Roman" w:eastAsia="黑体" w:cs="Times New Roman"/>
          <w:color w:val="000000"/>
          <w:kern w:val="2"/>
          <w:sz w:val="24"/>
          <w:szCs w:val="20"/>
          <w:lang w:val="en-US" w:eastAsia="zh-CN" w:bidi="ar-SA"/>
        </w:rPr>
        <w:t xml:space="preserve">        </w:t>
      </w:r>
      <w:r>
        <w:rPr>
          <w:rFonts w:ascii="Times New Roman" w:hAnsi="Times New Roman" w:eastAsia="黑体" w:cs="Times New Roman"/>
          <w:color w:val="000000"/>
          <w:kern w:val="2"/>
          <w:sz w:val="24"/>
          <w:szCs w:val="20"/>
          <w:lang w:val="en-US" w:eastAsia="zh-CN" w:bidi="ar-SA"/>
        </w:rPr>
        <w:t xml:space="preserve">表8.4-1  </w:t>
      </w:r>
      <w:r>
        <w:rPr>
          <w:rFonts w:hint="eastAsia" w:ascii="Times New Roman" w:hAnsi="Times New Roman" w:eastAsia="黑体" w:cs="Times New Roman"/>
          <w:color w:val="000000"/>
          <w:kern w:val="2"/>
          <w:sz w:val="24"/>
          <w:szCs w:val="20"/>
          <w:lang w:val="en-US" w:eastAsia="zh-CN" w:bidi="ar-SA"/>
        </w:rPr>
        <w:t>陆河</w:t>
      </w:r>
      <w:r>
        <w:rPr>
          <w:rFonts w:ascii="Times New Roman" w:hAnsi="Times New Roman" w:eastAsia="黑体" w:cs="Times New Roman"/>
          <w:color w:val="000000"/>
          <w:kern w:val="2"/>
          <w:sz w:val="24"/>
          <w:szCs w:val="20"/>
          <w:lang w:val="en-US" w:eastAsia="zh-CN" w:bidi="ar-SA"/>
        </w:rPr>
        <w:t xml:space="preserve">抽水蓄能电站建设征地影响零星树木汇总表  </w:t>
      </w:r>
      <w:r>
        <w:rPr>
          <w:rFonts w:hint="eastAsia" w:ascii="Times New Roman" w:hAnsi="Times New Roman" w:eastAsia="黑体" w:cs="Times New Roman"/>
          <w:color w:val="000000"/>
          <w:kern w:val="2"/>
          <w:sz w:val="24"/>
          <w:szCs w:val="20"/>
          <w:lang w:val="en-US" w:eastAsia="zh-CN" w:bidi="ar-SA"/>
        </w:rPr>
        <w:t xml:space="preserve">   </w:t>
      </w:r>
      <w:r>
        <w:rPr>
          <w:rFonts w:ascii="Times New Roman" w:hAnsi="Times New Roman" w:eastAsia="黑体" w:cs="Times New Roman"/>
          <w:color w:val="000000"/>
          <w:kern w:val="2"/>
          <w:sz w:val="24"/>
          <w:szCs w:val="20"/>
          <w:lang w:val="en-US" w:eastAsia="zh-CN" w:bidi="ar-SA"/>
        </w:rPr>
        <w:t xml:space="preserve">  </w:t>
      </w:r>
      <w:r>
        <w:rPr>
          <w:rFonts w:ascii="Times New Roman" w:hAnsi="宋体" w:eastAsia="宋体" w:cs="Times New Roman"/>
          <w:color w:val="000000"/>
          <w:kern w:val="2"/>
          <w:sz w:val="21"/>
          <w:szCs w:val="21"/>
          <w:lang w:val="en-US" w:eastAsia="zh-CN" w:bidi="ar-SA"/>
        </w:rPr>
        <w:t>单位：</w:t>
      </w:r>
      <w:r>
        <w:rPr>
          <w:rFonts w:hint="eastAsia" w:ascii="Times New Roman" w:hAnsi="宋体" w:eastAsia="宋体" w:cs="Times New Roman"/>
          <w:color w:val="000000"/>
          <w:kern w:val="2"/>
          <w:sz w:val="21"/>
          <w:szCs w:val="21"/>
          <w:lang w:val="en-US" w:eastAsia="zh-CN" w:bidi="ar-SA"/>
        </w:rPr>
        <w:t>棵</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228"/>
        <w:gridCol w:w="859"/>
        <w:gridCol w:w="826"/>
        <w:gridCol w:w="819"/>
        <w:gridCol w:w="861"/>
        <w:gridCol w:w="861"/>
        <w:gridCol w:w="828"/>
        <w:gridCol w:w="861"/>
        <w:gridCol w:w="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21"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122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项     目</w:t>
            </w:r>
          </w:p>
        </w:tc>
        <w:tc>
          <w:tcPr>
            <w:tcW w:w="859"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单位</w:t>
            </w:r>
          </w:p>
        </w:tc>
        <w:tc>
          <w:tcPr>
            <w:tcW w:w="826"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2541"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2549"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vMerge w:val="continue"/>
            <w:noWrap w:val="0"/>
            <w:vAlign w:val="center"/>
          </w:tcPr>
          <w:p>
            <w:pPr>
              <w:widowControl/>
              <w:jc w:val="left"/>
              <w:rPr>
                <w:rFonts w:cs="Times New Roman"/>
                <w:color w:val="000000"/>
                <w:kern w:val="0"/>
                <w:szCs w:val="21"/>
              </w:rPr>
            </w:pPr>
          </w:p>
        </w:tc>
        <w:tc>
          <w:tcPr>
            <w:tcW w:w="826" w:type="dxa"/>
            <w:vMerge w:val="continue"/>
            <w:noWrap w:val="0"/>
            <w:vAlign w:val="center"/>
          </w:tcPr>
          <w:p>
            <w:pPr>
              <w:widowControl/>
              <w:jc w:val="left"/>
              <w:rPr>
                <w:rFonts w:cs="Times New Roman"/>
                <w:color w:val="000000"/>
                <w:kern w:val="0"/>
                <w:szCs w:val="21"/>
              </w:rPr>
            </w:pP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61" w:type="dxa"/>
            <w:noWrap w:val="0"/>
            <w:vAlign w:val="center"/>
          </w:tcPr>
          <w:p>
            <w:pPr>
              <w:widowControl/>
              <w:jc w:val="center"/>
              <w:rPr>
                <w:rFonts w:hint="eastAsia" w:cs="Times New Roman"/>
                <w:color w:val="000000"/>
                <w:kern w:val="0"/>
                <w:szCs w:val="21"/>
              </w:rPr>
            </w:pPr>
            <w:r>
              <w:rPr>
                <w:rFonts w:cs="Times New Roman"/>
                <w:color w:val="000000"/>
                <w:kern w:val="0"/>
                <w:szCs w:val="21"/>
              </w:rPr>
              <w:t>永久</w:t>
            </w:r>
          </w:p>
          <w:p>
            <w:pPr>
              <w:widowControl/>
              <w:jc w:val="center"/>
              <w:rPr>
                <w:rFonts w:cs="Times New Roman"/>
                <w:color w:val="000000"/>
                <w:kern w:val="0"/>
                <w:szCs w:val="21"/>
              </w:rPr>
            </w:pPr>
            <w:r>
              <w:rPr>
                <w:rFonts w:cs="Times New Roman"/>
                <w:color w:val="000000"/>
                <w:kern w:val="0"/>
                <w:szCs w:val="21"/>
              </w:rPr>
              <w:t>占地</w:t>
            </w:r>
          </w:p>
        </w:tc>
        <w:tc>
          <w:tcPr>
            <w:tcW w:w="861" w:type="dxa"/>
            <w:noWrap w:val="0"/>
            <w:vAlign w:val="center"/>
          </w:tcPr>
          <w:p>
            <w:pPr>
              <w:widowControl/>
              <w:jc w:val="center"/>
              <w:rPr>
                <w:rFonts w:hint="eastAsia" w:cs="Times New Roman"/>
                <w:color w:val="000000"/>
                <w:kern w:val="0"/>
                <w:szCs w:val="21"/>
              </w:rPr>
            </w:pPr>
            <w:r>
              <w:rPr>
                <w:rFonts w:cs="Times New Roman"/>
                <w:color w:val="000000"/>
                <w:kern w:val="0"/>
                <w:szCs w:val="21"/>
              </w:rPr>
              <w:t>临时</w:t>
            </w:r>
          </w:p>
          <w:p>
            <w:pPr>
              <w:widowControl/>
              <w:jc w:val="center"/>
              <w:rPr>
                <w:rFonts w:cs="Times New Roman"/>
                <w:color w:val="000000"/>
                <w:kern w:val="0"/>
                <w:szCs w:val="21"/>
              </w:rPr>
            </w:pPr>
            <w:r>
              <w:rPr>
                <w:rFonts w:cs="Times New Roman"/>
                <w:color w:val="000000"/>
                <w:kern w:val="0"/>
                <w:szCs w:val="21"/>
              </w:rPr>
              <w:t>用地</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上水库淹没区</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下水库淹没区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228" w:type="dxa"/>
            <w:noWrap w:val="0"/>
            <w:vAlign w:val="center"/>
          </w:tcPr>
          <w:p>
            <w:pPr>
              <w:widowControl/>
              <w:jc w:val="center"/>
              <w:rPr>
                <w:rFonts w:cs="Times New Roman"/>
                <w:color w:val="000000"/>
                <w:kern w:val="0"/>
                <w:szCs w:val="21"/>
              </w:rPr>
            </w:pPr>
            <w:r>
              <w:rPr>
                <w:rFonts w:cs="Times New Roman"/>
                <w:color w:val="000000"/>
                <w:kern w:val="0"/>
                <w:szCs w:val="21"/>
              </w:rPr>
              <w:t>零星树木</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棵</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221</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221</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restart"/>
            <w:noWrap w:val="0"/>
            <w:vAlign w:val="center"/>
          </w:tcPr>
          <w:p>
            <w:pPr>
              <w:widowControl/>
              <w:jc w:val="center"/>
              <w:rPr>
                <w:rFonts w:cs="Times New Roman"/>
                <w:color w:val="000000"/>
                <w:kern w:val="0"/>
                <w:szCs w:val="21"/>
              </w:rPr>
            </w:pPr>
            <w:r>
              <w:rPr>
                <w:rFonts w:cs="Times New Roman"/>
                <w:color w:val="000000"/>
                <w:kern w:val="0"/>
                <w:szCs w:val="21"/>
              </w:rPr>
              <w:t>1</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杨桃(棵)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restart"/>
            <w:noWrap w:val="0"/>
            <w:vAlign w:val="center"/>
          </w:tcPr>
          <w:p>
            <w:pPr>
              <w:widowControl/>
              <w:jc w:val="center"/>
              <w:rPr>
                <w:rFonts w:cs="Times New Roman"/>
                <w:color w:val="000000"/>
                <w:kern w:val="0"/>
                <w:szCs w:val="21"/>
              </w:rPr>
            </w:pPr>
            <w:r>
              <w:rPr>
                <w:rFonts w:cs="Times New Roman"/>
                <w:color w:val="000000"/>
                <w:kern w:val="0"/>
                <w:szCs w:val="21"/>
              </w:rPr>
              <w:t>2</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葡萄(棵)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restart"/>
            <w:noWrap w:val="0"/>
            <w:vAlign w:val="center"/>
          </w:tcPr>
          <w:p>
            <w:pPr>
              <w:widowControl/>
              <w:jc w:val="center"/>
              <w:rPr>
                <w:rFonts w:cs="Times New Roman"/>
                <w:color w:val="000000"/>
                <w:kern w:val="0"/>
                <w:szCs w:val="21"/>
              </w:rPr>
            </w:pPr>
            <w:r>
              <w:rPr>
                <w:rFonts w:cs="Times New Roman"/>
                <w:color w:val="000000"/>
                <w:kern w:val="0"/>
                <w:szCs w:val="21"/>
              </w:rPr>
              <w:t>3</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枇杷(棵)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restart"/>
            <w:noWrap w:val="0"/>
            <w:vAlign w:val="center"/>
          </w:tcPr>
          <w:p>
            <w:pPr>
              <w:widowControl/>
              <w:jc w:val="center"/>
              <w:rPr>
                <w:rFonts w:cs="Times New Roman"/>
                <w:color w:val="000000"/>
                <w:kern w:val="0"/>
                <w:szCs w:val="21"/>
              </w:rPr>
            </w:pPr>
            <w:r>
              <w:rPr>
                <w:rFonts w:cs="Times New Roman"/>
                <w:color w:val="000000"/>
                <w:kern w:val="0"/>
                <w:szCs w:val="21"/>
              </w:rPr>
              <w:t>4</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杨梅(棵)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restart"/>
            <w:noWrap w:val="0"/>
            <w:vAlign w:val="center"/>
          </w:tcPr>
          <w:p>
            <w:pPr>
              <w:widowControl/>
              <w:jc w:val="center"/>
              <w:rPr>
                <w:rFonts w:cs="Times New Roman"/>
                <w:color w:val="000000"/>
                <w:kern w:val="0"/>
                <w:szCs w:val="21"/>
              </w:rPr>
            </w:pPr>
            <w:r>
              <w:rPr>
                <w:rFonts w:cs="Times New Roman"/>
                <w:color w:val="000000"/>
                <w:kern w:val="0"/>
                <w:szCs w:val="21"/>
              </w:rPr>
              <w:t>5</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树菠萝(棵)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restart"/>
            <w:noWrap w:val="0"/>
            <w:vAlign w:val="center"/>
          </w:tcPr>
          <w:p>
            <w:pPr>
              <w:widowControl/>
              <w:jc w:val="center"/>
              <w:rPr>
                <w:rFonts w:cs="Times New Roman"/>
                <w:color w:val="000000"/>
                <w:kern w:val="0"/>
                <w:szCs w:val="21"/>
              </w:rPr>
            </w:pPr>
            <w:r>
              <w:rPr>
                <w:rFonts w:cs="Times New Roman"/>
                <w:color w:val="000000"/>
                <w:kern w:val="0"/>
                <w:szCs w:val="21"/>
              </w:rPr>
              <w:t>6</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柿子(棵)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restart"/>
            <w:noWrap w:val="0"/>
            <w:vAlign w:val="center"/>
          </w:tcPr>
          <w:p>
            <w:pPr>
              <w:widowControl/>
              <w:jc w:val="center"/>
              <w:rPr>
                <w:rFonts w:cs="Times New Roman"/>
                <w:color w:val="000000"/>
                <w:kern w:val="0"/>
                <w:szCs w:val="21"/>
              </w:rPr>
            </w:pPr>
            <w:r>
              <w:rPr>
                <w:rFonts w:cs="Times New Roman"/>
                <w:color w:val="000000"/>
                <w:kern w:val="0"/>
                <w:szCs w:val="21"/>
              </w:rPr>
              <w:t>7</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沙糖桔(棵)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1"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0" w:type="dxa"/>
            <w:noWrap w:val="0"/>
            <w:vAlign w:val="center"/>
          </w:tcPr>
          <w:p>
            <w:pPr>
              <w:widowControl/>
              <w:jc w:val="center"/>
              <w:rPr>
                <w:rFonts w:cs="Times New Roman"/>
                <w:color w:val="000000"/>
                <w:kern w:val="0"/>
                <w:szCs w:val="21"/>
              </w:rPr>
            </w:pPr>
            <w:r>
              <w:rPr>
                <w:rFonts w:cs="Times New Roman"/>
                <w:color w:val="000000"/>
                <w:kern w:val="0"/>
                <w:szCs w:val="21"/>
              </w:rPr>
              <w:t>　</w:t>
            </w:r>
          </w:p>
        </w:tc>
      </w:tr>
    </w:tbl>
    <w:p>
      <w:pPr>
        <w:keepNext/>
        <w:widowControl w:val="0"/>
        <w:jc w:val="center"/>
        <w:rPr>
          <w:rFonts w:hint="eastAsia" w:ascii="Times New Roman" w:hAnsi="宋体" w:eastAsia="宋体" w:cs="Times New Roman"/>
          <w:color w:val="000000"/>
          <w:kern w:val="2"/>
          <w:sz w:val="21"/>
          <w:szCs w:val="21"/>
          <w:lang w:val="en-US" w:eastAsia="zh-CN" w:bidi="ar-SA"/>
        </w:rPr>
      </w:pPr>
      <w:r>
        <w:rPr>
          <w:rFonts w:ascii="Cambria" w:hAnsi="Cambria" w:eastAsia="黑体" w:cs="Times New Roman"/>
          <w:kern w:val="2"/>
          <w:sz w:val="20"/>
          <w:szCs w:val="20"/>
          <w:lang w:val="en-US" w:eastAsia="zh-CN" w:bidi="ar-SA"/>
        </w:rPr>
        <w:br w:type="page"/>
      </w:r>
      <w:r>
        <w:rPr>
          <w:rFonts w:ascii="Times New Roman" w:hAnsi="Times New Roman" w:eastAsia="黑体" w:cs="Times New Roman"/>
          <w:color w:val="000000"/>
          <w:kern w:val="2"/>
          <w:sz w:val="24"/>
          <w:szCs w:val="20"/>
          <w:lang w:val="en-US" w:eastAsia="zh-CN" w:bidi="ar-SA"/>
        </w:rPr>
        <w:t>表8.4-1</w:t>
      </w:r>
      <w:r>
        <w:rPr>
          <w:rFonts w:hint="eastAsia" w:ascii="Times New Roman" w:hAnsi="Times New Roman" w:eastAsia="黑体" w:cs="Times New Roman"/>
          <w:color w:val="000000"/>
          <w:kern w:val="2"/>
          <w:sz w:val="24"/>
          <w:szCs w:val="20"/>
          <w:lang w:val="en-US" w:eastAsia="zh-CN" w:bidi="ar-SA"/>
        </w:rPr>
        <w:t>(续)</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228"/>
        <w:gridCol w:w="859"/>
        <w:gridCol w:w="826"/>
        <w:gridCol w:w="819"/>
        <w:gridCol w:w="861"/>
        <w:gridCol w:w="861"/>
        <w:gridCol w:w="828"/>
        <w:gridCol w:w="861"/>
        <w:gridCol w:w="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22"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122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项     目</w:t>
            </w:r>
          </w:p>
        </w:tc>
        <w:tc>
          <w:tcPr>
            <w:tcW w:w="859"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单位</w:t>
            </w:r>
          </w:p>
        </w:tc>
        <w:tc>
          <w:tcPr>
            <w:tcW w:w="826"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2541"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2548"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vMerge w:val="continue"/>
            <w:noWrap w:val="0"/>
            <w:vAlign w:val="center"/>
          </w:tcPr>
          <w:p>
            <w:pPr>
              <w:widowControl/>
              <w:jc w:val="left"/>
              <w:rPr>
                <w:rFonts w:cs="Times New Roman"/>
                <w:color w:val="000000"/>
                <w:kern w:val="0"/>
                <w:szCs w:val="21"/>
              </w:rPr>
            </w:pPr>
          </w:p>
        </w:tc>
        <w:tc>
          <w:tcPr>
            <w:tcW w:w="826" w:type="dxa"/>
            <w:vMerge w:val="continue"/>
            <w:noWrap w:val="0"/>
            <w:vAlign w:val="center"/>
          </w:tcPr>
          <w:p>
            <w:pPr>
              <w:widowControl/>
              <w:jc w:val="left"/>
              <w:rPr>
                <w:rFonts w:cs="Times New Roman"/>
                <w:color w:val="000000"/>
                <w:kern w:val="0"/>
                <w:szCs w:val="21"/>
              </w:rPr>
            </w:pP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61" w:type="dxa"/>
            <w:noWrap w:val="0"/>
            <w:vAlign w:val="center"/>
          </w:tcPr>
          <w:p>
            <w:pPr>
              <w:widowControl/>
              <w:jc w:val="center"/>
              <w:rPr>
                <w:rFonts w:hint="eastAsia" w:cs="Times New Roman"/>
                <w:color w:val="000000"/>
                <w:kern w:val="0"/>
                <w:szCs w:val="21"/>
              </w:rPr>
            </w:pPr>
            <w:r>
              <w:rPr>
                <w:rFonts w:cs="Times New Roman"/>
                <w:color w:val="000000"/>
                <w:kern w:val="0"/>
                <w:szCs w:val="21"/>
              </w:rPr>
              <w:t>永久</w:t>
            </w:r>
          </w:p>
          <w:p>
            <w:pPr>
              <w:widowControl/>
              <w:jc w:val="center"/>
              <w:rPr>
                <w:rFonts w:cs="Times New Roman"/>
                <w:color w:val="000000"/>
                <w:kern w:val="0"/>
                <w:szCs w:val="21"/>
              </w:rPr>
            </w:pPr>
            <w:r>
              <w:rPr>
                <w:rFonts w:cs="Times New Roman"/>
                <w:color w:val="000000"/>
                <w:kern w:val="0"/>
                <w:szCs w:val="21"/>
              </w:rPr>
              <w:t>占地</w:t>
            </w:r>
          </w:p>
        </w:tc>
        <w:tc>
          <w:tcPr>
            <w:tcW w:w="861" w:type="dxa"/>
            <w:noWrap w:val="0"/>
            <w:vAlign w:val="center"/>
          </w:tcPr>
          <w:p>
            <w:pPr>
              <w:widowControl/>
              <w:jc w:val="center"/>
              <w:rPr>
                <w:rFonts w:hint="eastAsia" w:cs="Times New Roman"/>
                <w:color w:val="000000"/>
                <w:kern w:val="0"/>
                <w:szCs w:val="21"/>
              </w:rPr>
            </w:pPr>
            <w:r>
              <w:rPr>
                <w:rFonts w:cs="Times New Roman"/>
                <w:color w:val="000000"/>
                <w:kern w:val="0"/>
                <w:szCs w:val="21"/>
              </w:rPr>
              <w:t>临时</w:t>
            </w:r>
          </w:p>
          <w:p>
            <w:pPr>
              <w:widowControl/>
              <w:jc w:val="center"/>
              <w:rPr>
                <w:rFonts w:cs="Times New Roman"/>
                <w:color w:val="000000"/>
                <w:kern w:val="0"/>
                <w:szCs w:val="21"/>
              </w:rPr>
            </w:pPr>
            <w:r>
              <w:rPr>
                <w:rFonts w:cs="Times New Roman"/>
                <w:color w:val="000000"/>
                <w:kern w:val="0"/>
                <w:szCs w:val="21"/>
              </w:rPr>
              <w:t>用地</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上水库淹没区</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下水库淹没区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8</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龙眼(棵)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9</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百香果(棵)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15</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15</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15</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15</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10</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香蕉(棵)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42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42</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42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42</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11</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柚子(棵)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12</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黄皮(棵)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13</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番石榴(棵)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14</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桂花(棵)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15</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橄榄(棵)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9</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16</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榆树(棵)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7</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bl>
    <w:p>
      <w:pPr>
        <w:keepNext/>
        <w:widowControl w:val="0"/>
        <w:jc w:val="center"/>
        <w:rPr>
          <w:rFonts w:hint="eastAsia" w:ascii="Times New Roman" w:hAnsi="宋体" w:eastAsia="宋体" w:cs="Times New Roman"/>
          <w:color w:val="000000"/>
          <w:kern w:val="2"/>
          <w:sz w:val="21"/>
          <w:szCs w:val="21"/>
          <w:lang w:val="en-US" w:eastAsia="zh-CN" w:bidi="ar-SA"/>
        </w:rPr>
      </w:pPr>
      <w:r>
        <w:rPr>
          <w:rFonts w:ascii="Times New Roman" w:hAnsi="Times New Roman" w:eastAsia="黑体" w:cs="Times New Roman"/>
          <w:color w:val="000000"/>
          <w:kern w:val="2"/>
          <w:sz w:val="24"/>
          <w:szCs w:val="20"/>
          <w:lang w:val="en-US" w:eastAsia="zh-CN" w:bidi="ar-SA"/>
        </w:rPr>
        <w:t>表8.4-1</w:t>
      </w:r>
      <w:r>
        <w:rPr>
          <w:rFonts w:hint="eastAsia" w:ascii="Times New Roman" w:hAnsi="Times New Roman" w:eastAsia="黑体" w:cs="Times New Roman"/>
          <w:color w:val="000000"/>
          <w:kern w:val="2"/>
          <w:sz w:val="24"/>
          <w:szCs w:val="20"/>
          <w:lang w:val="en-US" w:eastAsia="zh-CN" w:bidi="ar-SA"/>
        </w:rPr>
        <w:t>(续)</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228"/>
        <w:gridCol w:w="859"/>
        <w:gridCol w:w="826"/>
        <w:gridCol w:w="819"/>
        <w:gridCol w:w="861"/>
        <w:gridCol w:w="861"/>
        <w:gridCol w:w="828"/>
        <w:gridCol w:w="861"/>
        <w:gridCol w:w="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22"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122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项     目</w:t>
            </w:r>
          </w:p>
        </w:tc>
        <w:tc>
          <w:tcPr>
            <w:tcW w:w="859"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单位</w:t>
            </w:r>
          </w:p>
        </w:tc>
        <w:tc>
          <w:tcPr>
            <w:tcW w:w="826"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2541"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2548"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vMerge w:val="continue"/>
            <w:noWrap w:val="0"/>
            <w:vAlign w:val="center"/>
          </w:tcPr>
          <w:p>
            <w:pPr>
              <w:widowControl/>
              <w:jc w:val="left"/>
              <w:rPr>
                <w:rFonts w:cs="Times New Roman"/>
                <w:color w:val="000000"/>
                <w:kern w:val="0"/>
                <w:szCs w:val="21"/>
              </w:rPr>
            </w:pPr>
          </w:p>
        </w:tc>
        <w:tc>
          <w:tcPr>
            <w:tcW w:w="826" w:type="dxa"/>
            <w:vMerge w:val="continue"/>
            <w:noWrap w:val="0"/>
            <w:vAlign w:val="center"/>
          </w:tcPr>
          <w:p>
            <w:pPr>
              <w:widowControl/>
              <w:jc w:val="left"/>
              <w:rPr>
                <w:rFonts w:cs="Times New Roman"/>
                <w:color w:val="000000"/>
                <w:kern w:val="0"/>
                <w:szCs w:val="21"/>
              </w:rPr>
            </w:pP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61" w:type="dxa"/>
            <w:noWrap w:val="0"/>
            <w:vAlign w:val="center"/>
          </w:tcPr>
          <w:p>
            <w:pPr>
              <w:widowControl/>
              <w:jc w:val="center"/>
              <w:rPr>
                <w:rFonts w:hint="eastAsia" w:cs="Times New Roman"/>
                <w:color w:val="000000"/>
                <w:kern w:val="0"/>
                <w:szCs w:val="21"/>
              </w:rPr>
            </w:pPr>
            <w:r>
              <w:rPr>
                <w:rFonts w:cs="Times New Roman"/>
                <w:color w:val="000000"/>
                <w:kern w:val="0"/>
                <w:szCs w:val="21"/>
              </w:rPr>
              <w:t>永久</w:t>
            </w:r>
          </w:p>
          <w:p>
            <w:pPr>
              <w:widowControl/>
              <w:jc w:val="center"/>
              <w:rPr>
                <w:rFonts w:cs="Times New Roman"/>
                <w:color w:val="000000"/>
                <w:kern w:val="0"/>
                <w:szCs w:val="21"/>
              </w:rPr>
            </w:pPr>
            <w:r>
              <w:rPr>
                <w:rFonts w:cs="Times New Roman"/>
                <w:color w:val="000000"/>
                <w:kern w:val="0"/>
                <w:szCs w:val="21"/>
              </w:rPr>
              <w:t>占地</w:t>
            </w:r>
          </w:p>
        </w:tc>
        <w:tc>
          <w:tcPr>
            <w:tcW w:w="861" w:type="dxa"/>
            <w:noWrap w:val="0"/>
            <w:vAlign w:val="center"/>
          </w:tcPr>
          <w:p>
            <w:pPr>
              <w:widowControl/>
              <w:jc w:val="center"/>
              <w:rPr>
                <w:rFonts w:hint="eastAsia" w:cs="Times New Roman"/>
                <w:color w:val="000000"/>
                <w:kern w:val="0"/>
                <w:szCs w:val="21"/>
              </w:rPr>
            </w:pPr>
            <w:r>
              <w:rPr>
                <w:rFonts w:cs="Times New Roman"/>
                <w:color w:val="000000"/>
                <w:kern w:val="0"/>
                <w:szCs w:val="21"/>
              </w:rPr>
              <w:t>临时</w:t>
            </w:r>
          </w:p>
          <w:p>
            <w:pPr>
              <w:widowControl/>
              <w:jc w:val="center"/>
              <w:rPr>
                <w:rFonts w:cs="Times New Roman"/>
                <w:color w:val="000000"/>
                <w:kern w:val="0"/>
                <w:szCs w:val="21"/>
              </w:rPr>
            </w:pPr>
            <w:r>
              <w:rPr>
                <w:rFonts w:cs="Times New Roman"/>
                <w:color w:val="000000"/>
                <w:kern w:val="0"/>
                <w:szCs w:val="21"/>
              </w:rPr>
              <w:t>用地</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上水库淹没区</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下水库淹没区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17</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火炬松(棵)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18</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仙人掌(棵)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19</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木棉树(棵)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5</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20</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三角梅(棵)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20</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20</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20</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20</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21</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芙蓉树(棵)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22</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榕树(棵)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23</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杉树(棵)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6</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6</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6</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6</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24</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七里香(棵)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12</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12</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8</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8</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4</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4</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25</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紫薇(棵)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3</w:t>
            </w:r>
          </w:p>
        </w:tc>
      </w:tr>
    </w:tbl>
    <w:p>
      <w:pPr>
        <w:keepNext/>
        <w:widowControl w:val="0"/>
        <w:jc w:val="center"/>
        <w:rPr>
          <w:rFonts w:hint="eastAsia" w:ascii="Times New Roman" w:hAnsi="宋体" w:eastAsia="宋体" w:cs="Times New Roman"/>
          <w:color w:val="000000"/>
          <w:kern w:val="2"/>
          <w:sz w:val="21"/>
          <w:szCs w:val="21"/>
          <w:lang w:val="en-US" w:eastAsia="zh-CN" w:bidi="ar-SA"/>
        </w:rPr>
      </w:pPr>
      <w:r>
        <w:rPr>
          <w:rFonts w:ascii="Times New Roman" w:hAnsi="Times New Roman" w:eastAsia="黑体" w:cs="Times New Roman"/>
          <w:color w:val="000000"/>
          <w:kern w:val="2"/>
          <w:sz w:val="24"/>
          <w:szCs w:val="20"/>
          <w:lang w:val="en-US" w:eastAsia="zh-CN" w:bidi="ar-SA"/>
        </w:rPr>
        <w:t>表8.4-1</w:t>
      </w:r>
      <w:r>
        <w:rPr>
          <w:rFonts w:hint="eastAsia" w:ascii="Times New Roman" w:hAnsi="Times New Roman" w:eastAsia="黑体" w:cs="Times New Roman"/>
          <w:color w:val="000000"/>
          <w:kern w:val="2"/>
          <w:sz w:val="24"/>
          <w:szCs w:val="20"/>
          <w:lang w:val="en-US" w:eastAsia="zh-CN" w:bidi="ar-SA"/>
        </w:rPr>
        <w:t>(续)</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228"/>
        <w:gridCol w:w="859"/>
        <w:gridCol w:w="826"/>
        <w:gridCol w:w="819"/>
        <w:gridCol w:w="861"/>
        <w:gridCol w:w="861"/>
        <w:gridCol w:w="828"/>
        <w:gridCol w:w="861"/>
        <w:gridCol w:w="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22"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122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项     目</w:t>
            </w:r>
          </w:p>
        </w:tc>
        <w:tc>
          <w:tcPr>
            <w:tcW w:w="859"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单位</w:t>
            </w:r>
          </w:p>
        </w:tc>
        <w:tc>
          <w:tcPr>
            <w:tcW w:w="826"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2541"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2548"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vMerge w:val="continue"/>
            <w:noWrap w:val="0"/>
            <w:vAlign w:val="center"/>
          </w:tcPr>
          <w:p>
            <w:pPr>
              <w:widowControl/>
              <w:jc w:val="left"/>
              <w:rPr>
                <w:rFonts w:cs="Times New Roman"/>
                <w:color w:val="000000"/>
                <w:kern w:val="0"/>
                <w:szCs w:val="21"/>
              </w:rPr>
            </w:pPr>
          </w:p>
        </w:tc>
        <w:tc>
          <w:tcPr>
            <w:tcW w:w="826" w:type="dxa"/>
            <w:vMerge w:val="continue"/>
            <w:noWrap w:val="0"/>
            <w:vAlign w:val="center"/>
          </w:tcPr>
          <w:p>
            <w:pPr>
              <w:widowControl/>
              <w:jc w:val="left"/>
              <w:rPr>
                <w:rFonts w:cs="Times New Roman"/>
                <w:color w:val="000000"/>
                <w:kern w:val="0"/>
                <w:szCs w:val="21"/>
              </w:rPr>
            </w:pP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61" w:type="dxa"/>
            <w:noWrap w:val="0"/>
            <w:vAlign w:val="center"/>
          </w:tcPr>
          <w:p>
            <w:pPr>
              <w:widowControl/>
              <w:jc w:val="center"/>
              <w:rPr>
                <w:rFonts w:hint="eastAsia" w:cs="Times New Roman"/>
                <w:color w:val="000000"/>
                <w:kern w:val="0"/>
                <w:szCs w:val="21"/>
              </w:rPr>
            </w:pPr>
            <w:r>
              <w:rPr>
                <w:rFonts w:cs="Times New Roman"/>
                <w:color w:val="000000"/>
                <w:kern w:val="0"/>
                <w:szCs w:val="21"/>
              </w:rPr>
              <w:t>永久</w:t>
            </w:r>
          </w:p>
          <w:p>
            <w:pPr>
              <w:widowControl/>
              <w:jc w:val="center"/>
              <w:rPr>
                <w:rFonts w:cs="Times New Roman"/>
                <w:color w:val="000000"/>
                <w:kern w:val="0"/>
                <w:szCs w:val="21"/>
              </w:rPr>
            </w:pPr>
            <w:r>
              <w:rPr>
                <w:rFonts w:cs="Times New Roman"/>
                <w:color w:val="000000"/>
                <w:kern w:val="0"/>
                <w:szCs w:val="21"/>
              </w:rPr>
              <w:t>占地</w:t>
            </w:r>
          </w:p>
        </w:tc>
        <w:tc>
          <w:tcPr>
            <w:tcW w:w="861" w:type="dxa"/>
            <w:noWrap w:val="0"/>
            <w:vAlign w:val="center"/>
          </w:tcPr>
          <w:p>
            <w:pPr>
              <w:widowControl/>
              <w:jc w:val="center"/>
              <w:rPr>
                <w:rFonts w:hint="eastAsia" w:cs="Times New Roman"/>
                <w:color w:val="000000"/>
                <w:kern w:val="0"/>
                <w:szCs w:val="21"/>
              </w:rPr>
            </w:pPr>
            <w:r>
              <w:rPr>
                <w:rFonts w:cs="Times New Roman"/>
                <w:color w:val="000000"/>
                <w:kern w:val="0"/>
                <w:szCs w:val="21"/>
              </w:rPr>
              <w:t>临时</w:t>
            </w:r>
          </w:p>
          <w:p>
            <w:pPr>
              <w:widowControl/>
              <w:jc w:val="center"/>
              <w:rPr>
                <w:rFonts w:cs="Times New Roman"/>
                <w:color w:val="000000"/>
                <w:kern w:val="0"/>
                <w:szCs w:val="21"/>
              </w:rPr>
            </w:pPr>
            <w:r>
              <w:rPr>
                <w:rFonts w:cs="Times New Roman"/>
                <w:color w:val="000000"/>
                <w:kern w:val="0"/>
                <w:szCs w:val="21"/>
              </w:rPr>
              <w:t>用地</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861" w:type="dxa"/>
            <w:noWrap w:val="0"/>
            <w:vAlign w:val="center"/>
          </w:tcPr>
          <w:p>
            <w:pPr>
              <w:widowControl/>
              <w:jc w:val="center"/>
              <w:rPr>
                <w:rFonts w:cs="Times New Roman"/>
                <w:color w:val="000000"/>
                <w:kern w:val="0"/>
                <w:szCs w:val="21"/>
              </w:rPr>
            </w:pPr>
            <w:r>
              <w:rPr>
                <w:rFonts w:cs="Times New Roman"/>
                <w:color w:val="000000"/>
                <w:kern w:val="0"/>
                <w:szCs w:val="21"/>
              </w:rPr>
              <w:t>上水库淹没区</w:t>
            </w:r>
          </w:p>
        </w:tc>
        <w:tc>
          <w:tcPr>
            <w:tcW w:w="859" w:type="dxa"/>
            <w:noWrap w:val="0"/>
            <w:vAlign w:val="center"/>
          </w:tcPr>
          <w:p>
            <w:pPr>
              <w:widowControl/>
              <w:jc w:val="center"/>
              <w:rPr>
                <w:rFonts w:cs="Times New Roman"/>
                <w:color w:val="000000"/>
                <w:kern w:val="0"/>
                <w:szCs w:val="21"/>
              </w:rPr>
            </w:pPr>
            <w:r>
              <w:rPr>
                <w:rFonts w:cs="Times New Roman"/>
                <w:color w:val="000000"/>
                <w:kern w:val="0"/>
                <w:szCs w:val="21"/>
              </w:rPr>
              <w:t>下水库淹没区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restart"/>
            <w:noWrap w:val="0"/>
            <w:vAlign w:val="center"/>
          </w:tcPr>
          <w:p>
            <w:pPr>
              <w:widowControl/>
              <w:jc w:val="center"/>
              <w:rPr>
                <w:rFonts w:cs="Times New Roman"/>
                <w:color w:val="000000"/>
                <w:kern w:val="0"/>
                <w:szCs w:val="21"/>
              </w:rPr>
            </w:pPr>
            <w:r>
              <w:rPr>
                <w:rFonts w:cs="Times New Roman"/>
                <w:color w:val="000000"/>
                <w:kern w:val="0"/>
                <w:szCs w:val="21"/>
              </w:rPr>
              <w:t>26</w:t>
            </w:r>
          </w:p>
        </w:tc>
        <w:tc>
          <w:tcPr>
            <w:tcW w:w="1228" w:type="dxa"/>
            <w:vMerge w:val="restart"/>
            <w:noWrap/>
            <w:vAlign w:val="center"/>
          </w:tcPr>
          <w:p>
            <w:pPr>
              <w:widowControl/>
              <w:jc w:val="center"/>
              <w:rPr>
                <w:rFonts w:cs="Times New Roman"/>
                <w:color w:val="000000"/>
                <w:kern w:val="0"/>
                <w:szCs w:val="21"/>
              </w:rPr>
            </w:pPr>
            <w:r>
              <w:rPr>
                <w:rFonts w:cs="Times New Roman"/>
                <w:color w:val="000000"/>
                <w:kern w:val="0"/>
                <w:szCs w:val="21"/>
              </w:rPr>
              <w:t>杂树(棵)</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小计</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43</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43</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noWrap w:val="0"/>
            <w:vAlign w:val="center"/>
          </w:tcPr>
          <w:p>
            <w:pPr>
              <w:widowControl/>
              <w:jc w:val="left"/>
              <w:rPr>
                <w:rFonts w:cs="Times New Roman"/>
                <w:color w:val="000000"/>
                <w:kern w:val="0"/>
                <w:szCs w:val="21"/>
              </w:rPr>
            </w:pPr>
          </w:p>
        </w:tc>
        <w:tc>
          <w:tcPr>
            <w:tcW w:w="1228" w:type="dxa"/>
            <w:vMerge w:val="continue"/>
            <w:noWrap w:val="0"/>
            <w:vAlign w:val="center"/>
          </w:tcPr>
          <w:p>
            <w:pPr>
              <w:widowControl/>
              <w:jc w:val="left"/>
              <w:rPr>
                <w:rFonts w:cs="Times New Roman"/>
                <w:color w:val="000000"/>
                <w:kern w:val="0"/>
                <w:szCs w:val="21"/>
              </w:rPr>
            </w:pPr>
          </w:p>
        </w:tc>
        <w:tc>
          <w:tcPr>
            <w:tcW w:w="859" w:type="dxa"/>
            <w:noWrap/>
            <w:vAlign w:val="center"/>
          </w:tcPr>
          <w:p>
            <w:pPr>
              <w:widowControl/>
              <w:jc w:val="center"/>
              <w:rPr>
                <w:rFonts w:cs="Times New Roman"/>
                <w:color w:val="000000"/>
                <w:kern w:val="0"/>
                <w:szCs w:val="21"/>
              </w:rPr>
            </w:pPr>
            <w:r>
              <w:rPr>
                <w:rFonts w:cs="Times New Roman"/>
                <w:color w:val="000000"/>
                <w:kern w:val="0"/>
                <w:szCs w:val="21"/>
              </w:rPr>
              <w:t>成树</w:t>
            </w:r>
          </w:p>
        </w:tc>
        <w:tc>
          <w:tcPr>
            <w:tcW w:w="826" w:type="dxa"/>
            <w:noWrap w:val="0"/>
            <w:vAlign w:val="center"/>
          </w:tcPr>
          <w:p>
            <w:pPr>
              <w:widowControl/>
              <w:jc w:val="center"/>
              <w:rPr>
                <w:rFonts w:cs="Times New Roman"/>
                <w:color w:val="000000"/>
                <w:kern w:val="0"/>
                <w:szCs w:val="21"/>
              </w:rPr>
            </w:pPr>
            <w:r>
              <w:rPr>
                <w:rFonts w:cs="Times New Roman"/>
                <w:color w:val="000000"/>
                <w:kern w:val="0"/>
                <w:szCs w:val="21"/>
              </w:rPr>
              <w:t>43</w:t>
            </w:r>
          </w:p>
        </w:tc>
        <w:tc>
          <w:tcPr>
            <w:tcW w:w="819"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noWrap w:val="0"/>
            <w:vAlign w:val="center"/>
          </w:tcPr>
          <w:p>
            <w:pPr>
              <w:widowControl/>
              <w:jc w:val="center"/>
              <w:rPr>
                <w:rFonts w:cs="Times New Roman"/>
                <w:color w:val="000000"/>
                <w:kern w:val="0"/>
                <w:szCs w:val="21"/>
              </w:rPr>
            </w:pPr>
            <w:r>
              <w:rPr>
                <w:rFonts w:cs="Times New Roman"/>
                <w:color w:val="000000"/>
                <w:kern w:val="0"/>
                <w:szCs w:val="21"/>
              </w:rPr>
              <w:t>43</w:t>
            </w:r>
          </w:p>
        </w:tc>
        <w:tc>
          <w:tcPr>
            <w:tcW w:w="861"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noWrap/>
            <w:vAlign w:val="center"/>
          </w:tcPr>
          <w:p>
            <w:pPr>
              <w:widowControl/>
              <w:jc w:val="center"/>
              <w:rPr>
                <w:rFonts w:cs="Times New Roman"/>
                <w:color w:val="000000"/>
                <w:kern w:val="0"/>
                <w:szCs w:val="21"/>
              </w:rPr>
            </w:pPr>
            <w:r>
              <w:rPr>
                <w:rFonts w:cs="Times New Roman"/>
                <w:color w:val="000000"/>
                <w:kern w:val="0"/>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 w:type="dxa"/>
            <w:vMerge w:val="continue"/>
            <w:tcBorders>
              <w:bottom w:val="single" w:color="auto" w:sz="12" w:space="0"/>
            </w:tcBorders>
            <w:noWrap w:val="0"/>
            <w:vAlign w:val="center"/>
          </w:tcPr>
          <w:p>
            <w:pPr>
              <w:widowControl/>
              <w:jc w:val="left"/>
              <w:rPr>
                <w:rFonts w:cs="Times New Roman"/>
                <w:color w:val="000000"/>
                <w:kern w:val="0"/>
                <w:szCs w:val="21"/>
              </w:rPr>
            </w:pPr>
          </w:p>
        </w:tc>
        <w:tc>
          <w:tcPr>
            <w:tcW w:w="1228" w:type="dxa"/>
            <w:vMerge w:val="continue"/>
            <w:tcBorders>
              <w:bottom w:val="single" w:color="auto" w:sz="12" w:space="0"/>
            </w:tcBorders>
            <w:noWrap w:val="0"/>
            <w:vAlign w:val="center"/>
          </w:tcPr>
          <w:p>
            <w:pPr>
              <w:widowControl/>
              <w:jc w:val="left"/>
              <w:rPr>
                <w:rFonts w:cs="Times New Roman"/>
                <w:color w:val="000000"/>
                <w:kern w:val="0"/>
                <w:szCs w:val="21"/>
              </w:rPr>
            </w:pPr>
          </w:p>
        </w:tc>
        <w:tc>
          <w:tcPr>
            <w:tcW w:w="859"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幼苗</w:t>
            </w:r>
          </w:p>
        </w:tc>
        <w:tc>
          <w:tcPr>
            <w:tcW w:w="826"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819"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861"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828"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861"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859"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r>
    </w:tbl>
    <w:p>
      <w:pPr>
        <w:rPr>
          <w:rFonts w:cs="Times New Roman"/>
          <w:color w:val="000000"/>
          <w:szCs w:val="22"/>
        </w:rPr>
      </w:pPr>
    </w:p>
    <w:p>
      <w:pPr>
        <w:widowControl w:val="0"/>
        <w:adjustRightInd w:val="0"/>
        <w:snapToGrid w:val="0"/>
        <w:spacing w:before="120" w:after="60" w:line="480" w:lineRule="exact"/>
        <w:jc w:val="left"/>
        <w:outlineLvl w:val="1"/>
        <w:rPr>
          <w:rFonts w:hint="eastAsia" w:ascii="Times New Roman" w:hAnsi="Times New Roman" w:eastAsia="黑体" w:cs="Times New Roman"/>
          <w:bCs/>
          <w:snapToGrid w:val="0"/>
          <w:color w:val="000000"/>
          <w:kern w:val="0"/>
          <w:sz w:val="28"/>
          <w:szCs w:val="28"/>
          <w:lang w:val="en-US" w:eastAsia="zh-CN" w:bidi="ar-SA"/>
        </w:rPr>
      </w:pPr>
      <w:bookmarkStart w:id="633" w:name="_Toc90945262"/>
      <w:r>
        <w:rPr>
          <w:rFonts w:ascii="Times New Roman" w:hAnsi="Times New Roman" w:eastAsia="黑体" w:cs="Times New Roman"/>
          <w:bCs/>
          <w:snapToGrid w:val="0"/>
          <w:color w:val="000000"/>
          <w:kern w:val="0"/>
          <w:sz w:val="28"/>
          <w:szCs w:val="28"/>
          <w:lang w:val="en-US" w:eastAsia="zh-CN" w:bidi="ar-SA"/>
        </w:rPr>
        <w:t xml:space="preserve">8.5  </w:t>
      </w:r>
      <w:r>
        <w:rPr>
          <w:rFonts w:hint="eastAsia" w:ascii="Times New Roman" w:hAnsi="宋体" w:eastAsia="黑体" w:cs="Times New Roman"/>
          <w:bCs/>
          <w:snapToGrid w:val="0"/>
          <w:color w:val="000000"/>
          <w:kern w:val="0"/>
          <w:sz w:val="28"/>
          <w:szCs w:val="28"/>
          <w:lang w:val="en-US" w:eastAsia="zh-CN" w:bidi="ar-SA"/>
        </w:rPr>
        <w:t>坟墓</w:t>
      </w:r>
      <w:bookmarkEnd w:id="633"/>
    </w:p>
    <w:p>
      <w:pPr>
        <w:overflowPunct w:val="0"/>
        <w:autoSpaceDE w:val="0"/>
        <w:autoSpaceDN w:val="0"/>
        <w:adjustRightInd w:val="0"/>
        <w:snapToGrid w:val="0"/>
        <w:spacing w:line="500" w:lineRule="exact"/>
        <w:ind w:firstLine="480" w:firstLineChars="200"/>
        <w:rPr>
          <w:rFonts w:hAnsi="宋体" w:cs="Times New Roman"/>
          <w:color w:val="000000"/>
          <w:sz w:val="24"/>
          <w:szCs w:val="24"/>
        </w:rPr>
      </w:pPr>
      <w:r>
        <w:rPr>
          <w:rFonts w:hAnsi="宋体" w:cs="Times New Roman"/>
          <w:color w:val="000000"/>
          <w:sz w:val="24"/>
          <w:szCs w:val="24"/>
        </w:rPr>
        <w:t>根据调查细则的要求，</w:t>
      </w:r>
      <w:r>
        <w:rPr>
          <w:rFonts w:hint="eastAsia" w:hAnsi="宋体" w:cs="Times New Roman"/>
          <w:color w:val="000000"/>
          <w:sz w:val="24"/>
          <w:szCs w:val="24"/>
        </w:rPr>
        <w:t>陆河</w:t>
      </w:r>
      <w:r>
        <w:rPr>
          <w:rFonts w:hAnsi="宋体" w:cs="Times New Roman"/>
          <w:color w:val="000000"/>
          <w:sz w:val="24"/>
          <w:szCs w:val="24"/>
        </w:rPr>
        <w:t>抽水蓄能电站建设征地</w:t>
      </w:r>
      <w:r>
        <w:rPr>
          <w:rFonts w:hint="eastAsia" w:hAnsi="宋体" w:cs="Times New Roman"/>
          <w:color w:val="000000"/>
          <w:sz w:val="24"/>
          <w:szCs w:val="24"/>
        </w:rPr>
        <w:t>范围内的所有坟墓，采取由村组自报、调查组现场抽查核实的方式调查。</w:t>
      </w:r>
    </w:p>
    <w:p>
      <w:pPr>
        <w:overflowPunct w:val="0"/>
        <w:autoSpaceDE w:val="0"/>
        <w:autoSpaceDN w:val="0"/>
        <w:adjustRightInd w:val="0"/>
        <w:snapToGrid w:val="0"/>
        <w:spacing w:line="500" w:lineRule="exact"/>
        <w:ind w:firstLine="480" w:firstLineChars="200"/>
        <w:rPr>
          <w:rFonts w:hAnsi="宋体" w:cs="Times New Roman"/>
          <w:color w:val="000000"/>
          <w:sz w:val="24"/>
          <w:szCs w:val="24"/>
          <w:shd w:val="clear" w:color="auto" w:fill="FFFFFF"/>
        </w:rPr>
      </w:pPr>
      <w:r>
        <w:rPr>
          <w:rFonts w:hint="eastAsia" w:hAnsi="宋体" w:cs="Times New Roman"/>
          <w:color w:val="000000"/>
          <w:sz w:val="24"/>
          <w:szCs w:val="24"/>
          <w:shd w:val="clear" w:color="auto" w:fill="FFFFFF"/>
        </w:rPr>
        <w:t>陆河</w:t>
      </w:r>
      <w:r>
        <w:rPr>
          <w:rFonts w:hAnsi="宋体" w:cs="Times New Roman"/>
          <w:color w:val="000000"/>
          <w:sz w:val="24"/>
          <w:szCs w:val="24"/>
          <w:shd w:val="clear" w:color="auto" w:fill="FFFFFF"/>
        </w:rPr>
        <w:t>抽水蓄能电站建设征地涉及</w:t>
      </w:r>
      <w:r>
        <w:rPr>
          <w:rFonts w:hint="eastAsia" w:hAnsi="宋体" w:cs="Times New Roman"/>
          <w:color w:val="000000"/>
          <w:sz w:val="24"/>
          <w:szCs w:val="24"/>
          <w:shd w:val="clear" w:color="auto" w:fill="FFFFFF"/>
        </w:rPr>
        <w:t>涉及坟墓1886座</w:t>
      </w:r>
      <w:r>
        <w:rPr>
          <w:rFonts w:hAnsi="宋体" w:cs="Times New Roman"/>
          <w:color w:val="000000"/>
          <w:sz w:val="24"/>
          <w:szCs w:val="24"/>
          <w:shd w:val="clear" w:color="auto" w:fill="FFFFFF"/>
        </w:rPr>
        <w:t>，</w:t>
      </w:r>
      <w:r>
        <w:rPr>
          <w:rFonts w:hint="eastAsia" w:hAnsi="宋体" w:cs="Times New Roman"/>
          <w:color w:val="000000"/>
          <w:sz w:val="24"/>
          <w:szCs w:val="24"/>
          <w:shd w:val="clear" w:color="auto" w:fill="FFFFFF"/>
        </w:rPr>
        <w:t>其中大坟墓447座；中坟292座；金斗1147座座。具体坟墓调查情况汇总见表8.5-1。</w:t>
      </w:r>
    </w:p>
    <w:p>
      <w:pPr>
        <w:adjustRightInd w:val="0"/>
        <w:snapToGrid w:val="0"/>
        <w:spacing w:before="120" w:beforeLines="50" w:line="460" w:lineRule="exact"/>
        <w:jc w:val="center"/>
        <w:rPr>
          <w:rFonts w:eastAsia="黑体" w:cs="Times New Roman"/>
          <w:color w:val="000000"/>
          <w:sz w:val="24"/>
          <w:szCs w:val="24"/>
        </w:rPr>
      </w:pPr>
      <w:r>
        <w:rPr>
          <w:rFonts w:hint="eastAsia" w:eastAsia="黑体" w:cs="Times New Roman"/>
          <w:color w:val="000000"/>
          <w:sz w:val="24"/>
          <w:szCs w:val="24"/>
        </w:rPr>
        <w:t>表</w:t>
      </w:r>
      <w:r>
        <w:rPr>
          <w:rFonts w:eastAsia="黑体" w:cs="Times New Roman"/>
          <w:color w:val="000000"/>
          <w:sz w:val="24"/>
          <w:szCs w:val="24"/>
        </w:rPr>
        <w:t>8.5</w:t>
      </w:r>
      <w:r>
        <w:rPr>
          <w:rFonts w:eastAsia="黑体" w:cs="Times New Roman"/>
          <w:color w:val="000000"/>
          <w:sz w:val="24"/>
          <w:szCs w:val="24"/>
        </w:rPr>
        <w:noBreakHyphen/>
      </w:r>
      <w:r>
        <w:rPr>
          <w:rFonts w:eastAsia="黑体" w:cs="Times New Roman"/>
          <w:color w:val="000000"/>
          <w:sz w:val="24"/>
          <w:szCs w:val="24"/>
        </w:rPr>
        <w:fldChar w:fldCharType="begin"/>
      </w:r>
      <w:r>
        <w:rPr>
          <w:rFonts w:eastAsia="黑体" w:cs="Times New Roman"/>
          <w:color w:val="000000"/>
          <w:sz w:val="24"/>
          <w:szCs w:val="24"/>
        </w:rPr>
        <w:instrText xml:space="preserve"> </w:instrText>
      </w:r>
      <w:r>
        <w:rPr>
          <w:rFonts w:hint="eastAsia" w:eastAsia="黑体" w:cs="Times New Roman"/>
          <w:color w:val="000000"/>
          <w:sz w:val="24"/>
          <w:szCs w:val="24"/>
        </w:rPr>
        <w:instrText xml:space="preserve">SEQ 表 \* ARABIC \s 3</w:instrText>
      </w:r>
      <w:r>
        <w:rPr>
          <w:rFonts w:eastAsia="黑体" w:cs="Times New Roman"/>
          <w:color w:val="000000"/>
          <w:sz w:val="24"/>
          <w:szCs w:val="24"/>
        </w:rPr>
        <w:instrText xml:space="preserve"> </w:instrText>
      </w:r>
      <w:r>
        <w:rPr>
          <w:rFonts w:eastAsia="黑体" w:cs="Times New Roman"/>
          <w:color w:val="000000"/>
          <w:sz w:val="24"/>
          <w:szCs w:val="24"/>
        </w:rPr>
        <w:fldChar w:fldCharType="separate"/>
      </w:r>
      <w:r>
        <w:rPr>
          <w:rFonts w:eastAsia="黑体" w:cs="Times New Roman"/>
          <w:color w:val="000000"/>
          <w:sz w:val="24"/>
          <w:szCs w:val="24"/>
        </w:rPr>
        <w:t>1</w:t>
      </w:r>
      <w:r>
        <w:rPr>
          <w:rFonts w:eastAsia="黑体" w:cs="Times New Roman"/>
          <w:color w:val="000000"/>
          <w:sz w:val="24"/>
          <w:szCs w:val="24"/>
        </w:rPr>
        <w:fldChar w:fldCharType="end"/>
      </w:r>
      <w:r>
        <w:rPr>
          <w:rFonts w:hint="eastAsia" w:eastAsia="黑体" w:cs="Times New Roman"/>
          <w:color w:val="000000"/>
          <w:sz w:val="24"/>
          <w:szCs w:val="24"/>
        </w:rPr>
        <w:t xml:space="preserve">  陆河</w:t>
      </w:r>
      <w:r>
        <w:rPr>
          <w:rFonts w:eastAsia="黑体" w:cs="Times New Roman"/>
          <w:color w:val="000000"/>
          <w:sz w:val="24"/>
          <w:szCs w:val="24"/>
        </w:rPr>
        <w:t>抽水蓄能电站影响</w:t>
      </w:r>
      <w:r>
        <w:rPr>
          <w:rFonts w:hint="eastAsia" w:eastAsia="黑体" w:cs="Times New Roman"/>
          <w:color w:val="000000"/>
          <w:sz w:val="24"/>
          <w:szCs w:val="24"/>
        </w:rPr>
        <w:t>坟墓</w:t>
      </w:r>
      <w:r>
        <w:rPr>
          <w:rFonts w:eastAsia="黑体" w:cs="Times New Roman"/>
          <w:color w:val="000000"/>
          <w:sz w:val="24"/>
          <w:szCs w:val="24"/>
        </w:rPr>
        <w:t>调查汇总表</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2"/>
        <w:gridCol w:w="884"/>
        <w:gridCol w:w="882"/>
        <w:gridCol w:w="882"/>
        <w:gridCol w:w="882"/>
        <w:gridCol w:w="882"/>
        <w:gridCol w:w="882"/>
        <w:gridCol w:w="883"/>
        <w:gridCol w:w="883"/>
        <w:gridCol w:w="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序号</w:t>
            </w:r>
          </w:p>
        </w:tc>
        <w:tc>
          <w:tcPr>
            <w:tcW w:w="884"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项     目</w:t>
            </w:r>
          </w:p>
        </w:tc>
        <w:tc>
          <w:tcPr>
            <w:tcW w:w="882"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单位</w:t>
            </w:r>
          </w:p>
        </w:tc>
        <w:tc>
          <w:tcPr>
            <w:tcW w:w="882"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合计</w:t>
            </w:r>
          </w:p>
        </w:tc>
        <w:tc>
          <w:tcPr>
            <w:tcW w:w="2646" w:type="dxa"/>
            <w:gridSpan w:val="3"/>
            <w:noWrap w:val="0"/>
            <w:vAlign w:val="center"/>
          </w:tcPr>
          <w:p>
            <w:pPr>
              <w:widowControl/>
              <w:jc w:val="center"/>
              <w:textAlignment w:val="center"/>
              <w:rPr>
                <w:rFonts w:cs="Times New Roman"/>
                <w:color w:val="000000"/>
                <w:szCs w:val="21"/>
              </w:rPr>
            </w:pPr>
            <w:r>
              <w:rPr>
                <w:rFonts w:cs="Times New Roman"/>
                <w:color w:val="000000"/>
                <w:kern w:val="0"/>
                <w:szCs w:val="21"/>
                <w:lang w:bidi="ar"/>
              </w:rPr>
              <w:t>枢纽工程建设区</w:t>
            </w:r>
          </w:p>
        </w:tc>
        <w:tc>
          <w:tcPr>
            <w:tcW w:w="2648" w:type="dxa"/>
            <w:gridSpan w:val="3"/>
            <w:noWrap w:val="0"/>
            <w:vAlign w:val="center"/>
          </w:tcPr>
          <w:p>
            <w:pPr>
              <w:widowControl/>
              <w:jc w:val="center"/>
              <w:textAlignment w:val="center"/>
              <w:rPr>
                <w:rFonts w:cs="Times New Roman"/>
                <w:color w:val="000000"/>
                <w:szCs w:val="21"/>
              </w:rPr>
            </w:pPr>
            <w:r>
              <w:rPr>
                <w:rFonts w:cs="Times New Roman"/>
                <w:color w:val="000000"/>
                <w:kern w:val="0"/>
                <w:szCs w:val="21"/>
                <w:lang w:bidi="ar"/>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 w:type="dxa"/>
            <w:vMerge w:val="continue"/>
            <w:noWrap w:val="0"/>
            <w:vAlign w:val="center"/>
          </w:tcPr>
          <w:p>
            <w:pPr>
              <w:jc w:val="center"/>
              <w:rPr>
                <w:rFonts w:cs="Times New Roman"/>
                <w:color w:val="000000"/>
                <w:szCs w:val="21"/>
              </w:rPr>
            </w:pPr>
          </w:p>
        </w:tc>
        <w:tc>
          <w:tcPr>
            <w:tcW w:w="884" w:type="dxa"/>
            <w:vMerge w:val="continue"/>
            <w:noWrap w:val="0"/>
            <w:vAlign w:val="center"/>
          </w:tcPr>
          <w:p>
            <w:pPr>
              <w:jc w:val="center"/>
              <w:rPr>
                <w:rFonts w:cs="Times New Roman"/>
                <w:color w:val="000000"/>
                <w:szCs w:val="21"/>
              </w:rPr>
            </w:pPr>
          </w:p>
        </w:tc>
        <w:tc>
          <w:tcPr>
            <w:tcW w:w="882" w:type="dxa"/>
            <w:vMerge w:val="continue"/>
            <w:noWrap w:val="0"/>
            <w:vAlign w:val="center"/>
          </w:tcPr>
          <w:p>
            <w:pPr>
              <w:jc w:val="center"/>
              <w:rPr>
                <w:rFonts w:cs="Times New Roman"/>
                <w:color w:val="000000"/>
                <w:szCs w:val="21"/>
              </w:rPr>
            </w:pPr>
          </w:p>
        </w:tc>
        <w:tc>
          <w:tcPr>
            <w:tcW w:w="882" w:type="dxa"/>
            <w:vMerge w:val="continue"/>
            <w:noWrap w:val="0"/>
            <w:vAlign w:val="center"/>
          </w:tcPr>
          <w:p>
            <w:pPr>
              <w:jc w:val="center"/>
              <w:rPr>
                <w:rFonts w:cs="Times New Roman"/>
                <w:color w:val="000000"/>
                <w:szCs w:val="21"/>
              </w:rPr>
            </w:pP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882"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永久</w:t>
            </w:r>
          </w:p>
          <w:p>
            <w:pPr>
              <w:widowControl/>
              <w:jc w:val="center"/>
              <w:textAlignment w:val="center"/>
              <w:rPr>
                <w:rFonts w:cs="Times New Roman"/>
                <w:color w:val="000000"/>
                <w:szCs w:val="21"/>
              </w:rPr>
            </w:pPr>
            <w:r>
              <w:rPr>
                <w:rFonts w:cs="Times New Roman"/>
                <w:color w:val="000000"/>
                <w:kern w:val="0"/>
                <w:szCs w:val="21"/>
                <w:lang w:bidi="ar"/>
              </w:rPr>
              <w:t>占地</w:t>
            </w:r>
          </w:p>
        </w:tc>
        <w:tc>
          <w:tcPr>
            <w:tcW w:w="882"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临时</w:t>
            </w:r>
          </w:p>
          <w:p>
            <w:pPr>
              <w:widowControl/>
              <w:jc w:val="center"/>
              <w:textAlignment w:val="center"/>
              <w:rPr>
                <w:rFonts w:cs="Times New Roman"/>
                <w:color w:val="000000"/>
                <w:szCs w:val="21"/>
              </w:rPr>
            </w:pPr>
            <w:r>
              <w:rPr>
                <w:rFonts w:cs="Times New Roman"/>
                <w:color w:val="000000"/>
                <w:kern w:val="0"/>
                <w:szCs w:val="21"/>
                <w:lang w:bidi="ar"/>
              </w:rPr>
              <w:t>用地</w:t>
            </w:r>
          </w:p>
        </w:tc>
        <w:tc>
          <w:tcPr>
            <w:tcW w:w="88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小计</w:t>
            </w:r>
          </w:p>
        </w:tc>
        <w:tc>
          <w:tcPr>
            <w:tcW w:w="88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上水库淹没区</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下水库淹没区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8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大坟</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447</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260</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190</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70</w:t>
            </w:r>
          </w:p>
        </w:tc>
        <w:tc>
          <w:tcPr>
            <w:tcW w:w="88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187</w:t>
            </w:r>
          </w:p>
        </w:tc>
        <w:tc>
          <w:tcPr>
            <w:tcW w:w="88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57</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8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中坟</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292</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150</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125</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25</w:t>
            </w:r>
          </w:p>
        </w:tc>
        <w:tc>
          <w:tcPr>
            <w:tcW w:w="88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142</w:t>
            </w:r>
          </w:p>
        </w:tc>
        <w:tc>
          <w:tcPr>
            <w:tcW w:w="88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60</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8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金斗</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1147</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522</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420</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102</w:t>
            </w:r>
          </w:p>
        </w:tc>
        <w:tc>
          <w:tcPr>
            <w:tcW w:w="88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625</w:t>
            </w:r>
          </w:p>
        </w:tc>
        <w:tc>
          <w:tcPr>
            <w:tcW w:w="88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315</w:t>
            </w:r>
          </w:p>
        </w:tc>
        <w:tc>
          <w:tcPr>
            <w:tcW w:w="88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gridSpan w:val="2"/>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合计</w:t>
            </w:r>
          </w:p>
        </w:tc>
        <w:tc>
          <w:tcPr>
            <w:tcW w:w="882"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座</w:t>
            </w:r>
          </w:p>
        </w:tc>
        <w:tc>
          <w:tcPr>
            <w:tcW w:w="882"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1886</w:t>
            </w:r>
          </w:p>
        </w:tc>
        <w:tc>
          <w:tcPr>
            <w:tcW w:w="882"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932</w:t>
            </w:r>
          </w:p>
        </w:tc>
        <w:tc>
          <w:tcPr>
            <w:tcW w:w="882"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735</w:t>
            </w:r>
          </w:p>
        </w:tc>
        <w:tc>
          <w:tcPr>
            <w:tcW w:w="882"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197</w:t>
            </w:r>
          </w:p>
        </w:tc>
        <w:tc>
          <w:tcPr>
            <w:tcW w:w="883"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954</w:t>
            </w:r>
          </w:p>
        </w:tc>
        <w:tc>
          <w:tcPr>
            <w:tcW w:w="883"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432</w:t>
            </w:r>
          </w:p>
        </w:tc>
        <w:tc>
          <w:tcPr>
            <w:tcW w:w="882"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522</w:t>
            </w:r>
          </w:p>
        </w:tc>
      </w:tr>
    </w:tbl>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34" w:name="_Toc85662889"/>
      <w:bookmarkEnd w:id="634"/>
      <w:bookmarkStart w:id="635" w:name="_Toc85662817"/>
      <w:bookmarkEnd w:id="635"/>
      <w:bookmarkStart w:id="636" w:name="_Toc90945263"/>
      <w:bookmarkStart w:id="637" w:name="_Toc86257971"/>
      <w:r>
        <w:rPr>
          <w:rFonts w:hint="eastAsia" w:ascii="Times New Roman" w:hAnsi="Times New Roman" w:eastAsia="黑体" w:cs="Times New Roman"/>
          <w:bCs/>
          <w:snapToGrid w:val="0"/>
          <w:color w:val="000000"/>
          <w:kern w:val="0"/>
          <w:sz w:val="28"/>
          <w:szCs w:val="28"/>
          <w:lang w:val="en-US" w:eastAsia="zh-CN" w:bidi="ar-SA"/>
        </w:rPr>
        <w:t>8.6</w:t>
      </w:r>
      <w:r>
        <w:rPr>
          <w:rFonts w:ascii="Times New Roman" w:hAnsi="Times New Roman" w:eastAsia="黑体" w:cs="Times New Roman"/>
          <w:bCs/>
          <w:snapToGrid w:val="0"/>
          <w:color w:val="000000"/>
          <w:kern w:val="0"/>
          <w:sz w:val="28"/>
          <w:szCs w:val="28"/>
          <w:lang w:val="en-US" w:eastAsia="zh-CN" w:bidi="ar-SA"/>
        </w:rPr>
        <w:t xml:space="preserve">  农村小型专项</w:t>
      </w:r>
      <w:bookmarkEnd w:id="636"/>
    </w:p>
    <w:p>
      <w:pPr>
        <w:overflowPunct w:val="0"/>
        <w:autoSpaceDE w:val="0"/>
        <w:autoSpaceDN w:val="0"/>
        <w:adjustRightInd w:val="0"/>
        <w:spacing w:line="480" w:lineRule="exact"/>
        <w:ind w:firstLine="480" w:firstLineChars="200"/>
        <w:rPr>
          <w:rFonts w:hAnsi="宋体" w:cs="Times New Roman"/>
          <w:color w:val="000000"/>
          <w:kern w:val="0"/>
          <w:szCs w:val="22"/>
        </w:rPr>
      </w:pPr>
      <w:r>
        <w:rPr>
          <w:rFonts w:cs="Times New Roman"/>
          <w:color w:val="000000"/>
          <w:sz w:val="24"/>
          <w:szCs w:val="22"/>
        </w:rPr>
        <w:t>陆河抽水蓄能电站建设征地淹没占用影响的</w:t>
      </w:r>
      <w:r>
        <w:rPr>
          <w:rFonts w:hint="eastAsia" w:cs="Times New Roman"/>
          <w:color w:val="000000"/>
          <w:sz w:val="24"/>
          <w:szCs w:val="22"/>
        </w:rPr>
        <w:t>拦河坝</w:t>
      </w:r>
      <w:r>
        <w:rPr>
          <w:rFonts w:cs="Times New Roman"/>
          <w:color w:val="000000"/>
          <w:sz w:val="24"/>
          <w:szCs w:val="22"/>
        </w:rPr>
        <w:t>共368m长，灌溉渠道共15900m。</w:t>
      </w:r>
      <w:r>
        <w:rPr>
          <w:rFonts w:hint="eastAsia" w:cs="Times New Roman"/>
          <w:color w:val="000000"/>
          <w:sz w:val="24"/>
          <w:szCs w:val="22"/>
        </w:rPr>
        <w:t>具体农村小型专项实物指标汇总表如下表8.6-1所示。</w:t>
      </w:r>
    </w:p>
    <w:p>
      <w:pPr>
        <w:widowControl w:val="0"/>
        <w:spacing w:line="480" w:lineRule="exact"/>
        <w:jc w:val="center"/>
        <w:rPr>
          <w:rFonts w:ascii="Times New Roman" w:hAnsi="Times New Roman" w:eastAsia="黑体" w:cs="Times New Roman"/>
          <w:kern w:val="2"/>
          <w:sz w:val="21"/>
          <w:szCs w:val="21"/>
          <w:vertAlign w:val="superscript"/>
          <w:lang w:val="en-US" w:eastAsia="zh-CN" w:bidi="ar-SA"/>
        </w:rPr>
      </w:pPr>
      <w:r>
        <w:rPr>
          <w:rFonts w:ascii="Times New Roman" w:hAnsi="Times New Roman" w:eastAsia="黑体" w:cs="Times New Roman"/>
          <w:kern w:val="2"/>
          <w:sz w:val="24"/>
          <w:szCs w:val="22"/>
          <w:lang w:val="en-US" w:eastAsia="zh-CN" w:bidi="ar-SA"/>
        </w:rPr>
        <w:t>表</w:t>
      </w:r>
      <w:r>
        <w:rPr>
          <w:rFonts w:hint="eastAsia" w:ascii="Times New Roman" w:hAnsi="Times New Roman" w:eastAsia="黑体" w:cs="Times New Roman"/>
          <w:kern w:val="2"/>
          <w:sz w:val="24"/>
          <w:szCs w:val="22"/>
          <w:lang w:val="en-US" w:eastAsia="zh-CN" w:bidi="ar-SA"/>
        </w:rPr>
        <w:t>8.6-1</w:t>
      </w:r>
      <w:r>
        <w:rPr>
          <w:rFonts w:ascii="Times New Roman" w:hAnsi="Times New Roman" w:eastAsia="黑体" w:cs="Times New Roman"/>
          <w:kern w:val="2"/>
          <w:sz w:val="24"/>
          <w:szCs w:val="22"/>
          <w:lang w:val="en-US" w:eastAsia="zh-CN" w:bidi="ar-SA"/>
        </w:rPr>
        <w:t xml:space="preserve">  </w:t>
      </w:r>
      <w:r>
        <w:rPr>
          <w:rFonts w:hint="eastAsia" w:ascii="Times New Roman" w:hAnsi="Times New Roman" w:eastAsia="黑体" w:cs="Times New Roman"/>
          <w:kern w:val="2"/>
          <w:sz w:val="24"/>
          <w:szCs w:val="22"/>
          <w:lang w:val="en-US" w:eastAsia="zh-CN" w:bidi="ar-SA"/>
        </w:rPr>
        <w:t>陆河</w:t>
      </w:r>
      <w:r>
        <w:rPr>
          <w:rFonts w:ascii="Times New Roman" w:hAnsi="Times New Roman" w:eastAsia="黑体" w:cs="Times New Roman"/>
          <w:kern w:val="2"/>
          <w:sz w:val="24"/>
          <w:szCs w:val="22"/>
          <w:lang w:val="en-US" w:eastAsia="zh-CN" w:bidi="ar-SA"/>
        </w:rPr>
        <w:t>抽水蓄能电站</w:t>
      </w:r>
      <w:r>
        <w:rPr>
          <w:rFonts w:hint="eastAsia" w:ascii="Times New Roman" w:hAnsi="Times New Roman" w:eastAsia="黑体" w:cs="Times New Roman"/>
          <w:kern w:val="2"/>
          <w:sz w:val="24"/>
          <w:szCs w:val="22"/>
          <w:lang w:val="en-US" w:eastAsia="zh-CN" w:bidi="ar-SA"/>
        </w:rPr>
        <w:t>农村小型专项</w:t>
      </w:r>
      <w:r>
        <w:rPr>
          <w:rFonts w:ascii="Times New Roman" w:hAnsi="Times New Roman" w:eastAsia="黑体" w:cs="Times New Roman"/>
          <w:kern w:val="2"/>
          <w:sz w:val="24"/>
          <w:szCs w:val="22"/>
          <w:lang w:val="en-US" w:eastAsia="zh-CN" w:bidi="ar-SA"/>
        </w:rPr>
        <w:t xml:space="preserve">指标汇总表 </w:t>
      </w:r>
      <w:r>
        <w:rPr>
          <w:rFonts w:hint="eastAsia" w:ascii="Times New Roman" w:hAnsi="Times New Roman" w:eastAsia="黑体" w:cs="Times New Roman"/>
          <w:kern w:val="2"/>
          <w:sz w:val="24"/>
          <w:szCs w:val="22"/>
          <w:lang w:val="en-US" w:eastAsia="zh-CN" w:bidi="ar-SA"/>
        </w:rPr>
        <w:t xml:space="preserve">      </w:t>
      </w:r>
    </w:p>
    <w:tbl>
      <w:tblPr>
        <w:tblStyle w:val="79"/>
        <w:tblW w:w="86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4"/>
        <w:gridCol w:w="2639"/>
        <w:gridCol w:w="1569"/>
        <w:gridCol w:w="712"/>
        <w:gridCol w:w="857"/>
        <w:gridCol w:w="20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74"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序号</w:t>
            </w:r>
          </w:p>
        </w:tc>
        <w:tc>
          <w:tcPr>
            <w:tcW w:w="2639"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权属单位</w:t>
            </w:r>
          </w:p>
        </w:tc>
        <w:tc>
          <w:tcPr>
            <w:tcW w:w="1569"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项  目</w:t>
            </w:r>
          </w:p>
        </w:tc>
        <w:tc>
          <w:tcPr>
            <w:tcW w:w="712"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单位</w:t>
            </w:r>
          </w:p>
        </w:tc>
        <w:tc>
          <w:tcPr>
            <w:tcW w:w="857"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合计</w:t>
            </w:r>
          </w:p>
        </w:tc>
        <w:tc>
          <w:tcPr>
            <w:tcW w:w="2091"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1</w:t>
            </w:r>
          </w:p>
        </w:tc>
        <w:tc>
          <w:tcPr>
            <w:tcW w:w="2639" w:type="dxa"/>
            <w:noWrap w:val="0"/>
            <w:vAlign w:val="center"/>
          </w:tcPr>
          <w:p>
            <w:pPr>
              <w:adjustRightInd w:val="0"/>
              <w:snapToGrid w:val="0"/>
              <w:jc w:val="center"/>
              <w:rPr>
                <w:rFonts w:cs="Times New Roman"/>
                <w:color w:val="000000"/>
                <w:kern w:val="0"/>
                <w:szCs w:val="21"/>
              </w:rPr>
            </w:pP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灌溉渠道</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15900</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淹没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p>
        </w:tc>
        <w:tc>
          <w:tcPr>
            <w:tcW w:w="2639" w:type="dxa"/>
            <w:noWrap w:val="0"/>
            <w:vAlign w:val="center"/>
          </w:tcPr>
          <w:p>
            <w:pPr>
              <w:adjustRightInd w:val="0"/>
              <w:snapToGrid w:val="0"/>
              <w:jc w:val="center"/>
              <w:rPr>
                <w:rFonts w:cs="Times New Roman"/>
                <w:color w:val="000000"/>
                <w:kern w:val="0"/>
                <w:szCs w:val="21"/>
                <w:lang w:bidi="ar"/>
              </w:rPr>
            </w:pPr>
            <w:r>
              <w:rPr>
                <w:rFonts w:cs="Times New Roman"/>
                <w:color w:val="000000"/>
                <w:kern w:val="0"/>
                <w:szCs w:val="21"/>
                <w:lang w:bidi="ar"/>
              </w:rPr>
              <w:t>博背自然村</w:t>
            </w: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灌溉渠道</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2000</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尺寸1.4m×0.2m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p>
        </w:tc>
        <w:tc>
          <w:tcPr>
            <w:tcW w:w="2639" w:type="dxa"/>
            <w:noWrap w:val="0"/>
            <w:vAlign w:val="center"/>
          </w:tcPr>
          <w:p>
            <w:pPr>
              <w:adjustRightInd w:val="0"/>
              <w:snapToGrid w:val="0"/>
              <w:jc w:val="center"/>
              <w:rPr>
                <w:rFonts w:cs="Times New Roman"/>
                <w:color w:val="000000"/>
                <w:kern w:val="0"/>
                <w:szCs w:val="21"/>
                <w:lang w:bidi="ar"/>
              </w:rPr>
            </w:pPr>
            <w:r>
              <w:rPr>
                <w:rFonts w:cs="Times New Roman"/>
                <w:color w:val="000000"/>
                <w:kern w:val="0"/>
                <w:szCs w:val="21"/>
                <w:lang w:bidi="ar"/>
              </w:rPr>
              <w:t>博背自然村</w:t>
            </w: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灌溉渠道</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3500</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尺寸0.3m×0.2m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p>
        </w:tc>
        <w:tc>
          <w:tcPr>
            <w:tcW w:w="2639" w:type="dxa"/>
            <w:noWrap w:val="0"/>
            <w:vAlign w:val="center"/>
          </w:tcPr>
          <w:p>
            <w:pPr>
              <w:adjustRightInd w:val="0"/>
              <w:snapToGrid w:val="0"/>
              <w:jc w:val="center"/>
              <w:rPr>
                <w:rFonts w:cs="Times New Roman"/>
                <w:color w:val="000000"/>
                <w:kern w:val="0"/>
                <w:szCs w:val="21"/>
                <w:lang w:bidi="ar"/>
              </w:rPr>
            </w:pPr>
            <w:r>
              <w:rPr>
                <w:rFonts w:cs="Times New Roman"/>
                <w:color w:val="000000"/>
                <w:kern w:val="0"/>
                <w:szCs w:val="21"/>
                <w:lang w:bidi="ar"/>
              </w:rPr>
              <w:t>坝仔自然村</w:t>
            </w: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灌溉渠道</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400</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尺寸4.9m×0.2m</w:t>
            </w:r>
          </w:p>
        </w:tc>
      </w:tr>
    </w:tbl>
    <w:p>
      <w:pPr>
        <w:widowControl w:val="0"/>
        <w:spacing w:line="480" w:lineRule="exact"/>
        <w:jc w:val="center"/>
        <w:rPr>
          <w:rFonts w:ascii="Times New Roman" w:hAnsi="Times New Roman" w:eastAsia="黑体" w:cs="Times New Roman"/>
          <w:kern w:val="2"/>
          <w:sz w:val="21"/>
          <w:szCs w:val="21"/>
          <w:vertAlign w:val="superscript"/>
          <w:lang w:val="en-US" w:eastAsia="zh-CN" w:bidi="ar-SA"/>
        </w:rPr>
      </w:pPr>
      <w:r>
        <w:rPr>
          <w:rFonts w:ascii="Times New Roman" w:hAnsi="Times New Roman" w:eastAsia="黑体" w:cs="Times New Roman"/>
          <w:kern w:val="2"/>
          <w:sz w:val="24"/>
          <w:szCs w:val="22"/>
          <w:lang w:val="en-US" w:eastAsia="zh-CN" w:bidi="ar-SA"/>
        </w:rPr>
        <w:t>表</w:t>
      </w:r>
      <w:r>
        <w:rPr>
          <w:rFonts w:hint="eastAsia" w:ascii="Times New Roman" w:hAnsi="Times New Roman" w:eastAsia="黑体" w:cs="Times New Roman"/>
          <w:kern w:val="2"/>
          <w:sz w:val="24"/>
          <w:szCs w:val="22"/>
          <w:lang w:val="en-US" w:eastAsia="zh-CN" w:bidi="ar-SA"/>
        </w:rPr>
        <w:t>8.6-1(续)</w:t>
      </w:r>
    </w:p>
    <w:tbl>
      <w:tblPr>
        <w:tblStyle w:val="79"/>
        <w:tblW w:w="86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4"/>
        <w:gridCol w:w="2639"/>
        <w:gridCol w:w="1569"/>
        <w:gridCol w:w="712"/>
        <w:gridCol w:w="857"/>
        <w:gridCol w:w="20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74"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序号</w:t>
            </w:r>
          </w:p>
        </w:tc>
        <w:tc>
          <w:tcPr>
            <w:tcW w:w="2639"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权属单位</w:t>
            </w:r>
          </w:p>
        </w:tc>
        <w:tc>
          <w:tcPr>
            <w:tcW w:w="1569"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项  目</w:t>
            </w:r>
          </w:p>
        </w:tc>
        <w:tc>
          <w:tcPr>
            <w:tcW w:w="712"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单位</w:t>
            </w:r>
          </w:p>
        </w:tc>
        <w:tc>
          <w:tcPr>
            <w:tcW w:w="857"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合计</w:t>
            </w:r>
          </w:p>
        </w:tc>
        <w:tc>
          <w:tcPr>
            <w:tcW w:w="2091" w:type="dxa"/>
            <w:tcBorders>
              <w:top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p>
        </w:tc>
        <w:tc>
          <w:tcPr>
            <w:tcW w:w="2639" w:type="dxa"/>
            <w:noWrap w:val="0"/>
            <w:vAlign w:val="center"/>
          </w:tcPr>
          <w:p>
            <w:pPr>
              <w:adjustRightInd w:val="0"/>
              <w:snapToGrid w:val="0"/>
              <w:jc w:val="center"/>
              <w:rPr>
                <w:rFonts w:cs="Times New Roman"/>
                <w:color w:val="000000"/>
                <w:kern w:val="0"/>
                <w:szCs w:val="21"/>
                <w:lang w:bidi="ar"/>
              </w:rPr>
            </w:pPr>
            <w:r>
              <w:rPr>
                <w:rFonts w:cs="Times New Roman"/>
                <w:color w:val="000000"/>
                <w:kern w:val="0"/>
                <w:szCs w:val="21"/>
                <w:lang w:bidi="ar"/>
              </w:rPr>
              <w:t>上屋自然村</w:t>
            </w: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灌溉渠道</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10000</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尺寸0.5m×0.3m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2</w:t>
            </w:r>
          </w:p>
        </w:tc>
        <w:tc>
          <w:tcPr>
            <w:tcW w:w="2639" w:type="dxa"/>
            <w:noWrap w:val="0"/>
            <w:vAlign w:val="center"/>
          </w:tcPr>
          <w:p>
            <w:pPr>
              <w:adjustRightInd w:val="0"/>
              <w:snapToGrid w:val="0"/>
              <w:jc w:val="center"/>
              <w:rPr>
                <w:rFonts w:cs="Times New Roman"/>
                <w:color w:val="000000"/>
                <w:kern w:val="0"/>
                <w:szCs w:val="21"/>
              </w:rPr>
            </w:pP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拦河坝</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368</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淹没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p>
        </w:tc>
        <w:tc>
          <w:tcPr>
            <w:tcW w:w="2639" w:type="dxa"/>
            <w:noWrap w:val="0"/>
            <w:vAlign w:val="center"/>
          </w:tcPr>
          <w:p>
            <w:pPr>
              <w:adjustRightInd w:val="0"/>
              <w:snapToGrid w:val="0"/>
              <w:jc w:val="center"/>
              <w:rPr>
                <w:rFonts w:cs="Times New Roman"/>
                <w:color w:val="000000"/>
                <w:kern w:val="0"/>
                <w:szCs w:val="21"/>
              </w:rPr>
            </w:pPr>
            <w:r>
              <w:rPr>
                <w:rFonts w:cs="Times New Roman"/>
                <w:color w:val="000000"/>
                <w:kern w:val="0"/>
                <w:szCs w:val="21"/>
                <w:lang w:bidi="ar"/>
              </w:rPr>
              <w:t>博背自然村</w:t>
            </w: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拦河坝</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48</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尺寸1.5m×1.0m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p>
        </w:tc>
        <w:tc>
          <w:tcPr>
            <w:tcW w:w="2639" w:type="dxa"/>
            <w:noWrap w:val="0"/>
            <w:vAlign w:val="center"/>
          </w:tcPr>
          <w:p>
            <w:pPr>
              <w:adjustRightInd w:val="0"/>
              <w:snapToGrid w:val="0"/>
              <w:jc w:val="center"/>
              <w:rPr>
                <w:rFonts w:cs="Times New Roman"/>
                <w:color w:val="000000"/>
                <w:kern w:val="0"/>
                <w:szCs w:val="21"/>
              </w:rPr>
            </w:pPr>
            <w:r>
              <w:rPr>
                <w:rFonts w:cs="Times New Roman"/>
                <w:color w:val="000000"/>
                <w:kern w:val="0"/>
                <w:szCs w:val="21"/>
                <w:lang w:bidi="ar"/>
              </w:rPr>
              <w:t>博背自然村</w:t>
            </w: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拦河坝</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10</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尺寸1.7m×1.5m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p>
        </w:tc>
        <w:tc>
          <w:tcPr>
            <w:tcW w:w="2639" w:type="dxa"/>
            <w:noWrap w:val="0"/>
            <w:vAlign w:val="center"/>
          </w:tcPr>
          <w:p>
            <w:pPr>
              <w:adjustRightInd w:val="0"/>
              <w:snapToGrid w:val="0"/>
              <w:jc w:val="center"/>
              <w:rPr>
                <w:rFonts w:cs="Times New Roman"/>
                <w:color w:val="000000"/>
                <w:kern w:val="0"/>
                <w:szCs w:val="21"/>
                <w:lang w:bidi="ar"/>
              </w:rPr>
            </w:pPr>
            <w:r>
              <w:rPr>
                <w:rFonts w:cs="Times New Roman"/>
                <w:color w:val="000000"/>
                <w:kern w:val="0"/>
                <w:szCs w:val="21"/>
                <w:lang w:bidi="ar"/>
              </w:rPr>
              <w:t>上屋自然村</w:t>
            </w: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拦河坝</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60</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尺寸2.0m×1.0m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noWrap w:val="0"/>
            <w:vAlign w:val="center"/>
          </w:tcPr>
          <w:p>
            <w:pPr>
              <w:adjustRightInd w:val="0"/>
              <w:snapToGrid w:val="0"/>
              <w:jc w:val="center"/>
              <w:rPr>
                <w:rFonts w:cs="Times New Roman"/>
                <w:color w:val="000000"/>
                <w:kern w:val="0"/>
                <w:szCs w:val="21"/>
              </w:rPr>
            </w:pPr>
          </w:p>
        </w:tc>
        <w:tc>
          <w:tcPr>
            <w:tcW w:w="2639" w:type="dxa"/>
            <w:noWrap w:val="0"/>
            <w:vAlign w:val="center"/>
          </w:tcPr>
          <w:p>
            <w:pPr>
              <w:adjustRightInd w:val="0"/>
              <w:snapToGrid w:val="0"/>
              <w:jc w:val="center"/>
              <w:rPr>
                <w:rFonts w:cs="Times New Roman"/>
                <w:color w:val="000000"/>
                <w:kern w:val="0"/>
                <w:szCs w:val="21"/>
                <w:lang w:bidi="ar"/>
              </w:rPr>
            </w:pPr>
            <w:r>
              <w:rPr>
                <w:rFonts w:cs="Times New Roman"/>
                <w:color w:val="000000"/>
                <w:kern w:val="0"/>
                <w:szCs w:val="21"/>
                <w:lang w:bidi="ar"/>
              </w:rPr>
              <w:t>上屋自然村</w:t>
            </w:r>
          </w:p>
        </w:tc>
        <w:tc>
          <w:tcPr>
            <w:tcW w:w="1569"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拦河坝</w:t>
            </w:r>
          </w:p>
        </w:tc>
        <w:tc>
          <w:tcPr>
            <w:tcW w:w="712"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150</w:t>
            </w:r>
          </w:p>
        </w:tc>
        <w:tc>
          <w:tcPr>
            <w:tcW w:w="2091" w:type="dxa"/>
            <w:noWrap w:val="0"/>
            <w:vAlign w:val="center"/>
          </w:tcPr>
          <w:p>
            <w:pPr>
              <w:adjustRightInd w:val="0"/>
              <w:snapToGrid w:val="0"/>
              <w:jc w:val="center"/>
              <w:rPr>
                <w:rFonts w:cs="Times New Roman"/>
                <w:color w:val="000000"/>
                <w:kern w:val="0"/>
                <w:szCs w:val="21"/>
              </w:rPr>
            </w:pPr>
            <w:r>
              <w:rPr>
                <w:rFonts w:cs="Times New Roman"/>
                <w:color w:val="000000"/>
                <w:kern w:val="0"/>
                <w:szCs w:val="21"/>
              </w:rPr>
              <w:t>尺寸1.0m×1.0m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4" w:type="dxa"/>
            <w:tcBorders>
              <w:bottom w:val="single" w:color="auto" w:sz="12" w:space="0"/>
            </w:tcBorders>
            <w:noWrap w:val="0"/>
            <w:vAlign w:val="center"/>
          </w:tcPr>
          <w:p>
            <w:pPr>
              <w:adjustRightInd w:val="0"/>
              <w:snapToGrid w:val="0"/>
              <w:jc w:val="center"/>
              <w:rPr>
                <w:rFonts w:cs="Times New Roman"/>
                <w:color w:val="000000"/>
                <w:kern w:val="0"/>
                <w:szCs w:val="21"/>
              </w:rPr>
            </w:pPr>
          </w:p>
        </w:tc>
        <w:tc>
          <w:tcPr>
            <w:tcW w:w="2639" w:type="dxa"/>
            <w:tcBorders>
              <w:bottom w:val="single" w:color="auto" w:sz="12" w:space="0"/>
            </w:tcBorders>
            <w:noWrap w:val="0"/>
            <w:vAlign w:val="center"/>
          </w:tcPr>
          <w:p>
            <w:pPr>
              <w:adjustRightInd w:val="0"/>
              <w:snapToGrid w:val="0"/>
              <w:jc w:val="center"/>
              <w:rPr>
                <w:rFonts w:cs="Times New Roman"/>
                <w:color w:val="000000"/>
                <w:kern w:val="0"/>
                <w:szCs w:val="21"/>
                <w:lang w:bidi="ar"/>
              </w:rPr>
            </w:pPr>
            <w:r>
              <w:rPr>
                <w:rFonts w:cs="Times New Roman"/>
                <w:color w:val="000000"/>
                <w:kern w:val="0"/>
                <w:szCs w:val="21"/>
                <w:lang w:bidi="ar"/>
              </w:rPr>
              <w:t>坝仔自然村</w:t>
            </w:r>
          </w:p>
        </w:tc>
        <w:tc>
          <w:tcPr>
            <w:tcW w:w="1569" w:type="dxa"/>
            <w:tcBorders>
              <w:bottom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拦河坝</w:t>
            </w:r>
          </w:p>
        </w:tc>
        <w:tc>
          <w:tcPr>
            <w:tcW w:w="712" w:type="dxa"/>
            <w:tcBorders>
              <w:bottom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m</w:t>
            </w:r>
          </w:p>
        </w:tc>
        <w:tc>
          <w:tcPr>
            <w:tcW w:w="857" w:type="dxa"/>
            <w:tcBorders>
              <w:bottom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100</w:t>
            </w:r>
          </w:p>
        </w:tc>
        <w:tc>
          <w:tcPr>
            <w:tcW w:w="2091" w:type="dxa"/>
            <w:tcBorders>
              <w:bottom w:val="single" w:color="auto" w:sz="12" w:space="0"/>
            </w:tcBorders>
            <w:noWrap w:val="0"/>
            <w:vAlign w:val="center"/>
          </w:tcPr>
          <w:p>
            <w:pPr>
              <w:adjustRightInd w:val="0"/>
              <w:snapToGrid w:val="0"/>
              <w:jc w:val="center"/>
              <w:rPr>
                <w:rFonts w:cs="Times New Roman"/>
                <w:color w:val="000000"/>
                <w:kern w:val="0"/>
                <w:szCs w:val="21"/>
              </w:rPr>
            </w:pPr>
            <w:r>
              <w:rPr>
                <w:rFonts w:cs="Times New Roman"/>
                <w:color w:val="000000"/>
                <w:kern w:val="0"/>
                <w:szCs w:val="21"/>
              </w:rPr>
              <w:t>尺寸0.5m×0.3m</w:t>
            </w:r>
          </w:p>
        </w:tc>
      </w:tr>
    </w:tbl>
    <w:p>
      <w:pPr>
        <w:widowControl w:val="0"/>
        <w:adjustRightInd w:val="0"/>
        <w:snapToGrid w:val="0"/>
        <w:spacing w:before="120" w:after="60" w:line="480" w:lineRule="exact"/>
        <w:jc w:val="left"/>
        <w:outlineLvl w:val="1"/>
        <w:rPr>
          <w:rFonts w:hint="eastAsia" w:ascii="Times New Roman" w:hAnsi="Times New Roman" w:eastAsia="黑体" w:cs="Times New Roman"/>
          <w:bCs/>
          <w:snapToGrid w:val="0"/>
          <w:color w:val="000000"/>
          <w:kern w:val="0"/>
          <w:sz w:val="28"/>
          <w:szCs w:val="28"/>
          <w:lang w:val="en-US" w:eastAsia="zh-CN" w:bidi="ar-SA"/>
        </w:rPr>
      </w:pPr>
      <w:bookmarkStart w:id="638" w:name="_Toc90945264"/>
      <w:r>
        <w:rPr>
          <w:rFonts w:ascii="Times New Roman" w:hAnsi="Times New Roman" w:eastAsia="黑体" w:cs="Times New Roman"/>
          <w:bCs/>
          <w:snapToGrid w:val="0"/>
          <w:color w:val="000000"/>
          <w:kern w:val="0"/>
          <w:sz w:val="28"/>
          <w:szCs w:val="28"/>
          <w:lang w:val="en-US" w:eastAsia="zh-CN" w:bidi="ar-SA"/>
        </w:rPr>
        <w:t>8.</w:t>
      </w:r>
      <w:r>
        <w:rPr>
          <w:rFonts w:hint="eastAsia" w:ascii="Times New Roman" w:hAnsi="Times New Roman" w:eastAsia="黑体" w:cs="Times New Roman"/>
          <w:bCs/>
          <w:snapToGrid w:val="0"/>
          <w:color w:val="000000"/>
          <w:kern w:val="0"/>
          <w:sz w:val="28"/>
          <w:szCs w:val="28"/>
          <w:lang w:val="en-US" w:eastAsia="zh-CN" w:bidi="ar-SA"/>
        </w:rPr>
        <w:t>7</w:t>
      </w:r>
      <w:r>
        <w:rPr>
          <w:rFonts w:ascii="Times New Roman" w:hAnsi="Times New Roman" w:eastAsia="黑体" w:cs="Times New Roman"/>
          <w:bCs/>
          <w:snapToGrid w:val="0"/>
          <w:color w:val="000000"/>
          <w:kern w:val="0"/>
          <w:sz w:val="28"/>
          <w:szCs w:val="28"/>
          <w:lang w:val="en-US" w:eastAsia="zh-CN" w:bidi="ar-SA"/>
        </w:rPr>
        <w:t xml:space="preserve">  </w:t>
      </w:r>
      <w:r>
        <w:rPr>
          <w:rFonts w:ascii="Times New Roman" w:hAnsi="宋体" w:eastAsia="黑体" w:cs="Times New Roman"/>
          <w:bCs/>
          <w:snapToGrid w:val="0"/>
          <w:color w:val="000000"/>
          <w:kern w:val="0"/>
          <w:sz w:val="28"/>
          <w:szCs w:val="28"/>
          <w:lang w:val="en-US" w:eastAsia="zh-CN" w:bidi="ar-SA"/>
        </w:rPr>
        <w:t>专项设施</w:t>
      </w:r>
      <w:bookmarkEnd w:id="637"/>
      <w:bookmarkEnd w:id="638"/>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8.</w:t>
      </w:r>
      <w:r>
        <w:rPr>
          <w:rFonts w:hint="eastAsia" w:ascii="Times New Roman" w:hAnsi="Times New Roman" w:eastAsia="黑体" w:cs="Times New Roman"/>
          <w:bCs/>
          <w:snapToGrid w:val="0"/>
          <w:color w:val="000000"/>
          <w:kern w:val="0"/>
          <w:sz w:val="24"/>
          <w:szCs w:val="24"/>
          <w:lang w:val="en-US" w:eastAsia="zh-CN" w:bidi="ar-SA"/>
        </w:rPr>
        <w:t>7</w:t>
      </w:r>
      <w:r>
        <w:rPr>
          <w:rFonts w:ascii="Times New Roman" w:hAnsi="Times New Roman" w:eastAsia="黑体" w:cs="Times New Roman"/>
          <w:bCs/>
          <w:snapToGrid w:val="0"/>
          <w:color w:val="000000"/>
          <w:kern w:val="0"/>
          <w:sz w:val="24"/>
          <w:szCs w:val="24"/>
          <w:lang w:val="en-US" w:eastAsia="zh-CN" w:bidi="ar-SA"/>
        </w:rPr>
        <w:t xml:space="preserve">.1  </w:t>
      </w:r>
      <w:r>
        <w:rPr>
          <w:rFonts w:ascii="Times New Roman" w:hAnsi="宋体" w:eastAsia="黑体" w:cs="Times New Roman"/>
          <w:bCs/>
          <w:snapToGrid w:val="0"/>
          <w:color w:val="000000"/>
          <w:kern w:val="0"/>
          <w:sz w:val="24"/>
          <w:szCs w:val="24"/>
          <w:lang w:val="en-US" w:eastAsia="zh-CN" w:bidi="ar-SA"/>
        </w:rPr>
        <w:t>交通设施</w:t>
      </w: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int="eastAsia" w:hAnsi="宋体" w:cs="Times New Roman"/>
          <w:color w:val="000000"/>
          <w:sz w:val="24"/>
          <w:szCs w:val="24"/>
        </w:rPr>
        <w:t>陆河</w:t>
      </w:r>
      <w:r>
        <w:rPr>
          <w:rFonts w:hAnsi="宋体" w:cs="Times New Roman"/>
          <w:color w:val="000000"/>
          <w:sz w:val="24"/>
          <w:szCs w:val="24"/>
        </w:rPr>
        <w:t>抽水蓄能电站建设征地影响交通设施主要涉及</w:t>
      </w:r>
      <w:r>
        <w:rPr>
          <w:rFonts w:hint="eastAsia" w:hAnsi="宋体" w:cs="Times New Roman"/>
          <w:color w:val="000000"/>
          <w:sz w:val="24"/>
          <w:szCs w:val="24"/>
        </w:rPr>
        <w:t>四级公路、</w:t>
      </w:r>
      <w:r>
        <w:rPr>
          <w:rFonts w:hAnsi="宋体" w:cs="Times New Roman"/>
          <w:color w:val="000000"/>
          <w:sz w:val="24"/>
          <w:szCs w:val="24"/>
        </w:rPr>
        <w:t>农村道路，主要功能为连接乡</w:t>
      </w:r>
      <w:r>
        <w:rPr>
          <w:rFonts w:cs="Times New Roman"/>
          <w:color w:val="000000"/>
          <w:sz w:val="24"/>
          <w:szCs w:val="24"/>
        </w:rPr>
        <w:t>(</w:t>
      </w:r>
      <w:r>
        <w:rPr>
          <w:rFonts w:hAnsi="宋体" w:cs="Times New Roman"/>
          <w:color w:val="000000"/>
          <w:sz w:val="24"/>
          <w:szCs w:val="24"/>
        </w:rPr>
        <w:t>镇</w:t>
      </w:r>
      <w:r>
        <w:rPr>
          <w:rFonts w:cs="Times New Roman"/>
          <w:color w:val="000000"/>
          <w:sz w:val="24"/>
          <w:szCs w:val="24"/>
        </w:rPr>
        <w:t>)</w:t>
      </w:r>
      <w:r>
        <w:rPr>
          <w:rFonts w:hAnsi="宋体" w:cs="Times New Roman"/>
          <w:color w:val="000000"/>
          <w:sz w:val="24"/>
          <w:szCs w:val="24"/>
        </w:rPr>
        <w:t>、村等地。</w:t>
      </w:r>
    </w:p>
    <w:p>
      <w:pPr>
        <w:overflowPunct w:val="0"/>
        <w:autoSpaceDE w:val="0"/>
        <w:autoSpaceDN w:val="0"/>
        <w:adjustRightInd w:val="0"/>
        <w:snapToGrid w:val="0"/>
        <w:spacing w:line="480" w:lineRule="exact"/>
        <w:ind w:firstLine="480" w:firstLineChars="200"/>
        <w:rPr>
          <w:rFonts w:hint="eastAsia" w:hAnsi="宋体" w:cs="Times New Roman"/>
          <w:color w:val="000000"/>
          <w:kern w:val="0"/>
          <w:sz w:val="24"/>
          <w:szCs w:val="24"/>
        </w:rPr>
      </w:pPr>
      <w:r>
        <w:rPr>
          <w:rFonts w:hAnsi="宋体" w:cs="Times New Roman"/>
          <w:color w:val="000000"/>
          <w:sz w:val="24"/>
          <w:szCs w:val="24"/>
        </w:rPr>
        <w:t>实物指标调查组对</w:t>
      </w:r>
      <w:r>
        <w:rPr>
          <w:rFonts w:hint="eastAsia" w:hAnsi="宋体" w:cs="Times New Roman"/>
          <w:color w:val="000000"/>
          <w:sz w:val="24"/>
          <w:szCs w:val="24"/>
        </w:rPr>
        <w:t>陆河</w:t>
      </w:r>
      <w:r>
        <w:rPr>
          <w:rFonts w:hAnsi="宋体" w:cs="Times New Roman"/>
          <w:color w:val="000000"/>
          <w:sz w:val="24"/>
          <w:szCs w:val="24"/>
        </w:rPr>
        <w:t>抽水蓄能电站工程建设征地交通工程进行了调查，调查成果由</w:t>
      </w:r>
      <w:r>
        <w:rPr>
          <w:rFonts w:hint="eastAsia" w:hAnsi="宋体" w:cs="Times New Roman"/>
          <w:color w:val="000000"/>
          <w:sz w:val="24"/>
          <w:szCs w:val="24"/>
        </w:rPr>
        <w:t>陆河</w:t>
      </w:r>
      <w:r>
        <w:rPr>
          <w:rFonts w:hAnsi="宋体" w:cs="Times New Roman"/>
          <w:color w:val="000000"/>
          <w:sz w:val="24"/>
          <w:szCs w:val="24"/>
        </w:rPr>
        <w:t>县交通主管部门、乡</w:t>
      </w:r>
      <w:r>
        <w:rPr>
          <w:rFonts w:cs="Times New Roman"/>
          <w:color w:val="000000"/>
          <w:sz w:val="24"/>
          <w:szCs w:val="24"/>
        </w:rPr>
        <w:t>(</w:t>
      </w:r>
      <w:r>
        <w:rPr>
          <w:rFonts w:hAnsi="宋体" w:cs="Times New Roman"/>
          <w:color w:val="000000"/>
          <w:sz w:val="24"/>
          <w:szCs w:val="24"/>
        </w:rPr>
        <w:t>镇</w:t>
      </w:r>
      <w:r>
        <w:rPr>
          <w:rFonts w:cs="Times New Roman"/>
          <w:color w:val="000000"/>
          <w:sz w:val="24"/>
          <w:szCs w:val="24"/>
        </w:rPr>
        <w:t>)</w:t>
      </w:r>
      <w:r>
        <w:rPr>
          <w:rFonts w:hAnsi="宋体" w:cs="Times New Roman"/>
          <w:color w:val="000000"/>
          <w:sz w:val="24"/>
          <w:szCs w:val="24"/>
        </w:rPr>
        <w:t>代表、设计院、业主共同签字确认。经调查，</w:t>
      </w:r>
      <w:r>
        <w:rPr>
          <w:rFonts w:hAnsi="宋体" w:cs="Times New Roman"/>
          <w:color w:val="000000"/>
          <w:kern w:val="0"/>
          <w:sz w:val="24"/>
          <w:szCs w:val="24"/>
        </w:rPr>
        <w:t>电站工程建设征地影响的交通工程主要</w:t>
      </w:r>
      <w:r>
        <w:rPr>
          <w:rFonts w:hint="eastAsia" w:hAnsi="宋体" w:cs="Times New Roman"/>
          <w:color w:val="000000"/>
          <w:kern w:val="0"/>
          <w:sz w:val="24"/>
          <w:szCs w:val="24"/>
        </w:rPr>
        <w:t>道路13.09 km，其中四级公路1.76 km、农村道路11.33km</w:t>
      </w:r>
      <w:r>
        <w:rPr>
          <w:rFonts w:hAnsi="宋体" w:cs="Times New Roman"/>
          <w:color w:val="000000"/>
          <w:kern w:val="0"/>
          <w:sz w:val="24"/>
          <w:szCs w:val="24"/>
        </w:rPr>
        <w:t>。具体的道路交通调查情况汇总见表</w:t>
      </w:r>
      <w:r>
        <w:rPr>
          <w:rFonts w:cs="Times New Roman"/>
          <w:color w:val="000000"/>
          <w:kern w:val="0"/>
          <w:sz w:val="24"/>
          <w:szCs w:val="24"/>
        </w:rPr>
        <w:t>8.</w:t>
      </w:r>
      <w:r>
        <w:rPr>
          <w:rFonts w:hint="eastAsia" w:cs="Times New Roman"/>
          <w:color w:val="000000"/>
          <w:kern w:val="0"/>
          <w:sz w:val="24"/>
          <w:szCs w:val="24"/>
        </w:rPr>
        <w:t>7.</w:t>
      </w:r>
      <w:r>
        <w:rPr>
          <w:rFonts w:cs="Times New Roman"/>
          <w:color w:val="000000"/>
          <w:kern w:val="0"/>
          <w:sz w:val="24"/>
          <w:szCs w:val="24"/>
        </w:rPr>
        <w:t>1-1</w:t>
      </w:r>
      <w:r>
        <w:rPr>
          <w:rFonts w:hAnsi="宋体" w:cs="Times New Roman"/>
          <w:color w:val="000000"/>
          <w:kern w:val="0"/>
          <w:sz w:val="24"/>
          <w:szCs w:val="24"/>
        </w:rPr>
        <w:t>。</w:t>
      </w:r>
    </w:p>
    <w:p>
      <w:pPr>
        <w:pStyle w:val="1146"/>
        <w:rPr>
          <w:color w:val="000000"/>
        </w:rPr>
      </w:pPr>
      <w:r>
        <w:rPr>
          <w:rFonts w:hAnsi="宋体"/>
          <w:color w:val="000000"/>
        </w:rPr>
        <w:t>表</w:t>
      </w:r>
      <w:r>
        <w:rPr>
          <w:rFonts w:hint="eastAsia"/>
          <w:color w:val="000000"/>
        </w:rPr>
        <w:t>8.7.</w:t>
      </w:r>
      <w:r>
        <w:rPr>
          <w:color w:val="000000"/>
        </w:rPr>
        <w:t>1</w:t>
      </w:r>
      <w:r>
        <w:rPr>
          <w:rFonts w:hint="eastAsia"/>
          <w:color w:val="000000"/>
        </w:rPr>
        <w:t xml:space="preserve">-1  </w:t>
      </w:r>
      <w:r>
        <w:rPr>
          <w:rFonts w:hint="eastAsia" w:hAnsi="宋体"/>
          <w:color w:val="000000"/>
        </w:rPr>
        <w:t>陆河</w:t>
      </w:r>
      <w:r>
        <w:rPr>
          <w:rFonts w:hAnsi="宋体"/>
          <w:color w:val="000000"/>
        </w:rPr>
        <w:t>抽水蓄能电站影响交通工程调查汇</w:t>
      </w:r>
      <w:r>
        <w:rPr>
          <w:color w:val="000000"/>
        </w:rPr>
        <w:t>总表</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156"/>
        <w:gridCol w:w="2364"/>
        <w:gridCol w:w="1056"/>
        <w:gridCol w:w="1034"/>
        <w:gridCol w:w="1056"/>
        <w:gridCol w:w="13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noWrap/>
            <w:vAlign w:val="center"/>
          </w:tcPr>
          <w:p>
            <w:pPr>
              <w:widowControl/>
              <w:jc w:val="center"/>
              <w:textAlignment w:val="center"/>
              <w:rPr>
                <w:rFonts w:cs="Times New Roman"/>
                <w:color w:val="000000"/>
                <w:szCs w:val="21"/>
              </w:rPr>
            </w:pPr>
            <w:bookmarkStart w:id="639" w:name="_Hlk90396359"/>
            <w:r>
              <w:rPr>
                <w:rFonts w:cs="Times New Roman"/>
                <w:color w:val="000000"/>
                <w:kern w:val="0"/>
                <w:szCs w:val="21"/>
                <w:lang w:bidi="ar"/>
              </w:rPr>
              <w:t>编号</w:t>
            </w:r>
          </w:p>
        </w:tc>
        <w:tc>
          <w:tcPr>
            <w:tcW w:w="3520" w:type="dxa"/>
            <w:gridSpan w:val="2"/>
            <w:noWrap/>
            <w:vAlign w:val="center"/>
          </w:tcPr>
          <w:p>
            <w:pPr>
              <w:widowControl/>
              <w:jc w:val="center"/>
              <w:textAlignment w:val="center"/>
              <w:rPr>
                <w:rFonts w:cs="Times New Roman"/>
                <w:color w:val="000000"/>
                <w:szCs w:val="21"/>
              </w:rPr>
            </w:pPr>
            <w:r>
              <w:rPr>
                <w:rFonts w:cs="Times New Roman"/>
                <w:color w:val="000000"/>
                <w:kern w:val="0"/>
                <w:szCs w:val="21"/>
                <w:lang w:bidi="ar"/>
              </w:rPr>
              <w:t>路名</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道路等级</w:t>
            </w:r>
          </w:p>
        </w:tc>
        <w:tc>
          <w:tcPr>
            <w:tcW w:w="1034"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路基</w:t>
            </w:r>
          </w:p>
          <w:p>
            <w:pPr>
              <w:widowControl/>
              <w:jc w:val="center"/>
              <w:textAlignment w:val="center"/>
              <w:rPr>
                <w:rFonts w:cs="Times New Roman"/>
                <w:color w:val="000000"/>
                <w:szCs w:val="21"/>
              </w:rPr>
            </w:pPr>
            <w:r>
              <w:rPr>
                <w:rFonts w:cs="Times New Roman"/>
                <w:color w:val="000000"/>
                <w:kern w:val="0"/>
                <w:szCs w:val="21"/>
                <w:lang w:bidi="ar"/>
              </w:rPr>
              <w:t>宽度(m)</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路面类型</w:t>
            </w:r>
          </w:p>
        </w:tc>
        <w:tc>
          <w:tcPr>
            <w:tcW w:w="135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征地影响实际长度(km)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vMerge w:val="restart"/>
            <w:noWrap/>
            <w:vAlign w:val="center"/>
          </w:tcPr>
          <w:p>
            <w:pPr>
              <w:widowControl/>
              <w:jc w:val="center"/>
              <w:textAlignment w:val="center"/>
              <w:rPr>
                <w:rFonts w:cs="Times New Roman"/>
                <w:color w:val="000000"/>
                <w:szCs w:val="21"/>
              </w:rPr>
            </w:pPr>
            <w:r>
              <w:rPr>
                <w:rFonts w:hAnsi="宋体" w:cs="Times New Roman"/>
                <w:color w:val="000000"/>
                <w:kern w:val="0"/>
                <w:szCs w:val="21"/>
                <w:lang w:bidi="ar"/>
              </w:rPr>
              <w:t>①</w:t>
            </w:r>
          </w:p>
        </w:tc>
        <w:tc>
          <w:tcPr>
            <w:tcW w:w="3520" w:type="dxa"/>
            <w:gridSpan w:val="2"/>
            <w:noWrap/>
            <w:vAlign w:val="center"/>
          </w:tcPr>
          <w:p>
            <w:pPr>
              <w:widowControl/>
              <w:jc w:val="center"/>
              <w:textAlignment w:val="center"/>
              <w:rPr>
                <w:rFonts w:cs="Times New Roman"/>
                <w:color w:val="000000"/>
                <w:szCs w:val="21"/>
              </w:rPr>
            </w:pPr>
            <w:r>
              <w:rPr>
                <w:rFonts w:cs="Times New Roman"/>
                <w:color w:val="000000"/>
                <w:kern w:val="0"/>
                <w:szCs w:val="21"/>
                <w:lang w:bidi="ar"/>
              </w:rPr>
              <w:t>Y850</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四级</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4.50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1.53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vMerge w:val="continue"/>
            <w:noWrap/>
            <w:vAlign w:val="center"/>
          </w:tcPr>
          <w:p>
            <w:pPr>
              <w:jc w:val="center"/>
              <w:rPr>
                <w:rFonts w:cs="Times New Roman"/>
                <w:color w:val="000000"/>
                <w:szCs w:val="21"/>
              </w:rPr>
            </w:pPr>
          </w:p>
        </w:tc>
        <w:tc>
          <w:tcPr>
            <w:tcW w:w="1156"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Y850支路</w:t>
            </w:r>
          </w:p>
        </w:tc>
        <w:tc>
          <w:tcPr>
            <w:tcW w:w="2364"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支路一</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0.03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vMerge w:val="continue"/>
            <w:noWrap/>
            <w:vAlign w:val="center"/>
          </w:tcPr>
          <w:p>
            <w:pPr>
              <w:jc w:val="center"/>
              <w:rPr>
                <w:rFonts w:cs="Times New Roman"/>
                <w:color w:val="000000"/>
                <w:szCs w:val="21"/>
              </w:rPr>
            </w:pPr>
          </w:p>
        </w:tc>
        <w:tc>
          <w:tcPr>
            <w:tcW w:w="1156" w:type="dxa"/>
            <w:vMerge w:val="continue"/>
            <w:noWrap/>
            <w:vAlign w:val="center"/>
          </w:tcPr>
          <w:p>
            <w:pPr>
              <w:jc w:val="center"/>
              <w:rPr>
                <w:rFonts w:cs="Times New Roman"/>
                <w:color w:val="000000"/>
                <w:szCs w:val="21"/>
              </w:rPr>
            </w:pPr>
          </w:p>
        </w:tc>
        <w:tc>
          <w:tcPr>
            <w:tcW w:w="2364"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支路二</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2.50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0.31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vMerge w:val="continue"/>
            <w:noWrap/>
            <w:vAlign w:val="center"/>
          </w:tcPr>
          <w:p>
            <w:pPr>
              <w:jc w:val="center"/>
              <w:rPr>
                <w:rFonts w:cs="Times New Roman"/>
                <w:color w:val="000000"/>
                <w:szCs w:val="21"/>
              </w:rPr>
            </w:pPr>
          </w:p>
        </w:tc>
        <w:tc>
          <w:tcPr>
            <w:tcW w:w="1156" w:type="dxa"/>
            <w:vMerge w:val="continue"/>
            <w:noWrap/>
            <w:vAlign w:val="center"/>
          </w:tcPr>
          <w:p>
            <w:pPr>
              <w:jc w:val="center"/>
              <w:rPr>
                <w:rFonts w:cs="Times New Roman"/>
                <w:color w:val="000000"/>
                <w:szCs w:val="21"/>
              </w:rPr>
            </w:pPr>
          </w:p>
        </w:tc>
        <w:tc>
          <w:tcPr>
            <w:tcW w:w="2364"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支路三</w:t>
            </w:r>
          </w:p>
        </w:tc>
        <w:tc>
          <w:tcPr>
            <w:tcW w:w="1056"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0.18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vMerge w:val="continue"/>
            <w:noWrap/>
            <w:vAlign w:val="center"/>
          </w:tcPr>
          <w:p>
            <w:pPr>
              <w:jc w:val="center"/>
              <w:rPr>
                <w:rFonts w:cs="Times New Roman"/>
                <w:color w:val="000000"/>
                <w:szCs w:val="21"/>
              </w:rPr>
            </w:pPr>
          </w:p>
        </w:tc>
        <w:tc>
          <w:tcPr>
            <w:tcW w:w="1156" w:type="dxa"/>
            <w:vMerge w:val="continue"/>
            <w:noWrap/>
            <w:vAlign w:val="center"/>
          </w:tcPr>
          <w:p>
            <w:pPr>
              <w:jc w:val="center"/>
              <w:rPr>
                <w:rFonts w:cs="Times New Roman"/>
                <w:color w:val="000000"/>
                <w:szCs w:val="21"/>
              </w:rPr>
            </w:pPr>
          </w:p>
        </w:tc>
        <w:tc>
          <w:tcPr>
            <w:tcW w:w="2364" w:type="dxa"/>
            <w:vMerge w:val="continue"/>
            <w:noWrap/>
            <w:vAlign w:val="center"/>
          </w:tcPr>
          <w:p>
            <w:pPr>
              <w:jc w:val="center"/>
              <w:rPr>
                <w:rFonts w:cs="Times New Roman"/>
                <w:color w:val="000000"/>
                <w:szCs w:val="21"/>
              </w:rPr>
            </w:pPr>
          </w:p>
        </w:tc>
        <w:tc>
          <w:tcPr>
            <w:tcW w:w="1056" w:type="dxa"/>
            <w:vMerge w:val="continue"/>
            <w:noWrap/>
            <w:vAlign w:val="center"/>
          </w:tcPr>
          <w:p>
            <w:pPr>
              <w:jc w:val="center"/>
              <w:rPr>
                <w:rFonts w:cs="Times New Roman"/>
                <w:color w:val="000000"/>
                <w:szCs w:val="21"/>
              </w:rPr>
            </w:pP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vMerge w:val="continue"/>
            <w:noWrap/>
            <w:vAlign w:val="center"/>
          </w:tcPr>
          <w:p>
            <w:pPr>
              <w:jc w:val="center"/>
              <w:rPr>
                <w:rFonts w:cs="Times New Roman"/>
                <w:color w:val="000000"/>
                <w:szCs w:val="21"/>
              </w:rPr>
            </w:pPr>
          </w:p>
        </w:tc>
        <w:tc>
          <w:tcPr>
            <w:tcW w:w="1156" w:type="dxa"/>
            <w:vMerge w:val="continue"/>
            <w:noWrap/>
            <w:vAlign w:val="center"/>
          </w:tcPr>
          <w:p>
            <w:pPr>
              <w:jc w:val="center"/>
              <w:rPr>
                <w:rFonts w:cs="Times New Roman"/>
                <w:color w:val="000000"/>
                <w:szCs w:val="21"/>
              </w:rPr>
            </w:pPr>
          </w:p>
        </w:tc>
        <w:tc>
          <w:tcPr>
            <w:tcW w:w="2364"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支路四</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0.12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vMerge w:val="continue"/>
            <w:noWrap/>
            <w:vAlign w:val="center"/>
          </w:tcPr>
          <w:p>
            <w:pPr>
              <w:jc w:val="center"/>
              <w:rPr>
                <w:rFonts w:cs="Times New Roman"/>
                <w:color w:val="000000"/>
                <w:szCs w:val="21"/>
              </w:rPr>
            </w:pPr>
          </w:p>
        </w:tc>
        <w:tc>
          <w:tcPr>
            <w:tcW w:w="1156" w:type="dxa"/>
            <w:vMerge w:val="continue"/>
            <w:noWrap/>
            <w:vAlign w:val="center"/>
          </w:tcPr>
          <w:p>
            <w:pPr>
              <w:jc w:val="center"/>
              <w:rPr>
                <w:rFonts w:cs="Times New Roman"/>
                <w:color w:val="000000"/>
                <w:szCs w:val="21"/>
              </w:rPr>
            </w:pPr>
          </w:p>
        </w:tc>
        <w:tc>
          <w:tcPr>
            <w:tcW w:w="2364"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支路五</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0.31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dxa"/>
            <w:noWrap/>
            <w:vAlign w:val="center"/>
          </w:tcPr>
          <w:p>
            <w:pPr>
              <w:widowControl/>
              <w:jc w:val="center"/>
              <w:textAlignment w:val="center"/>
              <w:rPr>
                <w:rFonts w:cs="Times New Roman"/>
                <w:color w:val="000000"/>
                <w:szCs w:val="21"/>
              </w:rPr>
            </w:pPr>
            <w:r>
              <w:rPr>
                <w:rFonts w:hAnsi="宋体" w:cs="Times New Roman"/>
                <w:color w:val="000000"/>
                <w:kern w:val="0"/>
                <w:szCs w:val="21"/>
                <w:lang w:bidi="ar"/>
              </w:rPr>
              <w:t>②</w:t>
            </w:r>
          </w:p>
        </w:tc>
        <w:tc>
          <w:tcPr>
            <w:tcW w:w="3520" w:type="dxa"/>
            <w:gridSpan w:val="2"/>
            <w:noWrap w:val="0"/>
            <w:vAlign w:val="center"/>
          </w:tcPr>
          <w:p>
            <w:pPr>
              <w:widowControl/>
              <w:jc w:val="center"/>
              <w:textAlignment w:val="center"/>
              <w:rPr>
                <w:rFonts w:cs="Times New Roman"/>
                <w:color w:val="000000"/>
                <w:szCs w:val="21"/>
              </w:rPr>
            </w:pPr>
            <w:r>
              <w:rPr>
                <w:rFonts w:cs="Times New Roman"/>
                <w:color w:val="000000"/>
                <w:kern w:val="0"/>
                <w:szCs w:val="21"/>
                <w:lang w:bidi="ar"/>
              </w:rPr>
              <w:t>老前池路</w:t>
            </w:r>
          </w:p>
        </w:tc>
        <w:tc>
          <w:tcPr>
            <w:tcW w:w="105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四级</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4.50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0.23 </w:t>
            </w:r>
          </w:p>
        </w:tc>
      </w:tr>
    </w:tbl>
    <w:p>
      <w:pPr>
        <w:pStyle w:val="1146"/>
        <w:rPr>
          <w:color w:val="000000"/>
        </w:rPr>
      </w:pPr>
      <w:r>
        <w:br w:type="page"/>
      </w:r>
      <w:r>
        <w:rPr>
          <w:rFonts w:hAnsi="宋体"/>
          <w:color w:val="000000"/>
        </w:rPr>
        <w:t>表</w:t>
      </w:r>
      <w:r>
        <w:rPr>
          <w:rFonts w:hint="eastAsia"/>
          <w:color w:val="000000"/>
        </w:rPr>
        <w:t>8.7.</w:t>
      </w:r>
      <w:r>
        <w:rPr>
          <w:color w:val="000000"/>
        </w:rPr>
        <w:t>1</w:t>
      </w:r>
      <w:r>
        <w:rPr>
          <w:rFonts w:hint="eastAsia"/>
          <w:color w:val="000000"/>
        </w:rPr>
        <w:t>-1(续)</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158"/>
        <w:gridCol w:w="2365"/>
        <w:gridCol w:w="1056"/>
        <w:gridCol w:w="1034"/>
        <w:gridCol w:w="1056"/>
        <w:gridCol w:w="13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noWrap/>
            <w:vAlign w:val="center"/>
          </w:tcPr>
          <w:p>
            <w:pPr>
              <w:widowControl/>
              <w:jc w:val="center"/>
              <w:textAlignment w:val="center"/>
              <w:rPr>
                <w:rFonts w:cs="Times New Roman"/>
                <w:color w:val="000000"/>
                <w:szCs w:val="21"/>
              </w:rPr>
            </w:pPr>
            <w:r>
              <w:rPr>
                <w:rFonts w:cs="Times New Roman"/>
                <w:color w:val="000000"/>
                <w:kern w:val="0"/>
                <w:szCs w:val="21"/>
                <w:lang w:bidi="ar"/>
              </w:rPr>
              <w:t>编号</w:t>
            </w:r>
          </w:p>
        </w:tc>
        <w:tc>
          <w:tcPr>
            <w:tcW w:w="3523" w:type="dxa"/>
            <w:gridSpan w:val="2"/>
            <w:noWrap/>
            <w:vAlign w:val="center"/>
          </w:tcPr>
          <w:p>
            <w:pPr>
              <w:widowControl/>
              <w:jc w:val="center"/>
              <w:textAlignment w:val="center"/>
              <w:rPr>
                <w:rFonts w:cs="Times New Roman"/>
                <w:color w:val="000000"/>
                <w:szCs w:val="21"/>
              </w:rPr>
            </w:pPr>
            <w:r>
              <w:rPr>
                <w:rFonts w:cs="Times New Roman"/>
                <w:color w:val="000000"/>
                <w:kern w:val="0"/>
                <w:szCs w:val="21"/>
                <w:lang w:bidi="ar"/>
              </w:rPr>
              <w:t>路名</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道路等级</w:t>
            </w:r>
          </w:p>
        </w:tc>
        <w:tc>
          <w:tcPr>
            <w:tcW w:w="1034"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路基</w:t>
            </w:r>
          </w:p>
          <w:p>
            <w:pPr>
              <w:widowControl/>
              <w:jc w:val="center"/>
              <w:textAlignment w:val="center"/>
              <w:rPr>
                <w:rFonts w:cs="Times New Roman"/>
                <w:color w:val="000000"/>
                <w:szCs w:val="21"/>
              </w:rPr>
            </w:pPr>
            <w:r>
              <w:rPr>
                <w:rFonts w:cs="Times New Roman"/>
                <w:color w:val="000000"/>
                <w:kern w:val="0"/>
                <w:szCs w:val="21"/>
                <w:lang w:bidi="ar"/>
              </w:rPr>
              <w:t>宽度(m)</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路面类型</w:t>
            </w:r>
          </w:p>
        </w:tc>
        <w:tc>
          <w:tcPr>
            <w:tcW w:w="135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征地影响实际长度(km)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restart"/>
            <w:noWrap w:val="0"/>
            <w:vAlign w:val="center"/>
          </w:tcPr>
          <w:p>
            <w:pPr>
              <w:widowControl/>
              <w:jc w:val="center"/>
              <w:textAlignment w:val="center"/>
              <w:rPr>
                <w:rFonts w:cs="Times New Roman"/>
                <w:color w:val="000000"/>
                <w:szCs w:val="21"/>
              </w:rPr>
            </w:pPr>
            <w:r>
              <w:rPr>
                <w:rFonts w:hAnsi="宋体" w:cs="Times New Roman"/>
                <w:color w:val="000000"/>
                <w:kern w:val="0"/>
                <w:szCs w:val="21"/>
                <w:lang w:bidi="ar"/>
              </w:rPr>
              <w:t>③</w:t>
            </w:r>
          </w:p>
        </w:tc>
        <w:tc>
          <w:tcPr>
            <w:tcW w:w="3523" w:type="dxa"/>
            <w:gridSpan w:val="2"/>
            <w:noWrap w:val="0"/>
            <w:vAlign w:val="center"/>
          </w:tcPr>
          <w:p>
            <w:pPr>
              <w:widowControl/>
              <w:jc w:val="center"/>
              <w:textAlignment w:val="center"/>
              <w:rPr>
                <w:rFonts w:cs="Times New Roman"/>
                <w:color w:val="000000"/>
                <w:szCs w:val="21"/>
              </w:rPr>
            </w:pPr>
            <w:r>
              <w:rPr>
                <w:rFonts w:cs="Times New Roman"/>
                <w:color w:val="000000"/>
                <w:kern w:val="0"/>
                <w:szCs w:val="21"/>
                <w:lang w:bidi="ar"/>
              </w:rPr>
              <w:t>激上线路口～上、下坪田水库</w:t>
            </w:r>
          </w:p>
        </w:tc>
        <w:tc>
          <w:tcPr>
            <w:tcW w:w="105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3.50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0.69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0"/>
            <w:vAlign w:val="center"/>
          </w:tcPr>
          <w:p>
            <w:pPr>
              <w:jc w:val="center"/>
              <w:rPr>
                <w:rFonts w:cs="Times New Roman"/>
                <w:color w:val="000000"/>
                <w:szCs w:val="21"/>
              </w:rPr>
            </w:pPr>
          </w:p>
        </w:tc>
        <w:tc>
          <w:tcPr>
            <w:tcW w:w="1158" w:type="dxa"/>
            <w:vMerge w:val="restart"/>
            <w:noWrap/>
            <w:vAlign w:val="center"/>
          </w:tcPr>
          <w:p>
            <w:pPr>
              <w:jc w:val="center"/>
              <w:rPr>
                <w:rFonts w:cs="Times New Roman"/>
                <w:color w:val="000000"/>
                <w:szCs w:val="21"/>
              </w:rPr>
            </w:pPr>
          </w:p>
        </w:tc>
        <w:tc>
          <w:tcPr>
            <w:tcW w:w="2365"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w:t>
            </w:r>
          </w:p>
        </w:tc>
        <w:tc>
          <w:tcPr>
            <w:tcW w:w="105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1.50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0"/>
            <w:vAlign w:val="center"/>
          </w:tcPr>
          <w:p>
            <w:pPr>
              <w:jc w:val="center"/>
              <w:rPr>
                <w:rFonts w:cs="Times New Roman"/>
                <w:color w:val="000000"/>
                <w:szCs w:val="21"/>
              </w:rPr>
            </w:pPr>
          </w:p>
        </w:tc>
        <w:tc>
          <w:tcPr>
            <w:tcW w:w="1158" w:type="dxa"/>
            <w:vMerge w:val="continue"/>
            <w:noWrap/>
            <w:vAlign w:val="center"/>
          </w:tcPr>
          <w:p>
            <w:pPr>
              <w:jc w:val="center"/>
              <w:rPr>
                <w:rFonts w:cs="Times New Roman"/>
                <w:color w:val="000000"/>
                <w:szCs w:val="21"/>
              </w:rPr>
            </w:pPr>
          </w:p>
        </w:tc>
        <w:tc>
          <w:tcPr>
            <w:tcW w:w="2365"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支路分支一</w:t>
            </w:r>
          </w:p>
        </w:tc>
        <w:tc>
          <w:tcPr>
            <w:tcW w:w="105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2.00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0.16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0"/>
            <w:vAlign w:val="center"/>
          </w:tcPr>
          <w:p>
            <w:pPr>
              <w:jc w:val="center"/>
              <w:rPr>
                <w:rFonts w:cs="Times New Roman"/>
                <w:color w:val="000000"/>
                <w:szCs w:val="21"/>
              </w:rPr>
            </w:pPr>
          </w:p>
        </w:tc>
        <w:tc>
          <w:tcPr>
            <w:tcW w:w="1158" w:type="dxa"/>
            <w:vMerge w:val="continue"/>
            <w:noWrap/>
            <w:vAlign w:val="center"/>
          </w:tcPr>
          <w:p>
            <w:pPr>
              <w:jc w:val="center"/>
              <w:rPr>
                <w:rFonts w:cs="Times New Roman"/>
                <w:color w:val="000000"/>
                <w:szCs w:val="21"/>
              </w:rPr>
            </w:pPr>
          </w:p>
        </w:tc>
        <w:tc>
          <w:tcPr>
            <w:tcW w:w="2365"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支路分支二</w:t>
            </w:r>
          </w:p>
        </w:tc>
        <w:tc>
          <w:tcPr>
            <w:tcW w:w="105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2.00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0"/>
            <w:vAlign w:val="center"/>
          </w:tcPr>
          <w:p>
            <w:pPr>
              <w:jc w:val="center"/>
              <w:rPr>
                <w:rFonts w:cs="Times New Roman"/>
                <w:color w:val="000000"/>
                <w:szCs w:val="21"/>
              </w:rPr>
            </w:pPr>
          </w:p>
        </w:tc>
        <w:tc>
          <w:tcPr>
            <w:tcW w:w="1158" w:type="dxa"/>
            <w:vMerge w:val="continue"/>
            <w:noWrap/>
            <w:vAlign w:val="center"/>
          </w:tcPr>
          <w:p>
            <w:pPr>
              <w:jc w:val="center"/>
              <w:rPr>
                <w:rFonts w:cs="Times New Roman"/>
                <w:color w:val="000000"/>
                <w:szCs w:val="21"/>
              </w:rPr>
            </w:pPr>
          </w:p>
        </w:tc>
        <w:tc>
          <w:tcPr>
            <w:tcW w:w="2365"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支路分支三</w:t>
            </w:r>
          </w:p>
        </w:tc>
        <w:tc>
          <w:tcPr>
            <w:tcW w:w="1056"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0.36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restart"/>
            <w:noWrap/>
            <w:vAlign w:val="center"/>
          </w:tcPr>
          <w:p>
            <w:pPr>
              <w:widowControl/>
              <w:jc w:val="center"/>
              <w:textAlignment w:val="center"/>
              <w:rPr>
                <w:rFonts w:cs="Times New Roman"/>
                <w:color w:val="000000"/>
                <w:szCs w:val="21"/>
              </w:rPr>
            </w:pPr>
            <w:r>
              <w:rPr>
                <w:rFonts w:hAnsi="宋体" w:cs="Times New Roman"/>
                <w:color w:val="000000"/>
                <w:kern w:val="0"/>
                <w:szCs w:val="21"/>
                <w:lang w:bidi="ar"/>
              </w:rPr>
              <w:t>④</w:t>
            </w:r>
          </w:p>
        </w:tc>
        <w:tc>
          <w:tcPr>
            <w:tcW w:w="3523" w:type="dxa"/>
            <w:gridSpan w:val="2"/>
            <w:vMerge w:val="restart"/>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激上线路口(k1+460)～</w:t>
            </w:r>
          </w:p>
          <w:p>
            <w:pPr>
              <w:widowControl/>
              <w:jc w:val="center"/>
              <w:textAlignment w:val="center"/>
              <w:rPr>
                <w:rFonts w:cs="Times New Roman"/>
                <w:color w:val="000000"/>
                <w:szCs w:val="21"/>
              </w:rPr>
            </w:pPr>
            <w:r>
              <w:rPr>
                <w:rFonts w:cs="Times New Roman"/>
                <w:color w:val="000000"/>
                <w:kern w:val="0"/>
                <w:szCs w:val="21"/>
                <w:lang w:bidi="ar"/>
              </w:rPr>
              <w:t>上、下坪田水库</w:t>
            </w:r>
          </w:p>
        </w:tc>
        <w:tc>
          <w:tcPr>
            <w:tcW w:w="1056"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碎石</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1.00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ign w:val="center"/>
          </w:tcPr>
          <w:p>
            <w:pPr>
              <w:jc w:val="center"/>
              <w:rPr>
                <w:rFonts w:cs="Times New Roman"/>
                <w:color w:val="000000"/>
                <w:szCs w:val="21"/>
              </w:rPr>
            </w:pPr>
          </w:p>
        </w:tc>
        <w:tc>
          <w:tcPr>
            <w:tcW w:w="3523" w:type="dxa"/>
            <w:gridSpan w:val="2"/>
            <w:vMerge w:val="continue"/>
            <w:noWrap w:val="0"/>
            <w:vAlign w:val="center"/>
          </w:tcPr>
          <w:p>
            <w:pPr>
              <w:jc w:val="center"/>
              <w:rPr>
                <w:rFonts w:cs="Times New Roman"/>
                <w:color w:val="000000"/>
                <w:szCs w:val="21"/>
              </w:rPr>
            </w:pPr>
          </w:p>
        </w:tc>
        <w:tc>
          <w:tcPr>
            <w:tcW w:w="1056" w:type="dxa"/>
            <w:vMerge w:val="continue"/>
            <w:noWrap/>
            <w:vAlign w:val="center"/>
          </w:tcPr>
          <w:p>
            <w:pPr>
              <w:jc w:val="center"/>
              <w:rPr>
                <w:rFonts w:cs="Times New Roman"/>
                <w:color w:val="000000"/>
                <w:szCs w:val="21"/>
              </w:rPr>
            </w:pP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0.33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ign w:val="center"/>
          </w:tcPr>
          <w:p>
            <w:pPr>
              <w:jc w:val="center"/>
              <w:rPr>
                <w:rFonts w:cs="Times New Roman"/>
                <w:color w:val="000000"/>
                <w:szCs w:val="21"/>
              </w:rPr>
            </w:pPr>
          </w:p>
        </w:tc>
        <w:tc>
          <w:tcPr>
            <w:tcW w:w="3523" w:type="dxa"/>
            <w:gridSpan w:val="2"/>
            <w:vMerge w:val="continue"/>
            <w:noWrap w:val="0"/>
            <w:vAlign w:val="center"/>
          </w:tcPr>
          <w:p>
            <w:pPr>
              <w:jc w:val="center"/>
              <w:rPr>
                <w:rFonts w:cs="Times New Roman"/>
                <w:color w:val="000000"/>
                <w:szCs w:val="21"/>
              </w:rPr>
            </w:pPr>
          </w:p>
        </w:tc>
        <w:tc>
          <w:tcPr>
            <w:tcW w:w="1056" w:type="dxa"/>
            <w:vMerge w:val="continue"/>
            <w:noWrap/>
            <w:vAlign w:val="center"/>
          </w:tcPr>
          <w:p>
            <w:pPr>
              <w:jc w:val="center"/>
              <w:rPr>
                <w:rFonts w:cs="Times New Roman"/>
                <w:color w:val="000000"/>
                <w:szCs w:val="21"/>
              </w:rPr>
            </w:pP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1.44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ign w:val="center"/>
          </w:tcPr>
          <w:p>
            <w:pPr>
              <w:jc w:val="center"/>
              <w:rPr>
                <w:rFonts w:cs="Times New Roman"/>
                <w:color w:val="000000"/>
                <w:szCs w:val="21"/>
              </w:rPr>
            </w:pPr>
          </w:p>
        </w:tc>
        <w:tc>
          <w:tcPr>
            <w:tcW w:w="1158"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支路</w:t>
            </w:r>
          </w:p>
        </w:tc>
        <w:tc>
          <w:tcPr>
            <w:tcW w:w="2365"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支路一</w:t>
            </w:r>
          </w:p>
        </w:tc>
        <w:tc>
          <w:tcPr>
            <w:tcW w:w="1056"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0.97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ign w:val="center"/>
          </w:tcPr>
          <w:p>
            <w:pPr>
              <w:jc w:val="center"/>
              <w:rPr>
                <w:rFonts w:cs="Times New Roman"/>
                <w:color w:val="000000"/>
                <w:szCs w:val="21"/>
              </w:rPr>
            </w:pPr>
          </w:p>
        </w:tc>
        <w:tc>
          <w:tcPr>
            <w:tcW w:w="1158" w:type="dxa"/>
            <w:vMerge w:val="continue"/>
            <w:noWrap/>
            <w:vAlign w:val="center"/>
          </w:tcPr>
          <w:p>
            <w:pPr>
              <w:jc w:val="center"/>
              <w:rPr>
                <w:rFonts w:cs="Times New Roman"/>
                <w:color w:val="000000"/>
                <w:szCs w:val="21"/>
              </w:rPr>
            </w:pPr>
          </w:p>
        </w:tc>
        <w:tc>
          <w:tcPr>
            <w:tcW w:w="2365" w:type="dxa"/>
            <w:vMerge w:val="continue"/>
            <w:noWrap/>
            <w:vAlign w:val="center"/>
          </w:tcPr>
          <w:p>
            <w:pPr>
              <w:jc w:val="center"/>
              <w:rPr>
                <w:rFonts w:cs="Times New Roman"/>
                <w:color w:val="000000"/>
                <w:szCs w:val="21"/>
              </w:rPr>
            </w:pPr>
          </w:p>
        </w:tc>
        <w:tc>
          <w:tcPr>
            <w:tcW w:w="1056" w:type="dxa"/>
            <w:vMerge w:val="continue"/>
            <w:noWrap/>
            <w:vAlign w:val="center"/>
          </w:tcPr>
          <w:p>
            <w:pPr>
              <w:jc w:val="center"/>
              <w:rPr>
                <w:rFonts w:cs="Times New Roman"/>
                <w:color w:val="000000"/>
                <w:szCs w:val="21"/>
              </w:rPr>
            </w:pP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4.50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ign w:val="center"/>
          </w:tcPr>
          <w:p>
            <w:pPr>
              <w:jc w:val="center"/>
              <w:rPr>
                <w:rFonts w:cs="Times New Roman"/>
                <w:color w:val="000000"/>
                <w:szCs w:val="21"/>
              </w:rPr>
            </w:pPr>
          </w:p>
        </w:tc>
        <w:tc>
          <w:tcPr>
            <w:tcW w:w="1158" w:type="dxa"/>
            <w:vMerge w:val="continue"/>
            <w:noWrap/>
            <w:vAlign w:val="center"/>
          </w:tcPr>
          <w:p>
            <w:pPr>
              <w:jc w:val="center"/>
              <w:rPr>
                <w:rFonts w:cs="Times New Roman"/>
                <w:color w:val="000000"/>
                <w:szCs w:val="21"/>
              </w:rPr>
            </w:pPr>
          </w:p>
        </w:tc>
        <w:tc>
          <w:tcPr>
            <w:tcW w:w="2365"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支路二</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3.50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ign w:val="center"/>
          </w:tcPr>
          <w:p>
            <w:pPr>
              <w:jc w:val="center"/>
              <w:rPr>
                <w:rFonts w:cs="Times New Roman"/>
                <w:color w:val="000000"/>
                <w:szCs w:val="21"/>
              </w:rPr>
            </w:pPr>
          </w:p>
        </w:tc>
        <w:tc>
          <w:tcPr>
            <w:tcW w:w="1158" w:type="dxa"/>
            <w:vMerge w:val="continue"/>
            <w:noWrap/>
            <w:vAlign w:val="center"/>
          </w:tcPr>
          <w:p>
            <w:pPr>
              <w:jc w:val="center"/>
              <w:rPr>
                <w:rFonts w:cs="Times New Roman"/>
                <w:color w:val="000000"/>
                <w:szCs w:val="21"/>
              </w:rPr>
            </w:pPr>
          </w:p>
        </w:tc>
        <w:tc>
          <w:tcPr>
            <w:tcW w:w="2365" w:type="dxa"/>
            <w:noWrap/>
            <w:vAlign w:val="center"/>
          </w:tcPr>
          <w:p>
            <w:pPr>
              <w:widowControl/>
              <w:jc w:val="center"/>
              <w:textAlignment w:val="center"/>
              <w:rPr>
                <w:rFonts w:cs="Times New Roman"/>
                <w:color w:val="000000"/>
                <w:szCs w:val="21"/>
              </w:rPr>
            </w:pPr>
            <w:r>
              <w:rPr>
                <w:rFonts w:cs="Times New Roman"/>
                <w:color w:val="000000"/>
                <w:kern w:val="0"/>
                <w:szCs w:val="21"/>
                <w:lang w:bidi="ar"/>
              </w:rPr>
              <w:t>支路三</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0.40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restart"/>
            <w:noWrap/>
            <w:vAlign w:val="center"/>
          </w:tcPr>
          <w:p>
            <w:pPr>
              <w:widowControl/>
              <w:jc w:val="center"/>
              <w:textAlignment w:val="center"/>
              <w:rPr>
                <w:rFonts w:cs="Times New Roman"/>
                <w:color w:val="000000"/>
                <w:szCs w:val="21"/>
              </w:rPr>
            </w:pPr>
            <w:r>
              <w:rPr>
                <w:rFonts w:hAnsi="宋体" w:cs="Times New Roman"/>
                <w:color w:val="000000"/>
                <w:kern w:val="0"/>
                <w:szCs w:val="21"/>
                <w:lang w:bidi="ar"/>
              </w:rPr>
              <w:t>⑤</w:t>
            </w:r>
          </w:p>
        </w:tc>
        <w:tc>
          <w:tcPr>
            <w:tcW w:w="1158"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零散</w:t>
            </w:r>
          </w:p>
        </w:tc>
        <w:tc>
          <w:tcPr>
            <w:tcW w:w="2365" w:type="dxa"/>
            <w:noWrap/>
            <w:vAlign w:val="center"/>
          </w:tcPr>
          <w:p>
            <w:pPr>
              <w:widowControl/>
              <w:jc w:val="center"/>
              <w:textAlignment w:val="center"/>
              <w:rPr>
                <w:rFonts w:cs="Times New Roman"/>
                <w:color w:val="000000"/>
                <w:szCs w:val="21"/>
              </w:rPr>
            </w:pPr>
            <w:r>
              <w:rPr>
                <w:rFonts w:cs="Times New Roman"/>
                <w:color w:val="000000"/>
                <w:kern w:val="0"/>
                <w:szCs w:val="21"/>
                <w:lang w:bidi="ar"/>
              </w:rPr>
              <w:t>一</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0.40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ign w:val="center"/>
          </w:tcPr>
          <w:p>
            <w:pPr>
              <w:jc w:val="center"/>
              <w:rPr>
                <w:rFonts w:cs="Times New Roman"/>
                <w:color w:val="000000"/>
                <w:szCs w:val="21"/>
              </w:rPr>
            </w:pPr>
          </w:p>
        </w:tc>
        <w:tc>
          <w:tcPr>
            <w:tcW w:w="1158" w:type="dxa"/>
            <w:vMerge w:val="continue"/>
            <w:noWrap/>
            <w:vAlign w:val="center"/>
          </w:tcPr>
          <w:p>
            <w:pPr>
              <w:jc w:val="center"/>
              <w:rPr>
                <w:rFonts w:cs="Times New Roman"/>
                <w:color w:val="000000"/>
                <w:szCs w:val="21"/>
              </w:rPr>
            </w:pPr>
          </w:p>
        </w:tc>
        <w:tc>
          <w:tcPr>
            <w:tcW w:w="2365"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二</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2.00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0.27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noWrap/>
            <w:vAlign w:val="center"/>
          </w:tcPr>
          <w:p>
            <w:pPr>
              <w:jc w:val="center"/>
              <w:rPr>
                <w:rFonts w:cs="Times New Roman"/>
                <w:color w:val="000000"/>
                <w:szCs w:val="21"/>
              </w:rPr>
            </w:pPr>
          </w:p>
        </w:tc>
        <w:tc>
          <w:tcPr>
            <w:tcW w:w="1158" w:type="dxa"/>
            <w:vMerge w:val="continue"/>
            <w:noWrap/>
            <w:vAlign w:val="center"/>
          </w:tcPr>
          <w:p>
            <w:pPr>
              <w:jc w:val="center"/>
              <w:rPr>
                <w:rFonts w:cs="Times New Roman"/>
                <w:color w:val="000000"/>
                <w:szCs w:val="21"/>
              </w:rPr>
            </w:pPr>
          </w:p>
        </w:tc>
        <w:tc>
          <w:tcPr>
            <w:tcW w:w="2365"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三</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4.00 </w:t>
            </w:r>
          </w:p>
        </w:tc>
        <w:tc>
          <w:tcPr>
            <w:tcW w:w="1056" w:type="dxa"/>
            <w:noWrap/>
            <w:vAlign w:val="center"/>
          </w:tcPr>
          <w:p>
            <w:pPr>
              <w:widowControl/>
              <w:jc w:val="center"/>
              <w:textAlignment w:val="center"/>
              <w:rPr>
                <w:rFonts w:cs="Times New Roman"/>
                <w:color w:val="000000"/>
                <w:szCs w:val="21"/>
              </w:rPr>
            </w:pPr>
            <w:r>
              <w:rPr>
                <w:rFonts w:cs="Times New Roman"/>
                <w:color w:val="000000"/>
                <w:kern w:val="0"/>
                <w:szCs w:val="21"/>
                <w:lang w:bidi="ar"/>
              </w:rPr>
              <w:t>土</w:t>
            </w:r>
          </w:p>
        </w:tc>
        <w:tc>
          <w:tcPr>
            <w:tcW w:w="1355"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2.20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vMerge w:val="continue"/>
            <w:tcBorders>
              <w:bottom w:val="single" w:color="auto" w:sz="12" w:space="0"/>
            </w:tcBorders>
            <w:noWrap/>
            <w:vAlign w:val="center"/>
          </w:tcPr>
          <w:p>
            <w:pPr>
              <w:jc w:val="center"/>
              <w:rPr>
                <w:rFonts w:cs="Times New Roman"/>
                <w:color w:val="000000"/>
                <w:szCs w:val="21"/>
              </w:rPr>
            </w:pPr>
          </w:p>
        </w:tc>
        <w:tc>
          <w:tcPr>
            <w:tcW w:w="1158" w:type="dxa"/>
            <w:vMerge w:val="continue"/>
            <w:tcBorders>
              <w:bottom w:val="single" w:color="auto" w:sz="12" w:space="0"/>
            </w:tcBorders>
            <w:noWrap/>
            <w:vAlign w:val="center"/>
          </w:tcPr>
          <w:p>
            <w:pPr>
              <w:jc w:val="center"/>
              <w:rPr>
                <w:rFonts w:cs="Times New Roman"/>
                <w:color w:val="000000"/>
                <w:szCs w:val="21"/>
              </w:rPr>
            </w:pPr>
          </w:p>
        </w:tc>
        <w:tc>
          <w:tcPr>
            <w:tcW w:w="2365" w:type="dxa"/>
            <w:vMerge w:val="continue"/>
            <w:tcBorders>
              <w:bottom w:val="single" w:color="auto" w:sz="12" w:space="0"/>
            </w:tcBorders>
            <w:noWrap/>
            <w:vAlign w:val="center"/>
          </w:tcPr>
          <w:p>
            <w:pPr>
              <w:jc w:val="center"/>
              <w:rPr>
                <w:rFonts w:cs="Times New Roman"/>
                <w:color w:val="000000"/>
                <w:szCs w:val="21"/>
              </w:rPr>
            </w:pPr>
          </w:p>
        </w:tc>
        <w:tc>
          <w:tcPr>
            <w:tcW w:w="1056"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机耕道</w:t>
            </w:r>
          </w:p>
        </w:tc>
        <w:tc>
          <w:tcPr>
            <w:tcW w:w="1034"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4.00 </w:t>
            </w:r>
          </w:p>
        </w:tc>
        <w:tc>
          <w:tcPr>
            <w:tcW w:w="1056"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水泥</w:t>
            </w:r>
          </w:p>
        </w:tc>
        <w:tc>
          <w:tcPr>
            <w:tcW w:w="1355"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0.07 </w:t>
            </w:r>
          </w:p>
        </w:tc>
      </w:tr>
      <w:bookmarkEnd w:id="639"/>
    </w:tbl>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8.</w:t>
      </w:r>
      <w:r>
        <w:rPr>
          <w:rFonts w:hint="eastAsia" w:ascii="Times New Roman" w:hAnsi="Times New Roman" w:eastAsia="黑体" w:cs="Times New Roman"/>
          <w:bCs/>
          <w:snapToGrid w:val="0"/>
          <w:color w:val="000000"/>
          <w:kern w:val="0"/>
          <w:sz w:val="24"/>
          <w:szCs w:val="24"/>
          <w:lang w:val="en-US" w:eastAsia="zh-CN" w:bidi="ar-SA"/>
        </w:rPr>
        <w:t>7</w:t>
      </w:r>
      <w:r>
        <w:rPr>
          <w:rFonts w:ascii="Times New Roman" w:hAnsi="Times New Roman" w:eastAsia="黑体" w:cs="Times New Roman"/>
          <w:bCs/>
          <w:snapToGrid w:val="0"/>
          <w:color w:val="000000"/>
          <w:kern w:val="0"/>
          <w:sz w:val="24"/>
          <w:szCs w:val="24"/>
          <w:lang w:val="en-US" w:eastAsia="zh-CN" w:bidi="ar-SA"/>
        </w:rPr>
        <w:t xml:space="preserve">.2  </w:t>
      </w:r>
      <w:r>
        <w:rPr>
          <w:rFonts w:ascii="Times New Roman" w:hAnsi="宋体" w:eastAsia="黑体" w:cs="Times New Roman"/>
          <w:bCs/>
          <w:snapToGrid w:val="0"/>
          <w:color w:val="000000"/>
          <w:kern w:val="0"/>
          <w:sz w:val="24"/>
          <w:szCs w:val="24"/>
          <w:lang w:val="en-US" w:eastAsia="zh-CN" w:bidi="ar-SA"/>
        </w:rPr>
        <w:t>水利</w:t>
      </w:r>
      <w:r>
        <w:rPr>
          <w:rFonts w:hint="eastAsia" w:ascii="Times New Roman" w:hAnsi="宋体" w:eastAsia="黑体" w:cs="Times New Roman"/>
          <w:bCs/>
          <w:snapToGrid w:val="0"/>
          <w:color w:val="000000"/>
          <w:kern w:val="0"/>
          <w:sz w:val="24"/>
          <w:szCs w:val="24"/>
          <w:lang w:val="en-US" w:eastAsia="zh-CN" w:bidi="ar-SA"/>
        </w:rPr>
        <w:t>水电</w:t>
      </w:r>
      <w:r>
        <w:rPr>
          <w:rFonts w:ascii="Times New Roman" w:hAnsi="宋体" w:eastAsia="黑体" w:cs="Times New Roman"/>
          <w:bCs/>
          <w:snapToGrid w:val="0"/>
          <w:color w:val="000000"/>
          <w:kern w:val="0"/>
          <w:sz w:val="24"/>
          <w:szCs w:val="24"/>
          <w:lang w:val="en-US" w:eastAsia="zh-CN" w:bidi="ar-SA"/>
        </w:rPr>
        <w:t>设施</w:t>
      </w:r>
    </w:p>
    <w:p>
      <w:pPr>
        <w:widowControl w:val="0"/>
        <w:overflowPunct w:val="0"/>
        <w:autoSpaceDE w:val="0"/>
        <w:autoSpaceDN w:val="0"/>
        <w:adjustRightInd w:val="0"/>
        <w:snapToGrid w:val="0"/>
        <w:spacing w:line="480" w:lineRule="exact"/>
        <w:ind w:firstLine="480" w:firstLineChars="200"/>
        <w:jc w:val="both"/>
        <w:rPr>
          <w:rFonts w:cs="Times New Roman"/>
          <w:color w:val="000000"/>
          <w:kern w:val="0"/>
          <w:sz w:val="24"/>
          <w:szCs w:val="24"/>
        </w:rPr>
      </w:pPr>
      <w:bookmarkStart w:id="640" w:name="_Hlk83461782"/>
      <w:r>
        <w:rPr>
          <w:rFonts w:hint="eastAsia" w:hAnsi="宋体" w:cs="Times New Roman"/>
          <w:color w:val="000000"/>
          <w:kern w:val="0"/>
          <w:sz w:val="24"/>
          <w:szCs w:val="24"/>
        </w:rPr>
        <w:t>陆河</w:t>
      </w:r>
      <w:r>
        <w:rPr>
          <w:rFonts w:hAnsi="宋体" w:cs="Times New Roman"/>
          <w:color w:val="000000"/>
          <w:kern w:val="0"/>
          <w:sz w:val="24"/>
          <w:szCs w:val="24"/>
        </w:rPr>
        <w:t>抽水蓄能电站建设征地影响</w:t>
      </w:r>
      <w:r>
        <w:rPr>
          <w:rFonts w:hint="eastAsia" w:hAnsi="宋体" w:cs="Times New Roman"/>
          <w:color w:val="000000"/>
          <w:kern w:val="0"/>
          <w:sz w:val="24"/>
          <w:szCs w:val="24"/>
        </w:rPr>
        <w:t>的水利水电设施包括水电站5座(激石溪老区水</w:t>
      </w:r>
      <w:r>
        <w:rPr>
          <w:rFonts w:hint="eastAsia" w:hAnsi="宋体" w:cs="Times New Roman"/>
          <w:color w:val="000000"/>
          <w:spacing w:val="-4"/>
          <w:kern w:val="0"/>
          <w:sz w:val="24"/>
          <w:szCs w:val="24"/>
        </w:rPr>
        <w:t>电站装机1200kw、三江口水电站装机3150kw、三坑水电站装机1580kw、大沥唇水电站装机830kw、坪田水电站装机630kw)</w:t>
      </w:r>
      <w:r>
        <w:rPr>
          <w:rFonts w:hAnsi="宋体" w:cs="Times New Roman"/>
          <w:color w:val="000000"/>
          <w:spacing w:val="-4"/>
          <w:kern w:val="0"/>
          <w:sz w:val="24"/>
          <w:szCs w:val="24"/>
        </w:rPr>
        <w:t>。具体水利</w:t>
      </w:r>
      <w:r>
        <w:rPr>
          <w:rFonts w:hint="eastAsia" w:hAnsi="宋体" w:cs="Times New Roman"/>
          <w:color w:val="000000"/>
          <w:spacing w:val="-4"/>
          <w:kern w:val="0"/>
          <w:sz w:val="24"/>
          <w:szCs w:val="24"/>
        </w:rPr>
        <w:t>水电</w:t>
      </w:r>
      <w:r>
        <w:rPr>
          <w:rFonts w:hAnsi="宋体" w:cs="Times New Roman"/>
          <w:color w:val="000000"/>
          <w:spacing w:val="-4"/>
          <w:kern w:val="0"/>
          <w:sz w:val="24"/>
          <w:szCs w:val="24"/>
        </w:rPr>
        <w:t>设施调查情况汇总见表</w:t>
      </w:r>
      <w:r>
        <w:rPr>
          <w:rFonts w:hint="eastAsia" w:cs="Times New Roman"/>
          <w:color w:val="000000"/>
          <w:spacing w:val="-4"/>
          <w:kern w:val="0"/>
          <w:sz w:val="24"/>
          <w:szCs w:val="24"/>
        </w:rPr>
        <w:t>8.7.2-1</w:t>
      </w:r>
      <w:r>
        <w:rPr>
          <w:rFonts w:hAnsi="宋体" w:cs="Times New Roman"/>
          <w:color w:val="000000"/>
          <w:kern w:val="0"/>
          <w:sz w:val="24"/>
          <w:szCs w:val="24"/>
        </w:rPr>
        <w:t>。</w:t>
      </w:r>
    </w:p>
    <w:p>
      <w:pPr>
        <w:overflowPunct w:val="0"/>
        <w:autoSpaceDE w:val="0"/>
        <w:autoSpaceDN w:val="0"/>
        <w:snapToGrid w:val="0"/>
        <w:spacing w:line="360" w:lineRule="auto"/>
        <w:ind w:firstLine="420"/>
        <w:rPr>
          <w:color w:val="000000"/>
          <w:kern w:val="0"/>
          <w:sz w:val="24"/>
          <w:szCs w:val="24"/>
        </w:rPr>
        <w:sectPr>
          <w:footerReference r:id="rId35" w:type="default"/>
          <w:pgSz w:w="11906" w:h="16838"/>
          <w:pgMar w:top="1588" w:right="1559" w:bottom="1531" w:left="1559" w:header="1134" w:footer="1247" w:gutter="0"/>
          <w:cols w:space="720" w:num="1"/>
          <w:docGrid w:linePitch="312" w:charSpace="0"/>
        </w:sectPr>
      </w:pPr>
    </w:p>
    <w:bookmarkEnd w:id="640"/>
    <w:p>
      <w:pPr>
        <w:adjustRightInd w:val="0"/>
        <w:snapToGrid w:val="0"/>
        <w:spacing w:before="120" w:beforeLines="50" w:line="460" w:lineRule="exact"/>
        <w:jc w:val="center"/>
        <w:rPr>
          <w:rFonts w:cs="Times New Roman"/>
          <w:color w:val="000000"/>
          <w:szCs w:val="22"/>
        </w:rPr>
      </w:pPr>
      <w:r>
        <w:rPr>
          <w:rFonts w:hint="eastAsia" w:eastAsia="黑体" w:cs="Times New Roman"/>
          <w:color w:val="000000"/>
          <w:sz w:val="24"/>
          <w:szCs w:val="24"/>
        </w:rPr>
        <w:t>表</w:t>
      </w:r>
      <w:r>
        <w:rPr>
          <w:rFonts w:eastAsia="黑体" w:cs="Times New Roman"/>
          <w:color w:val="000000"/>
          <w:sz w:val="24"/>
          <w:szCs w:val="24"/>
        </w:rPr>
        <w:t>8.</w:t>
      </w:r>
      <w:r>
        <w:rPr>
          <w:rFonts w:hint="eastAsia" w:eastAsia="黑体" w:cs="Times New Roman"/>
          <w:color w:val="000000"/>
          <w:sz w:val="24"/>
          <w:szCs w:val="24"/>
        </w:rPr>
        <w:t>7</w:t>
      </w:r>
      <w:r>
        <w:rPr>
          <w:rFonts w:eastAsia="黑体" w:cs="Times New Roman"/>
          <w:color w:val="000000"/>
          <w:sz w:val="24"/>
          <w:szCs w:val="24"/>
        </w:rPr>
        <w:t>.2</w:t>
      </w:r>
      <w:r>
        <w:rPr>
          <w:rFonts w:hint="eastAsia" w:eastAsia="黑体" w:cs="Times New Roman"/>
          <w:color w:val="000000"/>
          <w:sz w:val="24"/>
          <w:szCs w:val="24"/>
        </w:rPr>
        <w:t>-1  陆河</w:t>
      </w:r>
      <w:r>
        <w:rPr>
          <w:rFonts w:eastAsia="黑体" w:cs="Times New Roman"/>
          <w:color w:val="000000"/>
          <w:sz w:val="24"/>
          <w:szCs w:val="24"/>
        </w:rPr>
        <w:t>抽水蓄能电站影响</w:t>
      </w:r>
      <w:r>
        <w:rPr>
          <w:rFonts w:hint="eastAsia" w:eastAsia="黑体" w:cs="Times New Roman"/>
          <w:color w:val="000000"/>
          <w:sz w:val="24"/>
          <w:szCs w:val="24"/>
        </w:rPr>
        <w:t>小水电</w:t>
      </w:r>
      <w:r>
        <w:rPr>
          <w:rFonts w:eastAsia="黑体" w:cs="Times New Roman"/>
          <w:color w:val="000000"/>
          <w:sz w:val="24"/>
          <w:szCs w:val="24"/>
        </w:rPr>
        <w:t>调查汇总表</w:t>
      </w:r>
    </w:p>
    <w:tbl>
      <w:tblPr>
        <w:tblStyle w:val="79"/>
        <w:tblW w:w="136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338"/>
        <w:gridCol w:w="1144"/>
        <w:gridCol w:w="1300"/>
        <w:gridCol w:w="1232"/>
        <w:gridCol w:w="1300"/>
        <w:gridCol w:w="1298"/>
        <w:gridCol w:w="1300"/>
        <w:gridCol w:w="1298"/>
        <w:gridCol w:w="1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83"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233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项     目</w:t>
            </w:r>
          </w:p>
        </w:tc>
        <w:tc>
          <w:tcPr>
            <w:tcW w:w="1144"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单位</w:t>
            </w:r>
          </w:p>
        </w:tc>
        <w:tc>
          <w:tcPr>
            <w:tcW w:w="1300"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3830"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3893"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83" w:type="dxa"/>
            <w:vMerge w:val="continue"/>
            <w:noWrap w:val="0"/>
            <w:vAlign w:val="center"/>
          </w:tcPr>
          <w:p>
            <w:pPr>
              <w:widowControl/>
              <w:jc w:val="left"/>
              <w:rPr>
                <w:rFonts w:cs="Times New Roman"/>
                <w:color w:val="000000"/>
                <w:kern w:val="0"/>
                <w:szCs w:val="21"/>
              </w:rPr>
            </w:pPr>
          </w:p>
        </w:tc>
        <w:tc>
          <w:tcPr>
            <w:tcW w:w="2338" w:type="dxa"/>
            <w:vMerge w:val="continue"/>
            <w:noWrap w:val="0"/>
            <w:vAlign w:val="center"/>
          </w:tcPr>
          <w:p>
            <w:pPr>
              <w:widowControl/>
              <w:jc w:val="left"/>
              <w:rPr>
                <w:rFonts w:cs="Times New Roman"/>
                <w:color w:val="000000"/>
                <w:kern w:val="0"/>
                <w:szCs w:val="21"/>
              </w:rPr>
            </w:pPr>
          </w:p>
        </w:tc>
        <w:tc>
          <w:tcPr>
            <w:tcW w:w="1144" w:type="dxa"/>
            <w:vMerge w:val="continue"/>
            <w:noWrap w:val="0"/>
            <w:vAlign w:val="center"/>
          </w:tcPr>
          <w:p>
            <w:pPr>
              <w:widowControl/>
              <w:jc w:val="left"/>
              <w:rPr>
                <w:rFonts w:cs="Times New Roman"/>
                <w:color w:val="000000"/>
                <w:kern w:val="0"/>
                <w:szCs w:val="21"/>
              </w:rPr>
            </w:pPr>
          </w:p>
        </w:tc>
        <w:tc>
          <w:tcPr>
            <w:tcW w:w="1300" w:type="dxa"/>
            <w:vMerge w:val="continue"/>
            <w:noWrap w:val="0"/>
            <w:vAlign w:val="center"/>
          </w:tcPr>
          <w:p>
            <w:pPr>
              <w:widowControl/>
              <w:jc w:val="left"/>
              <w:rPr>
                <w:rFonts w:cs="Times New Roman"/>
                <w:color w:val="000000"/>
                <w:kern w:val="0"/>
                <w:szCs w:val="21"/>
              </w:rPr>
            </w:pP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永久占地</w:t>
            </w:r>
          </w:p>
        </w:tc>
        <w:tc>
          <w:tcPr>
            <w:tcW w:w="1298" w:type="dxa"/>
            <w:noWrap w:val="0"/>
            <w:vAlign w:val="center"/>
          </w:tcPr>
          <w:p>
            <w:pPr>
              <w:widowControl/>
              <w:jc w:val="center"/>
              <w:rPr>
                <w:rFonts w:cs="Times New Roman"/>
                <w:color w:val="000000"/>
                <w:kern w:val="0"/>
                <w:szCs w:val="21"/>
              </w:rPr>
            </w:pPr>
            <w:r>
              <w:rPr>
                <w:rFonts w:cs="Times New Roman"/>
                <w:color w:val="000000"/>
                <w:kern w:val="0"/>
                <w:szCs w:val="21"/>
              </w:rPr>
              <w:t>临时用地</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1298" w:type="dxa"/>
            <w:noWrap w:val="0"/>
            <w:vAlign w:val="center"/>
          </w:tcPr>
          <w:p>
            <w:pPr>
              <w:widowControl/>
              <w:jc w:val="center"/>
              <w:rPr>
                <w:rFonts w:hint="eastAsia" w:cs="Times New Roman"/>
                <w:color w:val="000000"/>
                <w:kern w:val="0"/>
                <w:szCs w:val="21"/>
              </w:rPr>
            </w:pPr>
            <w:r>
              <w:rPr>
                <w:rFonts w:cs="Times New Roman"/>
                <w:color w:val="000000"/>
                <w:kern w:val="0"/>
                <w:szCs w:val="21"/>
              </w:rPr>
              <w:t>上水库</w:t>
            </w:r>
          </w:p>
          <w:p>
            <w:pPr>
              <w:widowControl/>
              <w:jc w:val="center"/>
              <w:rPr>
                <w:rFonts w:cs="Times New Roman"/>
                <w:color w:val="000000"/>
                <w:kern w:val="0"/>
                <w:szCs w:val="21"/>
              </w:rPr>
            </w:pPr>
            <w:r>
              <w:rPr>
                <w:rFonts w:cs="Times New Roman"/>
                <w:color w:val="000000"/>
                <w:kern w:val="0"/>
                <w:szCs w:val="21"/>
              </w:rPr>
              <w:t>淹没区</w:t>
            </w:r>
          </w:p>
        </w:tc>
        <w:tc>
          <w:tcPr>
            <w:tcW w:w="1295" w:type="dxa"/>
            <w:noWrap w:val="0"/>
            <w:vAlign w:val="center"/>
          </w:tcPr>
          <w:p>
            <w:pPr>
              <w:widowControl/>
              <w:jc w:val="center"/>
              <w:rPr>
                <w:rFonts w:hint="eastAsia" w:cs="Times New Roman"/>
                <w:color w:val="000000"/>
                <w:kern w:val="0"/>
                <w:szCs w:val="21"/>
              </w:rPr>
            </w:pPr>
            <w:r>
              <w:rPr>
                <w:rFonts w:cs="Times New Roman"/>
                <w:color w:val="000000"/>
                <w:kern w:val="0"/>
                <w:szCs w:val="21"/>
              </w:rPr>
              <w:t>下水库</w:t>
            </w:r>
          </w:p>
          <w:p>
            <w:pPr>
              <w:widowControl/>
              <w:jc w:val="center"/>
              <w:rPr>
                <w:rFonts w:cs="Times New Roman"/>
                <w:color w:val="000000"/>
                <w:kern w:val="0"/>
                <w:szCs w:val="21"/>
              </w:rPr>
            </w:pPr>
            <w:r>
              <w:rPr>
                <w:rFonts w:cs="Times New Roman"/>
                <w:color w:val="000000"/>
                <w:kern w:val="0"/>
                <w:szCs w:val="21"/>
              </w:rPr>
              <w:t>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激石溪老区水电站</w:t>
            </w:r>
          </w:p>
        </w:tc>
        <w:tc>
          <w:tcPr>
            <w:tcW w:w="1144" w:type="dxa"/>
            <w:noWrap w:val="0"/>
            <w:vAlign w:val="center"/>
          </w:tcPr>
          <w:p>
            <w:pPr>
              <w:widowControl/>
              <w:jc w:val="center"/>
              <w:rPr>
                <w:rFonts w:hint="eastAsia" w:cs="Times New Roman"/>
                <w:color w:val="000000"/>
                <w:kern w:val="0"/>
                <w:szCs w:val="21"/>
              </w:rPr>
            </w:pPr>
            <w:r>
              <w:rPr>
                <w:rFonts w:cs="Times New Roman"/>
                <w:color w:val="000000"/>
                <w:kern w:val="0"/>
                <w:szCs w:val="21"/>
              </w:rPr>
              <w:t>座/k</w:t>
            </w:r>
            <w:r>
              <w:rPr>
                <w:rFonts w:hint="eastAsia" w:cs="Times New Roman"/>
                <w:color w:val="000000"/>
                <w:kern w:val="0"/>
                <w:szCs w:val="21"/>
              </w:rPr>
              <w:t>W</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1/1200</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1/1200</w:t>
            </w:r>
          </w:p>
        </w:tc>
        <w:tc>
          <w:tcPr>
            <w:tcW w:w="1298"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0"/>
            <w:vAlign w:val="center"/>
          </w:tcPr>
          <w:p>
            <w:pPr>
              <w:widowControl/>
              <w:jc w:val="center"/>
              <w:rPr>
                <w:rFonts w:cs="Times New Roman"/>
                <w:color w:val="000000"/>
                <w:kern w:val="0"/>
                <w:szCs w:val="21"/>
              </w:rPr>
            </w:pPr>
            <w:r>
              <w:rPr>
                <w:rFonts w:cs="Times New Roman"/>
                <w:color w:val="000000"/>
                <w:kern w:val="0"/>
                <w:szCs w:val="21"/>
              </w:rPr>
              <w:t>1/1200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框架(</w:t>
            </w:r>
            <w:r>
              <w:rPr>
                <w:rFonts w:cs="Times New Roman"/>
                <w:color w:val="000000"/>
                <w:szCs w:val="21"/>
              </w:rPr>
              <w:t>m</w:t>
            </w:r>
            <w:r>
              <w:rPr>
                <w:rFonts w:cs="Times New Roman"/>
                <w:color w:val="000000"/>
                <w:szCs w:val="21"/>
                <w:vertAlign w:val="superscript"/>
              </w:rPr>
              <w:t>2</w:t>
            </w:r>
            <w:r>
              <w:rPr>
                <w:rFonts w:cs="Times New Roman"/>
                <w:color w:val="000000"/>
                <w:kern w:val="0"/>
                <w:szCs w:val="21"/>
              </w:rPr>
              <w:t>)</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274.95</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274.95</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274.95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水泥晒坪(</w:t>
            </w:r>
            <w:r>
              <w:rPr>
                <w:rFonts w:cs="Times New Roman"/>
                <w:color w:val="000000"/>
                <w:szCs w:val="21"/>
              </w:rPr>
              <w:t>m</w:t>
            </w:r>
            <w:r>
              <w:rPr>
                <w:rFonts w:cs="Times New Roman"/>
                <w:color w:val="000000"/>
                <w:szCs w:val="21"/>
                <w:vertAlign w:val="superscript"/>
              </w:rPr>
              <w:t>2</w:t>
            </w:r>
            <w:r>
              <w:rPr>
                <w:rFonts w:cs="Times New Roman"/>
                <w:color w:val="000000"/>
                <w:kern w:val="0"/>
                <w:szCs w:val="21"/>
              </w:rPr>
              <w:t>)</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542</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542</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542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围墙(</w:t>
            </w:r>
            <w:r>
              <w:rPr>
                <w:rFonts w:cs="Times New Roman"/>
                <w:color w:val="000000"/>
                <w:szCs w:val="21"/>
              </w:rPr>
              <w:t>m</w:t>
            </w:r>
            <w:r>
              <w:rPr>
                <w:rFonts w:cs="Times New Roman"/>
                <w:color w:val="000000"/>
                <w:szCs w:val="21"/>
                <w:vertAlign w:val="superscript"/>
              </w:rPr>
              <w:t>2</w:t>
            </w:r>
            <w:r>
              <w:rPr>
                <w:rFonts w:cs="Times New Roman"/>
                <w:color w:val="000000"/>
                <w:kern w:val="0"/>
                <w:szCs w:val="21"/>
              </w:rPr>
              <w:t>)</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126.9</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126.9</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126.9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2</w:t>
            </w:r>
          </w:p>
        </w:tc>
        <w:tc>
          <w:tcPr>
            <w:tcW w:w="2338" w:type="dxa"/>
            <w:noWrap/>
            <w:vAlign w:val="center"/>
          </w:tcPr>
          <w:p>
            <w:pPr>
              <w:widowControl/>
              <w:jc w:val="center"/>
              <w:rPr>
                <w:rFonts w:cs="Times New Roman"/>
                <w:color w:val="000000"/>
                <w:kern w:val="0"/>
                <w:szCs w:val="21"/>
              </w:rPr>
            </w:pPr>
            <w:r>
              <w:rPr>
                <w:rFonts w:cs="Times New Roman"/>
                <w:color w:val="000000"/>
                <w:kern w:val="0"/>
                <w:szCs w:val="21"/>
              </w:rPr>
              <w:t>三江口水电站</w:t>
            </w:r>
          </w:p>
        </w:tc>
        <w:tc>
          <w:tcPr>
            <w:tcW w:w="1144" w:type="dxa"/>
            <w:noWrap w:val="0"/>
            <w:vAlign w:val="center"/>
          </w:tcPr>
          <w:p>
            <w:pPr>
              <w:widowControl/>
              <w:jc w:val="center"/>
              <w:rPr>
                <w:rFonts w:hint="eastAsia" w:cs="Times New Roman"/>
                <w:color w:val="000000"/>
                <w:kern w:val="0"/>
                <w:szCs w:val="21"/>
              </w:rPr>
            </w:pPr>
            <w:r>
              <w:rPr>
                <w:rFonts w:cs="Times New Roman"/>
                <w:color w:val="000000"/>
                <w:kern w:val="0"/>
                <w:szCs w:val="21"/>
              </w:rPr>
              <w:t>座/k</w:t>
            </w:r>
            <w:r>
              <w:rPr>
                <w:rFonts w:hint="eastAsia" w:cs="Times New Roman"/>
                <w:color w:val="000000"/>
                <w:kern w:val="0"/>
                <w:szCs w:val="21"/>
              </w:rPr>
              <w:t>W</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1/3150</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1/3150</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1/3150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框架</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324.24</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324.24</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324.24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砖混</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636.44</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636.44</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636.44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水泥晒坪</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861</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861</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861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地砖坪</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585</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585</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草地坪</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3018</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3018</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3018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鱼塘</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28</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28</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铁棚</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164.4</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164.4</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164.4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围墙</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800</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800</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3</w:t>
            </w:r>
          </w:p>
        </w:tc>
        <w:tc>
          <w:tcPr>
            <w:tcW w:w="2338" w:type="dxa"/>
            <w:noWrap/>
            <w:vAlign w:val="center"/>
          </w:tcPr>
          <w:p>
            <w:pPr>
              <w:widowControl/>
              <w:jc w:val="center"/>
              <w:rPr>
                <w:rFonts w:cs="Times New Roman"/>
                <w:color w:val="000000"/>
                <w:kern w:val="0"/>
                <w:szCs w:val="21"/>
              </w:rPr>
            </w:pPr>
            <w:r>
              <w:rPr>
                <w:rFonts w:cs="Times New Roman"/>
                <w:color w:val="000000"/>
                <w:kern w:val="0"/>
                <w:szCs w:val="21"/>
              </w:rPr>
              <w:t>三坑水电站</w:t>
            </w:r>
          </w:p>
        </w:tc>
        <w:tc>
          <w:tcPr>
            <w:tcW w:w="1144" w:type="dxa"/>
            <w:noWrap w:val="0"/>
            <w:vAlign w:val="center"/>
          </w:tcPr>
          <w:p>
            <w:pPr>
              <w:widowControl/>
              <w:jc w:val="center"/>
              <w:rPr>
                <w:rFonts w:hint="eastAsia" w:cs="Times New Roman"/>
                <w:color w:val="000000"/>
                <w:kern w:val="0"/>
                <w:szCs w:val="21"/>
              </w:rPr>
            </w:pPr>
            <w:r>
              <w:rPr>
                <w:rFonts w:cs="Times New Roman"/>
                <w:color w:val="000000"/>
                <w:kern w:val="0"/>
                <w:szCs w:val="21"/>
              </w:rPr>
              <w:t>座/k</w:t>
            </w:r>
            <w:r>
              <w:rPr>
                <w:rFonts w:hint="eastAsia" w:cs="Times New Roman"/>
                <w:color w:val="000000"/>
                <w:kern w:val="0"/>
                <w:szCs w:val="21"/>
              </w:rPr>
              <w:t>W</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1/1580</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1/1580</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1/1580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ign w:val="center"/>
          </w:tcPr>
          <w:p>
            <w:pPr>
              <w:widowControl/>
              <w:jc w:val="center"/>
              <w:rPr>
                <w:rFonts w:cs="Times New Roman"/>
                <w:color w:val="000000"/>
                <w:kern w:val="0"/>
                <w:szCs w:val="21"/>
              </w:rPr>
            </w:pPr>
            <w:r>
              <w:rPr>
                <w:rFonts w:cs="Times New Roman"/>
                <w:color w:val="000000"/>
                <w:kern w:val="0"/>
                <w:szCs w:val="21"/>
              </w:rPr>
              <w:t>框架</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289.6</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289.6</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289.6</w:t>
            </w:r>
          </w:p>
        </w:tc>
      </w:tr>
    </w:tbl>
    <w:p>
      <w:pPr>
        <w:adjustRightInd w:val="0"/>
        <w:snapToGrid w:val="0"/>
        <w:spacing w:before="120" w:beforeLines="50" w:line="460" w:lineRule="exact"/>
        <w:jc w:val="center"/>
        <w:rPr>
          <w:rFonts w:cs="Times New Roman"/>
          <w:color w:val="000000"/>
          <w:szCs w:val="22"/>
        </w:rPr>
      </w:pPr>
      <w:r>
        <w:rPr>
          <w:rFonts w:hint="eastAsia" w:eastAsia="黑体" w:cs="Times New Roman"/>
          <w:color w:val="000000"/>
          <w:sz w:val="24"/>
          <w:szCs w:val="24"/>
        </w:rPr>
        <w:t>表</w:t>
      </w:r>
      <w:r>
        <w:rPr>
          <w:rFonts w:eastAsia="黑体" w:cs="Times New Roman"/>
          <w:color w:val="000000"/>
          <w:sz w:val="24"/>
          <w:szCs w:val="24"/>
        </w:rPr>
        <w:t>8.</w:t>
      </w:r>
      <w:r>
        <w:rPr>
          <w:rFonts w:hint="eastAsia" w:eastAsia="黑体" w:cs="Times New Roman"/>
          <w:color w:val="000000"/>
          <w:sz w:val="24"/>
          <w:szCs w:val="24"/>
        </w:rPr>
        <w:t>7</w:t>
      </w:r>
      <w:r>
        <w:rPr>
          <w:rFonts w:eastAsia="黑体" w:cs="Times New Roman"/>
          <w:color w:val="000000"/>
          <w:sz w:val="24"/>
          <w:szCs w:val="24"/>
        </w:rPr>
        <w:t>.2</w:t>
      </w:r>
      <w:r>
        <w:rPr>
          <w:rFonts w:hint="eastAsia" w:eastAsia="黑体" w:cs="Times New Roman"/>
          <w:color w:val="000000"/>
          <w:sz w:val="24"/>
          <w:szCs w:val="24"/>
        </w:rPr>
        <w:t>-1(续)</w:t>
      </w:r>
    </w:p>
    <w:tbl>
      <w:tblPr>
        <w:tblStyle w:val="79"/>
        <w:tblW w:w="136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338"/>
        <w:gridCol w:w="1144"/>
        <w:gridCol w:w="1300"/>
        <w:gridCol w:w="1232"/>
        <w:gridCol w:w="1300"/>
        <w:gridCol w:w="1298"/>
        <w:gridCol w:w="1300"/>
        <w:gridCol w:w="1298"/>
        <w:gridCol w:w="1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83"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233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项     目</w:t>
            </w:r>
          </w:p>
        </w:tc>
        <w:tc>
          <w:tcPr>
            <w:tcW w:w="1144"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单位</w:t>
            </w:r>
          </w:p>
        </w:tc>
        <w:tc>
          <w:tcPr>
            <w:tcW w:w="1300"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3830"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3893"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水库淹没影响区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83" w:type="dxa"/>
            <w:vMerge w:val="continue"/>
            <w:noWrap w:val="0"/>
            <w:vAlign w:val="center"/>
          </w:tcPr>
          <w:p>
            <w:pPr>
              <w:widowControl/>
              <w:jc w:val="left"/>
              <w:rPr>
                <w:rFonts w:cs="Times New Roman"/>
                <w:color w:val="000000"/>
                <w:kern w:val="0"/>
                <w:szCs w:val="21"/>
              </w:rPr>
            </w:pPr>
          </w:p>
        </w:tc>
        <w:tc>
          <w:tcPr>
            <w:tcW w:w="2338" w:type="dxa"/>
            <w:vMerge w:val="continue"/>
            <w:noWrap w:val="0"/>
            <w:vAlign w:val="center"/>
          </w:tcPr>
          <w:p>
            <w:pPr>
              <w:widowControl/>
              <w:jc w:val="left"/>
              <w:rPr>
                <w:rFonts w:cs="Times New Roman"/>
                <w:color w:val="000000"/>
                <w:kern w:val="0"/>
                <w:szCs w:val="21"/>
              </w:rPr>
            </w:pPr>
          </w:p>
        </w:tc>
        <w:tc>
          <w:tcPr>
            <w:tcW w:w="1144" w:type="dxa"/>
            <w:vMerge w:val="continue"/>
            <w:noWrap w:val="0"/>
            <w:vAlign w:val="center"/>
          </w:tcPr>
          <w:p>
            <w:pPr>
              <w:widowControl/>
              <w:jc w:val="left"/>
              <w:rPr>
                <w:rFonts w:cs="Times New Roman"/>
                <w:color w:val="000000"/>
                <w:kern w:val="0"/>
                <w:szCs w:val="21"/>
              </w:rPr>
            </w:pPr>
          </w:p>
        </w:tc>
        <w:tc>
          <w:tcPr>
            <w:tcW w:w="1300" w:type="dxa"/>
            <w:vMerge w:val="continue"/>
            <w:noWrap w:val="0"/>
            <w:vAlign w:val="center"/>
          </w:tcPr>
          <w:p>
            <w:pPr>
              <w:widowControl/>
              <w:jc w:val="left"/>
              <w:rPr>
                <w:rFonts w:cs="Times New Roman"/>
                <w:color w:val="000000"/>
                <w:kern w:val="0"/>
                <w:szCs w:val="21"/>
              </w:rPr>
            </w:pP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永久占地</w:t>
            </w:r>
          </w:p>
        </w:tc>
        <w:tc>
          <w:tcPr>
            <w:tcW w:w="1298" w:type="dxa"/>
            <w:noWrap w:val="0"/>
            <w:vAlign w:val="center"/>
          </w:tcPr>
          <w:p>
            <w:pPr>
              <w:widowControl/>
              <w:jc w:val="center"/>
              <w:rPr>
                <w:rFonts w:cs="Times New Roman"/>
                <w:color w:val="000000"/>
                <w:kern w:val="0"/>
                <w:szCs w:val="21"/>
              </w:rPr>
            </w:pPr>
            <w:r>
              <w:rPr>
                <w:rFonts w:cs="Times New Roman"/>
                <w:color w:val="000000"/>
                <w:kern w:val="0"/>
                <w:szCs w:val="21"/>
              </w:rPr>
              <w:t>临时用地</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1298" w:type="dxa"/>
            <w:noWrap w:val="0"/>
            <w:vAlign w:val="center"/>
          </w:tcPr>
          <w:p>
            <w:pPr>
              <w:widowControl/>
              <w:jc w:val="center"/>
              <w:rPr>
                <w:rFonts w:hint="eastAsia" w:cs="Times New Roman"/>
                <w:color w:val="000000"/>
                <w:kern w:val="0"/>
                <w:szCs w:val="21"/>
              </w:rPr>
            </w:pPr>
            <w:r>
              <w:rPr>
                <w:rFonts w:cs="Times New Roman"/>
                <w:color w:val="000000"/>
                <w:kern w:val="0"/>
                <w:szCs w:val="21"/>
              </w:rPr>
              <w:t>上水库</w:t>
            </w:r>
          </w:p>
          <w:p>
            <w:pPr>
              <w:widowControl/>
              <w:jc w:val="center"/>
              <w:rPr>
                <w:rFonts w:cs="Times New Roman"/>
                <w:color w:val="000000"/>
                <w:kern w:val="0"/>
                <w:szCs w:val="21"/>
              </w:rPr>
            </w:pPr>
            <w:r>
              <w:rPr>
                <w:rFonts w:cs="Times New Roman"/>
                <w:color w:val="000000"/>
                <w:kern w:val="0"/>
                <w:szCs w:val="21"/>
              </w:rPr>
              <w:t>淹没区</w:t>
            </w:r>
          </w:p>
        </w:tc>
        <w:tc>
          <w:tcPr>
            <w:tcW w:w="1295" w:type="dxa"/>
            <w:noWrap w:val="0"/>
            <w:vAlign w:val="center"/>
          </w:tcPr>
          <w:p>
            <w:pPr>
              <w:widowControl/>
              <w:jc w:val="center"/>
              <w:rPr>
                <w:rFonts w:hint="eastAsia" w:cs="Times New Roman"/>
                <w:color w:val="000000"/>
                <w:kern w:val="0"/>
                <w:szCs w:val="21"/>
              </w:rPr>
            </w:pPr>
            <w:r>
              <w:rPr>
                <w:rFonts w:cs="Times New Roman"/>
                <w:color w:val="000000"/>
                <w:kern w:val="0"/>
                <w:szCs w:val="21"/>
              </w:rPr>
              <w:t>下水库</w:t>
            </w:r>
          </w:p>
          <w:p>
            <w:pPr>
              <w:widowControl/>
              <w:jc w:val="center"/>
              <w:rPr>
                <w:rFonts w:cs="Times New Roman"/>
                <w:color w:val="000000"/>
                <w:kern w:val="0"/>
                <w:szCs w:val="21"/>
              </w:rPr>
            </w:pPr>
            <w:r>
              <w:rPr>
                <w:rFonts w:cs="Times New Roman"/>
                <w:color w:val="000000"/>
                <w:kern w:val="0"/>
                <w:szCs w:val="21"/>
              </w:rPr>
              <w:t>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4</w:t>
            </w:r>
          </w:p>
        </w:tc>
        <w:tc>
          <w:tcPr>
            <w:tcW w:w="2338" w:type="dxa"/>
            <w:noWrap/>
            <w:vAlign w:val="center"/>
          </w:tcPr>
          <w:p>
            <w:pPr>
              <w:widowControl/>
              <w:jc w:val="center"/>
              <w:rPr>
                <w:rFonts w:cs="Times New Roman"/>
                <w:color w:val="000000"/>
                <w:kern w:val="0"/>
                <w:szCs w:val="21"/>
              </w:rPr>
            </w:pPr>
            <w:r>
              <w:rPr>
                <w:rFonts w:cs="Times New Roman"/>
                <w:color w:val="000000"/>
                <w:kern w:val="0"/>
                <w:szCs w:val="21"/>
              </w:rPr>
              <w:t>大沥唇水电站</w:t>
            </w:r>
          </w:p>
        </w:tc>
        <w:tc>
          <w:tcPr>
            <w:tcW w:w="1144" w:type="dxa"/>
            <w:noWrap w:val="0"/>
            <w:vAlign w:val="center"/>
          </w:tcPr>
          <w:p>
            <w:pPr>
              <w:widowControl/>
              <w:jc w:val="center"/>
              <w:rPr>
                <w:rFonts w:hint="eastAsia" w:cs="Times New Roman"/>
                <w:color w:val="000000"/>
                <w:kern w:val="0"/>
                <w:szCs w:val="21"/>
              </w:rPr>
            </w:pPr>
            <w:r>
              <w:rPr>
                <w:rFonts w:cs="Times New Roman"/>
                <w:color w:val="000000"/>
                <w:kern w:val="0"/>
                <w:szCs w:val="21"/>
              </w:rPr>
              <w:t>座/k</w:t>
            </w:r>
            <w:r>
              <w:rPr>
                <w:rFonts w:hint="eastAsia" w:cs="Times New Roman"/>
                <w:color w:val="000000"/>
                <w:kern w:val="0"/>
                <w:szCs w:val="21"/>
              </w:rPr>
              <w:t>W</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1/830</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1/830</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1/830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框架</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149.25</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149.25</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149.25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水泥晒坪</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380</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380</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围墙</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210</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210</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5</w:t>
            </w:r>
          </w:p>
        </w:tc>
        <w:tc>
          <w:tcPr>
            <w:tcW w:w="2338" w:type="dxa"/>
            <w:noWrap/>
            <w:vAlign w:val="center"/>
          </w:tcPr>
          <w:p>
            <w:pPr>
              <w:widowControl/>
              <w:jc w:val="center"/>
              <w:rPr>
                <w:rFonts w:cs="Times New Roman"/>
                <w:color w:val="000000"/>
                <w:kern w:val="0"/>
                <w:szCs w:val="21"/>
              </w:rPr>
            </w:pPr>
            <w:r>
              <w:rPr>
                <w:rFonts w:cs="Times New Roman"/>
                <w:color w:val="000000"/>
                <w:kern w:val="0"/>
                <w:szCs w:val="21"/>
              </w:rPr>
              <w:t>坪田水电站</w:t>
            </w:r>
          </w:p>
        </w:tc>
        <w:tc>
          <w:tcPr>
            <w:tcW w:w="1144" w:type="dxa"/>
            <w:noWrap w:val="0"/>
            <w:vAlign w:val="center"/>
          </w:tcPr>
          <w:p>
            <w:pPr>
              <w:widowControl/>
              <w:jc w:val="center"/>
              <w:rPr>
                <w:rFonts w:hint="eastAsia" w:cs="Times New Roman"/>
                <w:color w:val="000000"/>
                <w:kern w:val="0"/>
                <w:szCs w:val="21"/>
              </w:rPr>
            </w:pPr>
            <w:r>
              <w:rPr>
                <w:rFonts w:cs="Times New Roman"/>
                <w:color w:val="000000"/>
                <w:kern w:val="0"/>
                <w:szCs w:val="21"/>
              </w:rPr>
              <w:t>座/k</w:t>
            </w:r>
            <w:r>
              <w:rPr>
                <w:rFonts w:hint="eastAsia" w:cs="Times New Roman"/>
                <w:color w:val="000000"/>
                <w:kern w:val="0"/>
                <w:szCs w:val="21"/>
              </w:rPr>
              <w:t>W</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1/630</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1/630</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1/630</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noWrap w:val="0"/>
            <w:vAlign w:val="center"/>
          </w:tcPr>
          <w:p>
            <w:pPr>
              <w:widowControl/>
              <w:jc w:val="center"/>
              <w:rPr>
                <w:rFonts w:cs="Times New Roman"/>
                <w:color w:val="000000"/>
                <w:kern w:val="0"/>
                <w:szCs w:val="21"/>
              </w:rPr>
            </w:pPr>
            <w:r>
              <w:rPr>
                <w:rFonts w:cs="Times New Roman"/>
                <w:color w:val="000000"/>
                <w:kern w:val="0"/>
                <w:szCs w:val="21"/>
              </w:rPr>
              <w:t>框架</w:t>
            </w:r>
          </w:p>
        </w:tc>
        <w:tc>
          <w:tcPr>
            <w:tcW w:w="1144" w:type="dxa"/>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265.91</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265.91</w:t>
            </w:r>
          </w:p>
        </w:tc>
        <w:tc>
          <w:tcPr>
            <w:tcW w:w="1300" w:type="dxa"/>
            <w:noWrap/>
            <w:vAlign w:val="center"/>
          </w:tcPr>
          <w:p>
            <w:pPr>
              <w:widowControl/>
              <w:jc w:val="center"/>
              <w:rPr>
                <w:rFonts w:cs="Times New Roman"/>
                <w:color w:val="000000"/>
                <w:kern w:val="0"/>
                <w:szCs w:val="21"/>
              </w:rPr>
            </w:pPr>
            <w:r>
              <w:rPr>
                <w:rFonts w:cs="Times New Roman"/>
                <w:color w:val="000000"/>
                <w:kern w:val="0"/>
                <w:szCs w:val="21"/>
              </w:rPr>
              <w:t>265.91</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298"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3"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2338"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水泥晒坪</w:t>
            </w:r>
          </w:p>
        </w:tc>
        <w:tc>
          <w:tcPr>
            <w:tcW w:w="1144"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szCs w:val="21"/>
              </w:rPr>
              <w:t>m</w:t>
            </w:r>
            <w:r>
              <w:rPr>
                <w:rFonts w:cs="Times New Roman"/>
                <w:color w:val="000000"/>
                <w:szCs w:val="21"/>
                <w:vertAlign w:val="superscript"/>
              </w:rPr>
              <w:t>2</w:t>
            </w:r>
          </w:p>
        </w:tc>
        <w:tc>
          <w:tcPr>
            <w:tcW w:w="1300"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441.42</w:t>
            </w:r>
          </w:p>
        </w:tc>
        <w:tc>
          <w:tcPr>
            <w:tcW w:w="1232"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441.42</w:t>
            </w:r>
          </w:p>
        </w:tc>
        <w:tc>
          <w:tcPr>
            <w:tcW w:w="1300"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441.42</w:t>
            </w:r>
          </w:p>
        </w:tc>
        <w:tc>
          <w:tcPr>
            <w:tcW w:w="1298"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1300"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1298"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1295"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r>
    </w:tbl>
    <w:p>
      <w:pPr>
        <w:rPr>
          <w:rFonts w:hint="eastAsia"/>
          <w:color w:val="000000"/>
        </w:rPr>
        <w:sectPr>
          <w:footerReference r:id="rId36" w:type="default"/>
          <w:pgSz w:w="16838" w:h="11906" w:orient="landscape"/>
          <w:pgMar w:top="1588" w:right="1559" w:bottom="1531" w:left="1559" w:header="1134" w:footer="1247" w:gutter="0"/>
          <w:cols w:space="720" w:num="1"/>
          <w:docGrid w:linePitch="312" w:charSpace="0"/>
        </w:sectPr>
      </w:pP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bookmarkStart w:id="641" w:name="_Toc85662822"/>
      <w:bookmarkEnd w:id="641"/>
      <w:r>
        <w:rPr>
          <w:rFonts w:ascii="Times New Roman" w:hAnsi="Times New Roman" w:eastAsia="黑体" w:cs="Times New Roman"/>
          <w:bCs/>
          <w:snapToGrid w:val="0"/>
          <w:color w:val="000000"/>
          <w:kern w:val="0"/>
          <w:sz w:val="24"/>
          <w:szCs w:val="24"/>
          <w:lang w:val="en-US" w:eastAsia="zh-CN" w:bidi="ar-SA"/>
        </w:rPr>
        <w:t>8.</w:t>
      </w:r>
      <w:r>
        <w:rPr>
          <w:rFonts w:hint="eastAsia" w:ascii="Times New Roman" w:hAnsi="Times New Roman" w:eastAsia="黑体" w:cs="Times New Roman"/>
          <w:bCs/>
          <w:snapToGrid w:val="0"/>
          <w:color w:val="000000"/>
          <w:kern w:val="0"/>
          <w:sz w:val="24"/>
          <w:szCs w:val="24"/>
          <w:lang w:val="en-US" w:eastAsia="zh-CN" w:bidi="ar-SA"/>
        </w:rPr>
        <w:t>7</w:t>
      </w:r>
      <w:r>
        <w:rPr>
          <w:rFonts w:ascii="Times New Roman" w:hAnsi="Times New Roman" w:eastAsia="黑体" w:cs="Times New Roman"/>
          <w:bCs/>
          <w:snapToGrid w:val="0"/>
          <w:color w:val="000000"/>
          <w:kern w:val="0"/>
          <w:sz w:val="24"/>
          <w:szCs w:val="24"/>
          <w:lang w:val="en-US" w:eastAsia="zh-CN" w:bidi="ar-SA"/>
        </w:rPr>
        <w:t xml:space="preserve">.3  </w:t>
      </w:r>
      <w:r>
        <w:rPr>
          <w:rFonts w:ascii="Times New Roman" w:hAnsi="宋体" w:eastAsia="黑体" w:cs="Times New Roman"/>
          <w:bCs/>
          <w:snapToGrid w:val="0"/>
          <w:color w:val="000000"/>
          <w:kern w:val="0"/>
          <w:sz w:val="24"/>
          <w:szCs w:val="24"/>
          <w:lang w:val="en-US" w:eastAsia="zh-CN" w:bidi="ar-SA"/>
        </w:rPr>
        <w:t>电力设施</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FFFFFF"/>
          <w:lang w:val="en-US" w:eastAsia="zh-CN" w:bidi="ar-SA"/>
        </w:rPr>
      </w:pP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抽水蓄能电站建设征地涉及的电力设施调查主要包括</w:t>
      </w:r>
      <w:r>
        <w:rPr>
          <w:rFonts w:ascii="Times New Roman" w:hAnsi="Times New Roman" w:eastAsia="宋体" w:cs="Times New Roman"/>
          <w:color w:val="000000"/>
          <w:kern w:val="2"/>
          <w:sz w:val="24"/>
          <w:szCs w:val="24"/>
          <w:shd w:val="clear" w:color="auto" w:fill="FFFFFF"/>
          <w:lang w:val="en-US" w:eastAsia="zh-CN" w:bidi="ar-SA"/>
        </w:rPr>
        <w:t>10kV</w:t>
      </w:r>
      <w:r>
        <w:rPr>
          <w:rFonts w:hint="eastAsia" w:ascii="Times New Roman" w:hAnsi="Times New Roman" w:eastAsia="宋体" w:cs="Times New Roman"/>
          <w:color w:val="000000"/>
          <w:kern w:val="2"/>
          <w:sz w:val="24"/>
          <w:szCs w:val="24"/>
          <w:shd w:val="clear" w:color="auto" w:fill="FFFFFF"/>
          <w:lang w:val="en-US" w:eastAsia="zh-CN" w:bidi="ar-SA"/>
        </w:rPr>
        <w:t>、3</w:t>
      </w:r>
      <w:r>
        <w:rPr>
          <w:rFonts w:ascii="Times New Roman" w:hAnsi="Times New Roman" w:eastAsia="宋体" w:cs="Times New Roman"/>
          <w:color w:val="000000"/>
          <w:kern w:val="2"/>
          <w:sz w:val="24"/>
          <w:szCs w:val="24"/>
          <w:shd w:val="clear" w:color="auto" w:fill="FFFFFF"/>
          <w:lang w:val="en-US" w:eastAsia="zh-CN" w:bidi="ar-SA"/>
        </w:rPr>
        <w:t>5</w:t>
      </w:r>
      <w:r>
        <w:rPr>
          <w:rFonts w:hint="eastAsia" w:ascii="Times New Roman" w:hAnsi="Times New Roman" w:eastAsia="宋体" w:cs="Times New Roman"/>
          <w:color w:val="000000"/>
          <w:kern w:val="2"/>
          <w:sz w:val="24"/>
          <w:szCs w:val="24"/>
          <w:shd w:val="clear" w:color="auto" w:fill="FFFFFF"/>
          <w:lang w:val="en-US" w:eastAsia="zh-CN" w:bidi="ar-SA"/>
        </w:rPr>
        <w:t>kV</w:t>
      </w:r>
      <w:r>
        <w:rPr>
          <w:rFonts w:ascii="Times New Roman" w:hAnsi="宋体" w:eastAsia="宋体" w:cs="Times New Roman"/>
          <w:color w:val="000000"/>
          <w:kern w:val="2"/>
          <w:sz w:val="24"/>
          <w:szCs w:val="24"/>
          <w:shd w:val="clear" w:color="auto" w:fill="FFFFFF"/>
          <w:lang w:val="en-US" w:eastAsia="zh-CN" w:bidi="ar-SA"/>
        </w:rPr>
        <w:t>输电线路</w:t>
      </w:r>
      <w:r>
        <w:rPr>
          <w:rFonts w:hint="eastAsia" w:ascii="Times New Roman" w:hAnsi="宋体" w:eastAsia="宋体" w:cs="Times New Roman"/>
          <w:color w:val="000000"/>
          <w:kern w:val="2"/>
          <w:sz w:val="24"/>
          <w:szCs w:val="24"/>
          <w:shd w:val="clear" w:color="auto" w:fill="FFFFFF"/>
          <w:lang w:val="en-US" w:eastAsia="zh-CN" w:bidi="ar-SA"/>
        </w:rPr>
        <w:t>、水泥杆、铁塔</w:t>
      </w:r>
      <w:r>
        <w:rPr>
          <w:rFonts w:ascii="Times New Roman" w:hAnsi="宋体" w:eastAsia="宋体" w:cs="Times New Roman"/>
          <w:color w:val="000000"/>
          <w:kern w:val="2"/>
          <w:sz w:val="24"/>
          <w:szCs w:val="24"/>
          <w:shd w:val="clear" w:color="auto" w:fill="FFFFFF"/>
          <w:lang w:val="en-US" w:eastAsia="zh-CN" w:bidi="ar-SA"/>
        </w:rPr>
        <w:t>和变压器，调查成果由</w:t>
      </w:r>
      <w:r>
        <w:rPr>
          <w:rFonts w:hint="eastAsia" w:ascii="Times New Roman" w:hAnsi="宋体" w:eastAsia="宋体" w:cs="Times New Roman"/>
          <w:color w:val="000000"/>
          <w:kern w:val="2"/>
          <w:sz w:val="24"/>
          <w:szCs w:val="24"/>
          <w:shd w:val="clear" w:color="auto" w:fill="FFFFFF"/>
          <w:lang w:val="en-US" w:eastAsia="zh-CN" w:bidi="ar-SA"/>
        </w:rPr>
        <w:t>陆河</w:t>
      </w:r>
      <w:r>
        <w:rPr>
          <w:rFonts w:ascii="Times New Roman" w:hAnsi="宋体" w:eastAsia="宋体" w:cs="Times New Roman"/>
          <w:color w:val="000000"/>
          <w:kern w:val="2"/>
          <w:sz w:val="24"/>
          <w:szCs w:val="24"/>
          <w:shd w:val="clear" w:color="auto" w:fill="FFFFFF"/>
          <w:lang w:val="en-US" w:eastAsia="zh-CN" w:bidi="ar-SA"/>
        </w:rPr>
        <w:t>县电力主管部门、乡</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镇</w:t>
      </w:r>
      <w:r>
        <w:rPr>
          <w:rFonts w:ascii="Times New Roman" w:hAnsi="Times New Roman" w:eastAsia="宋体" w:cs="Times New Roman"/>
          <w:color w:val="000000"/>
          <w:kern w:val="2"/>
          <w:sz w:val="24"/>
          <w:szCs w:val="24"/>
          <w:shd w:val="clear" w:color="auto" w:fill="FFFFFF"/>
          <w:lang w:val="en-US" w:eastAsia="zh-CN" w:bidi="ar-SA"/>
        </w:rPr>
        <w:t>)</w:t>
      </w:r>
      <w:r>
        <w:rPr>
          <w:rFonts w:ascii="Times New Roman" w:hAnsi="宋体" w:eastAsia="宋体" w:cs="Times New Roman"/>
          <w:color w:val="000000"/>
          <w:kern w:val="2"/>
          <w:sz w:val="24"/>
          <w:szCs w:val="24"/>
          <w:shd w:val="clear" w:color="auto" w:fill="FFFFFF"/>
          <w:lang w:val="en-US" w:eastAsia="zh-CN" w:bidi="ar-SA"/>
        </w:rPr>
        <w:t>代表、设计院、业主共同签字确认。</w:t>
      </w:r>
    </w:p>
    <w:p>
      <w:pPr>
        <w:spacing w:line="480" w:lineRule="exact"/>
        <w:ind w:firstLine="420" w:firstLineChars="200"/>
        <w:rPr>
          <w:rFonts w:cs="Times New Roman"/>
          <w:color w:val="000000"/>
          <w:sz w:val="24"/>
          <w:szCs w:val="28"/>
        </w:rPr>
      </w:pPr>
      <w:r>
        <w:rPr>
          <w:rFonts w:hint="eastAsia" w:hAnsi="宋体" w:cs="Times New Roman"/>
          <w:color w:val="000000"/>
          <w:szCs w:val="22"/>
        </w:rPr>
        <w:t>陆河</w:t>
      </w:r>
      <w:r>
        <w:rPr>
          <w:rFonts w:hAnsi="宋体" w:cs="Times New Roman"/>
          <w:color w:val="000000"/>
          <w:szCs w:val="22"/>
        </w:rPr>
        <w:t>抽水蓄能电站建设征地影响电力设施主要包括：</w:t>
      </w:r>
      <w:r>
        <w:rPr>
          <w:rFonts w:cs="Times New Roman"/>
          <w:color w:val="000000"/>
          <w:sz w:val="24"/>
          <w:szCs w:val="28"/>
        </w:rPr>
        <w:t>35kV</w:t>
      </w:r>
      <w:r>
        <w:rPr>
          <w:rFonts w:hint="eastAsia" w:cs="Times New Roman"/>
          <w:color w:val="000000"/>
          <w:sz w:val="24"/>
          <w:szCs w:val="28"/>
        </w:rPr>
        <w:t>架空电力线路</w:t>
      </w:r>
      <w:r>
        <w:rPr>
          <w:rFonts w:cs="Times New Roman"/>
          <w:color w:val="000000"/>
          <w:sz w:val="24"/>
          <w:szCs w:val="28"/>
        </w:rPr>
        <w:t>1</w:t>
      </w:r>
      <w:r>
        <w:rPr>
          <w:rFonts w:hint="eastAsia" w:cs="Times New Roman"/>
          <w:color w:val="000000"/>
          <w:sz w:val="24"/>
          <w:szCs w:val="28"/>
        </w:rPr>
        <w:t>回，影响长度</w:t>
      </w:r>
      <w:r>
        <w:rPr>
          <w:rFonts w:cs="Times New Roman"/>
          <w:color w:val="000000"/>
          <w:sz w:val="24"/>
          <w:szCs w:val="28"/>
        </w:rPr>
        <w:t>0.8km</w:t>
      </w:r>
      <w:r>
        <w:rPr>
          <w:rFonts w:hint="eastAsia" w:cs="Times New Roman"/>
          <w:color w:val="000000"/>
          <w:sz w:val="24"/>
          <w:szCs w:val="28"/>
        </w:rPr>
        <w:t>，</w:t>
      </w:r>
      <w:r>
        <w:rPr>
          <w:rFonts w:cs="Times New Roman"/>
          <w:color w:val="000000"/>
          <w:sz w:val="24"/>
          <w:szCs w:val="28"/>
        </w:rPr>
        <w:t>10kV</w:t>
      </w:r>
      <w:r>
        <w:rPr>
          <w:rFonts w:hint="eastAsia" w:cs="Times New Roman"/>
          <w:color w:val="000000"/>
          <w:sz w:val="24"/>
          <w:szCs w:val="28"/>
        </w:rPr>
        <w:t>架空电力线路</w:t>
      </w:r>
      <w:r>
        <w:rPr>
          <w:rFonts w:cs="Times New Roman"/>
          <w:color w:val="000000"/>
          <w:sz w:val="24"/>
          <w:szCs w:val="28"/>
        </w:rPr>
        <w:t>7</w:t>
      </w:r>
      <w:r>
        <w:rPr>
          <w:rFonts w:hint="eastAsia" w:cs="Times New Roman"/>
          <w:color w:val="000000"/>
          <w:sz w:val="24"/>
          <w:szCs w:val="28"/>
        </w:rPr>
        <w:t>回，影响共长度共计1</w:t>
      </w:r>
      <w:r>
        <w:rPr>
          <w:rFonts w:cs="Times New Roman"/>
          <w:color w:val="000000"/>
          <w:sz w:val="24"/>
          <w:szCs w:val="28"/>
        </w:rPr>
        <w:t>0.14km</w:t>
      </w:r>
      <w:r>
        <w:rPr>
          <w:rFonts w:hint="eastAsia" w:cs="Times New Roman"/>
          <w:color w:val="000000"/>
          <w:sz w:val="24"/>
          <w:szCs w:val="28"/>
        </w:rPr>
        <w:t>，</w:t>
      </w:r>
      <w:r>
        <w:rPr>
          <w:rFonts w:cs="Times New Roman"/>
          <w:color w:val="000000"/>
          <w:sz w:val="24"/>
          <w:szCs w:val="28"/>
        </w:rPr>
        <w:t>0.4kV</w:t>
      </w:r>
      <w:r>
        <w:rPr>
          <w:rFonts w:hint="eastAsia" w:cs="Times New Roman"/>
          <w:color w:val="000000"/>
          <w:sz w:val="24"/>
          <w:szCs w:val="28"/>
        </w:rPr>
        <w:t>台区架空电力线路</w:t>
      </w:r>
      <w:r>
        <w:rPr>
          <w:rFonts w:cs="Times New Roman"/>
          <w:color w:val="000000"/>
          <w:sz w:val="24"/>
          <w:szCs w:val="28"/>
        </w:rPr>
        <w:t>1</w:t>
      </w:r>
      <w:r>
        <w:rPr>
          <w:rFonts w:hint="eastAsia" w:cs="Times New Roman"/>
          <w:color w:val="000000"/>
          <w:sz w:val="24"/>
          <w:szCs w:val="28"/>
        </w:rPr>
        <w:t>处，共</w:t>
      </w:r>
      <w:r>
        <w:rPr>
          <w:rFonts w:cs="Times New Roman"/>
          <w:color w:val="000000"/>
          <w:sz w:val="24"/>
          <w:szCs w:val="28"/>
        </w:rPr>
        <w:t>0.40km</w:t>
      </w:r>
      <w:r>
        <w:rPr>
          <w:rFonts w:hint="eastAsia" w:cs="Times New Roman"/>
          <w:color w:val="000000"/>
          <w:sz w:val="24"/>
          <w:szCs w:val="28"/>
        </w:rPr>
        <w:t>，</w:t>
      </w:r>
      <w:r>
        <w:rPr>
          <w:rFonts w:cs="Times New Roman"/>
          <w:color w:val="000000"/>
          <w:sz w:val="24"/>
          <w:szCs w:val="28"/>
        </w:rPr>
        <w:t>10/0.4kV</w:t>
      </w:r>
      <w:r>
        <w:rPr>
          <w:rFonts w:hint="eastAsia" w:cs="Times New Roman"/>
          <w:color w:val="000000"/>
          <w:sz w:val="24"/>
          <w:szCs w:val="28"/>
        </w:rPr>
        <w:t>配电双杠变台</w:t>
      </w:r>
      <w:r>
        <w:rPr>
          <w:rFonts w:cs="Times New Roman"/>
          <w:color w:val="000000"/>
          <w:sz w:val="24"/>
          <w:szCs w:val="28"/>
        </w:rPr>
        <w:t>1</w:t>
      </w:r>
      <w:r>
        <w:rPr>
          <w:rFonts w:hint="eastAsia" w:cs="Times New Roman"/>
          <w:color w:val="000000"/>
          <w:sz w:val="24"/>
          <w:szCs w:val="28"/>
        </w:rPr>
        <w:t>套，总容量为</w:t>
      </w:r>
      <w:r>
        <w:rPr>
          <w:rFonts w:cs="Times New Roman"/>
          <w:color w:val="000000"/>
          <w:sz w:val="24"/>
          <w:szCs w:val="28"/>
        </w:rPr>
        <w:t>20kVA</w:t>
      </w:r>
      <w:r>
        <w:rPr>
          <w:rFonts w:hint="eastAsia" w:cs="Times New Roman"/>
          <w:color w:val="000000"/>
          <w:sz w:val="24"/>
          <w:szCs w:val="28"/>
        </w:rPr>
        <w:t>。</w:t>
      </w:r>
    </w:p>
    <w:p>
      <w:pPr>
        <w:widowControl w:val="0"/>
        <w:overflowPunct w:val="0"/>
        <w:autoSpaceDE w:val="0"/>
        <w:autoSpaceDN w:val="0"/>
        <w:adjustRightInd w:val="0"/>
        <w:snapToGrid w:val="0"/>
        <w:spacing w:line="480" w:lineRule="exact"/>
        <w:ind w:firstLine="480" w:firstLineChars="200"/>
        <w:jc w:val="both"/>
        <w:rPr>
          <w:rFonts w:hint="eastAsia" w:ascii="Times New Roman" w:hAnsi="Times New Roman" w:eastAsia="宋体" w:cs="Times New Roman"/>
          <w:color w:val="000000"/>
          <w:kern w:val="2"/>
          <w:sz w:val="24"/>
          <w:szCs w:val="24"/>
          <w:shd w:val="clear" w:color="auto" w:fill="FFFFFF"/>
          <w:lang w:val="en-US" w:eastAsia="zh-CN" w:bidi="ar-SA"/>
        </w:rPr>
      </w:pPr>
      <w:r>
        <w:rPr>
          <w:rFonts w:ascii="Times New Roman" w:hAnsi="宋体" w:eastAsia="宋体" w:cs="Times New Roman"/>
          <w:color w:val="000000"/>
          <w:kern w:val="0"/>
          <w:sz w:val="24"/>
          <w:szCs w:val="24"/>
          <w:shd w:val="clear" w:color="auto" w:fill="FFFFFF"/>
          <w:lang w:val="en-US" w:eastAsia="zh-CN" w:bidi="ar-SA"/>
        </w:rPr>
        <w:t>具体</w:t>
      </w:r>
      <w:r>
        <w:rPr>
          <w:rFonts w:hint="eastAsia" w:ascii="Times New Roman" w:hAnsi="宋体" w:eastAsia="宋体" w:cs="Times New Roman"/>
          <w:color w:val="000000"/>
          <w:kern w:val="0"/>
          <w:sz w:val="24"/>
          <w:szCs w:val="24"/>
          <w:shd w:val="clear" w:color="auto" w:fill="FFFFFF"/>
          <w:lang w:val="en-US" w:eastAsia="zh-CN" w:bidi="ar-SA"/>
        </w:rPr>
        <w:t>影响电力设施</w:t>
      </w:r>
      <w:r>
        <w:rPr>
          <w:rFonts w:ascii="Times New Roman" w:hAnsi="宋体" w:eastAsia="宋体" w:cs="Times New Roman"/>
          <w:color w:val="000000"/>
          <w:kern w:val="0"/>
          <w:sz w:val="24"/>
          <w:szCs w:val="24"/>
          <w:shd w:val="clear" w:color="auto" w:fill="FFFFFF"/>
          <w:lang w:val="en-US" w:eastAsia="zh-CN" w:bidi="ar-SA"/>
        </w:rPr>
        <w:t>调查情况汇总见表</w:t>
      </w:r>
      <w:r>
        <w:rPr>
          <w:rFonts w:ascii="Times New Roman" w:hAnsi="Times New Roman" w:eastAsia="宋体" w:cs="Times New Roman"/>
          <w:color w:val="000000"/>
          <w:kern w:val="0"/>
          <w:sz w:val="24"/>
          <w:szCs w:val="24"/>
          <w:shd w:val="clear" w:color="auto" w:fill="FFFFFF"/>
          <w:lang w:val="en-US" w:eastAsia="zh-CN" w:bidi="ar-SA"/>
        </w:rPr>
        <w:t>8.</w:t>
      </w:r>
      <w:r>
        <w:rPr>
          <w:rFonts w:hint="eastAsia" w:ascii="Times New Roman" w:hAnsi="Times New Roman" w:eastAsia="宋体" w:cs="Times New Roman"/>
          <w:color w:val="000000"/>
          <w:kern w:val="0"/>
          <w:sz w:val="24"/>
          <w:szCs w:val="24"/>
          <w:shd w:val="clear" w:color="auto" w:fill="FFFFFF"/>
          <w:lang w:val="en-US" w:eastAsia="zh-CN" w:bidi="ar-SA"/>
        </w:rPr>
        <w:t>7.</w:t>
      </w:r>
      <w:r>
        <w:rPr>
          <w:rFonts w:ascii="Times New Roman" w:hAnsi="Times New Roman" w:eastAsia="宋体" w:cs="Times New Roman"/>
          <w:color w:val="000000"/>
          <w:kern w:val="0"/>
          <w:sz w:val="24"/>
          <w:szCs w:val="24"/>
          <w:shd w:val="clear" w:color="auto" w:fill="FFFFFF"/>
          <w:lang w:val="en-US" w:eastAsia="zh-CN" w:bidi="ar-SA"/>
        </w:rPr>
        <w:t>3-1</w:t>
      </w:r>
      <w:r>
        <w:rPr>
          <w:rFonts w:hint="eastAsia" w:ascii="Times New Roman" w:hAnsi="Times New Roman" w:eastAsia="宋体" w:cs="Times New Roman"/>
          <w:color w:val="000000"/>
          <w:kern w:val="0"/>
          <w:sz w:val="24"/>
          <w:szCs w:val="24"/>
          <w:shd w:val="clear" w:color="auto" w:fill="FFFFFF"/>
          <w:lang w:val="en-US" w:eastAsia="zh-CN" w:bidi="ar-SA"/>
        </w:rPr>
        <w:t>。</w:t>
      </w:r>
    </w:p>
    <w:p>
      <w:pPr>
        <w:rPr>
          <w:rFonts w:hint="eastAsia" w:cs="Times New Roman"/>
          <w:color w:val="000000"/>
          <w:szCs w:val="22"/>
        </w:rPr>
      </w:pPr>
    </w:p>
    <w:p>
      <w:pPr>
        <w:pStyle w:val="1146"/>
        <w:rPr>
          <w:rFonts w:hAnsi="宋体"/>
          <w:color w:val="000000"/>
        </w:rPr>
        <w:sectPr>
          <w:footerReference r:id="rId37" w:type="default"/>
          <w:pgSz w:w="11906" w:h="16838"/>
          <w:pgMar w:top="1588" w:right="1559" w:bottom="1531" w:left="1559" w:header="1134" w:footer="1247" w:gutter="0"/>
          <w:cols w:space="720" w:num="1"/>
          <w:docGrid w:linePitch="312" w:charSpace="0"/>
        </w:sectPr>
      </w:pPr>
    </w:p>
    <w:p>
      <w:pPr>
        <w:pStyle w:val="1146"/>
        <w:rPr>
          <w:color w:val="000000"/>
        </w:rPr>
      </w:pPr>
      <w:r>
        <w:rPr>
          <w:rFonts w:hAnsi="宋体"/>
          <w:color w:val="000000"/>
        </w:rPr>
        <w:t>表</w:t>
      </w:r>
      <w:r>
        <w:rPr>
          <w:rFonts w:hint="eastAsia"/>
          <w:color w:val="000000"/>
        </w:rPr>
        <w:t>8.7.</w:t>
      </w:r>
      <w:r>
        <w:rPr>
          <w:color w:val="000000"/>
        </w:rPr>
        <w:t>3</w:t>
      </w:r>
      <w:r>
        <w:rPr>
          <w:rFonts w:hint="eastAsia"/>
          <w:color w:val="000000"/>
        </w:rPr>
        <w:t xml:space="preserve">-1  </w:t>
      </w:r>
      <w:r>
        <w:rPr>
          <w:rFonts w:hint="eastAsia" w:hAnsi="宋体"/>
          <w:color w:val="000000"/>
        </w:rPr>
        <w:t>陆河</w:t>
      </w:r>
      <w:r>
        <w:rPr>
          <w:rFonts w:hAnsi="宋体"/>
          <w:color w:val="000000"/>
        </w:rPr>
        <w:t>抽水蓄能电站影响电力设施调查汇</w:t>
      </w:r>
      <w:r>
        <w:rPr>
          <w:rFonts w:hint="eastAsia"/>
          <w:color w:val="000000"/>
        </w:rPr>
        <w:t>总</w:t>
      </w:r>
    </w:p>
    <w:tbl>
      <w:tblPr>
        <w:tblStyle w:val="79"/>
        <w:tblW w:w="136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425"/>
        <w:gridCol w:w="960"/>
        <w:gridCol w:w="2294"/>
        <w:gridCol w:w="713"/>
        <w:gridCol w:w="994"/>
        <w:gridCol w:w="740"/>
        <w:gridCol w:w="940"/>
        <w:gridCol w:w="978"/>
        <w:gridCol w:w="784"/>
        <w:gridCol w:w="975"/>
        <w:gridCol w:w="694"/>
        <w:gridCol w:w="1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序号</w:t>
            </w:r>
          </w:p>
        </w:tc>
        <w:tc>
          <w:tcPr>
            <w:tcW w:w="1425"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线路名称</w:t>
            </w:r>
          </w:p>
        </w:tc>
        <w:tc>
          <w:tcPr>
            <w:tcW w:w="960"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起止地点</w:t>
            </w:r>
          </w:p>
        </w:tc>
        <w:tc>
          <w:tcPr>
            <w:tcW w:w="2294"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权属单位</w:t>
            </w:r>
          </w:p>
        </w:tc>
        <w:tc>
          <w:tcPr>
            <w:tcW w:w="713" w:type="dxa"/>
            <w:vMerge w:val="restart"/>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电压</w:t>
            </w:r>
          </w:p>
          <w:p>
            <w:pPr>
              <w:widowControl/>
              <w:jc w:val="center"/>
              <w:textAlignment w:val="center"/>
              <w:rPr>
                <w:rFonts w:cs="Times New Roman"/>
                <w:color w:val="000000"/>
                <w:szCs w:val="21"/>
              </w:rPr>
            </w:pPr>
            <w:r>
              <w:rPr>
                <w:rFonts w:cs="Times New Roman"/>
                <w:color w:val="000000"/>
                <w:kern w:val="0"/>
                <w:szCs w:val="21"/>
                <w:lang w:bidi="ar"/>
              </w:rPr>
              <w:t>等级</w:t>
            </w:r>
          </w:p>
        </w:tc>
        <w:tc>
          <w:tcPr>
            <w:tcW w:w="994"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影响杆塔号</w:t>
            </w:r>
          </w:p>
        </w:tc>
        <w:tc>
          <w:tcPr>
            <w:tcW w:w="5111" w:type="dxa"/>
            <w:gridSpan w:val="6"/>
            <w:noWrap w:val="0"/>
            <w:vAlign w:val="center"/>
          </w:tcPr>
          <w:p>
            <w:pPr>
              <w:widowControl/>
              <w:jc w:val="center"/>
              <w:textAlignment w:val="center"/>
              <w:rPr>
                <w:rFonts w:cs="Times New Roman"/>
                <w:color w:val="000000"/>
                <w:szCs w:val="21"/>
              </w:rPr>
            </w:pPr>
            <w:r>
              <w:rPr>
                <w:rFonts w:cs="Times New Roman"/>
                <w:color w:val="000000"/>
                <w:kern w:val="0"/>
                <w:szCs w:val="21"/>
                <w:lang w:bidi="ar"/>
              </w:rPr>
              <w:t>影响线路</w:t>
            </w:r>
          </w:p>
        </w:tc>
        <w:tc>
          <w:tcPr>
            <w:tcW w:w="1562" w:type="dxa"/>
            <w:vMerge w:val="restart"/>
            <w:noWrap w:val="0"/>
            <w:vAlign w:val="center"/>
          </w:tcPr>
          <w:p>
            <w:pPr>
              <w:widowControl/>
              <w:jc w:val="center"/>
              <w:textAlignment w:val="center"/>
              <w:rPr>
                <w:rFonts w:cs="Times New Roman"/>
                <w:color w:val="000000"/>
                <w:szCs w:val="21"/>
              </w:rPr>
            </w:pPr>
            <w:r>
              <w:rPr>
                <w:rFonts w:cs="Times New Roman"/>
                <w:color w:val="000000"/>
                <w:kern w:val="0"/>
                <w:szCs w:val="21"/>
                <w:lang w:bidi="ar"/>
              </w:rPr>
              <w:t>备注(是否带变压器)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vMerge w:val="continue"/>
            <w:noWrap w:val="0"/>
            <w:vAlign w:val="center"/>
          </w:tcPr>
          <w:p>
            <w:pPr>
              <w:jc w:val="center"/>
              <w:rPr>
                <w:rFonts w:cs="Times New Roman"/>
                <w:color w:val="000000"/>
                <w:szCs w:val="21"/>
              </w:rPr>
            </w:pPr>
          </w:p>
        </w:tc>
        <w:tc>
          <w:tcPr>
            <w:tcW w:w="1425" w:type="dxa"/>
            <w:vMerge w:val="continue"/>
            <w:noWrap w:val="0"/>
            <w:vAlign w:val="center"/>
          </w:tcPr>
          <w:p>
            <w:pPr>
              <w:jc w:val="center"/>
              <w:rPr>
                <w:rFonts w:cs="Times New Roman"/>
                <w:color w:val="000000"/>
                <w:szCs w:val="21"/>
              </w:rPr>
            </w:pPr>
          </w:p>
        </w:tc>
        <w:tc>
          <w:tcPr>
            <w:tcW w:w="960" w:type="dxa"/>
            <w:vMerge w:val="continue"/>
            <w:noWrap w:val="0"/>
            <w:vAlign w:val="center"/>
          </w:tcPr>
          <w:p>
            <w:pPr>
              <w:jc w:val="center"/>
              <w:rPr>
                <w:rFonts w:cs="Times New Roman"/>
                <w:color w:val="000000"/>
                <w:szCs w:val="21"/>
              </w:rPr>
            </w:pPr>
          </w:p>
        </w:tc>
        <w:tc>
          <w:tcPr>
            <w:tcW w:w="2294" w:type="dxa"/>
            <w:vMerge w:val="continue"/>
            <w:noWrap w:val="0"/>
            <w:vAlign w:val="center"/>
          </w:tcPr>
          <w:p>
            <w:pPr>
              <w:jc w:val="center"/>
              <w:rPr>
                <w:rFonts w:cs="Times New Roman"/>
                <w:color w:val="000000"/>
                <w:szCs w:val="21"/>
              </w:rPr>
            </w:pPr>
          </w:p>
        </w:tc>
        <w:tc>
          <w:tcPr>
            <w:tcW w:w="713" w:type="dxa"/>
            <w:vMerge w:val="continue"/>
            <w:noWrap w:val="0"/>
            <w:vAlign w:val="center"/>
          </w:tcPr>
          <w:p>
            <w:pPr>
              <w:jc w:val="center"/>
              <w:rPr>
                <w:rFonts w:cs="Times New Roman"/>
                <w:color w:val="000000"/>
                <w:szCs w:val="21"/>
              </w:rPr>
            </w:pPr>
          </w:p>
        </w:tc>
        <w:tc>
          <w:tcPr>
            <w:tcW w:w="994" w:type="dxa"/>
            <w:vMerge w:val="continue"/>
            <w:noWrap w:val="0"/>
            <w:vAlign w:val="center"/>
          </w:tcPr>
          <w:p>
            <w:pPr>
              <w:jc w:val="center"/>
              <w:rPr>
                <w:rFonts w:cs="Times New Roman"/>
                <w:color w:val="000000"/>
                <w:szCs w:val="21"/>
              </w:rPr>
            </w:pP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线材</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线径 (m</w:t>
            </w:r>
            <w:r>
              <w:rPr>
                <w:rFonts w:cs="Times New Roman"/>
                <w:color w:val="000000"/>
                <w:szCs w:val="21"/>
              </w:rPr>
              <w:t>m</w:t>
            </w:r>
            <w:r>
              <w:rPr>
                <w:rFonts w:cs="Times New Roman"/>
                <w:color w:val="000000"/>
                <w:szCs w:val="21"/>
                <w:vertAlign w:val="superscript"/>
              </w:rPr>
              <w:t>2</w:t>
            </w:r>
            <w:r>
              <w:rPr>
                <w:rFonts w:cs="Times New Roman"/>
                <w:color w:val="000000"/>
                <w:kern w:val="0"/>
                <w:szCs w:val="21"/>
                <w:lang w:bidi="ar"/>
              </w:rPr>
              <w:t>)</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杆质</w:t>
            </w:r>
          </w:p>
        </w:tc>
        <w:tc>
          <w:tcPr>
            <w:tcW w:w="784"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影响</w:t>
            </w:r>
          </w:p>
          <w:p>
            <w:pPr>
              <w:widowControl/>
              <w:jc w:val="center"/>
              <w:textAlignment w:val="center"/>
              <w:rPr>
                <w:rFonts w:cs="Times New Roman"/>
                <w:color w:val="000000"/>
                <w:szCs w:val="21"/>
              </w:rPr>
            </w:pPr>
            <w:r>
              <w:rPr>
                <w:rFonts w:cs="Times New Roman"/>
                <w:color w:val="000000"/>
                <w:kern w:val="0"/>
                <w:szCs w:val="21"/>
                <w:lang w:bidi="ar"/>
              </w:rPr>
              <w:t>长度(m)</w:t>
            </w:r>
          </w:p>
        </w:tc>
        <w:tc>
          <w:tcPr>
            <w:tcW w:w="975"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影响</w:t>
            </w:r>
          </w:p>
          <w:p>
            <w:pPr>
              <w:widowControl/>
              <w:jc w:val="center"/>
              <w:textAlignment w:val="center"/>
              <w:rPr>
                <w:rFonts w:cs="Times New Roman"/>
                <w:color w:val="000000"/>
                <w:szCs w:val="21"/>
              </w:rPr>
            </w:pPr>
            <w:r>
              <w:rPr>
                <w:rFonts w:cs="Times New Roman"/>
                <w:color w:val="000000"/>
                <w:kern w:val="0"/>
                <w:szCs w:val="21"/>
                <w:lang w:bidi="ar"/>
              </w:rPr>
              <w:t>长度(km)</w:t>
            </w:r>
          </w:p>
        </w:tc>
        <w:tc>
          <w:tcPr>
            <w:tcW w:w="694"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建设</w:t>
            </w:r>
          </w:p>
          <w:p>
            <w:pPr>
              <w:widowControl/>
              <w:jc w:val="center"/>
              <w:textAlignment w:val="center"/>
              <w:rPr>
                <w:rFonts w:cs="Times New Roman"/>
                <w:color w:val="000000"/>
                <w:szCs w:val="21"/>
              </w:rPr>
            </w:pPr>
            <w:r>
              <w:rPr>
                <w:rFonts w:cs="Times New Roman"/>
                <w:color w:val="000000"/>
                <w:kern w:val="0"/>
                <w:szCs w:val="21"/>
                <w:lang w:bidi="ar"/>
              </w:rPr>
              <w:t>时间</w:t>
            </w:r>
          </w:p>
        </w:tc>
        <w:tc>
          <w:tcPr>
            <w:tcW w:w="1562" w:type="dxa"/>
            <w:vMerge w:val="continue"/>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35kV马三线</w:t>
            </w:r>
          </w:p>
        </w:tc>
        <w:tc>
          <w:tcPr>
            <w:tcW w:w="9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#61~#64</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广东电网有限责任公司汕尾陆河供电局</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35</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#61~#64</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3x70</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铁塔</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800</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0.8</w:t>
            </w:r>
          </w:p>
        </w:tc>
        <w:tc>
          <w:tcPr>
            <w:tcW w:w="694" w:type="dxa"/>
            <w:noWrap w:val="0"/>
            <w:vAlign w:val="center"/>
          </w:tcPr>
          <w:p>
            <w:pPr>
              <w:jc w:val="center"/>
              <w:rPr>
                <w:rFonts w:cs="Times New Roman"/>
                <w:color w:val="000000"/>
                <w:szCs w:val="21"/>
              </w:rPr>
            </w:pPr>
          </w:p>
        </w:tc>
        <w:tc>
          <w:tcPr>
            <w:tcW w:w="1562" w:type="dxa"/>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10kV激石溪线联络支线</w:t>
            </w:r>
          </w:p>
        </w:tc>
        <w:tc>
          <w:tcPr>
            <w:tcW w:w="9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#6~#37</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广东电网有限责任公司汕尾陆河供电局</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#6~#37</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3x120</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1820</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1.82</w:t>
            </w:r>
          </w:p>
        </w:tc>
        <w:tc>
          <w:tcPr>
            <w:tcW w:w="694" w:type="dxa"/>
            <w:noWrap w:val="0"/>
            <w:vAlign w:val="center"/>
          </w:tcPr>
          <w:p>
            <w:pPr>
              <w:jc w:val="center"/>
              <w:rPr>
                <w:rFonts w:cs="Times New Roman"/>
                <w:color w:val="000000"/>
                <w:szCs w:val="21"/>
              </w:rPr>
            </w:pPr>
          </w:p>
        </w:tc>
        <w:tc>
          <w:tcPr>
            <w:tcW w:w="1562" w:type="dxa"/>
            <w:noWrap w:val="0"/>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10kV激石溪线博背支线</w:t>
            </w:r>
          </w:p>
        </w:tc>
        <w:tc>
          <w:tcPr>
            <w:tcW w:w="9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#4~#14</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广东电网有限责任公司汕尾陆河供电局</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#4~#14</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3x35</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1150</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1.15</w:t>
            </w:r>
          </w:p>
        </w:tc>
        <w:tc>
          <w:tcPr>
            <w:tcW w:w="694" w:type="dxa"/>
            <w:noWrap w:val="0"/>
            <w:vAlign w:val="center"/>
          </w:tcPr>
          <w:p>
            <w:pPr>
              <w:jc w:val="center"/>
              <w:rPr>
                <w:rFonts w:cs="Times New Roman"/>
                <w:color w:val="000000"/>
                <w:szCs w:val="21"/>
              </w:rPr>
            </w:pPr>
          </w:p>
        </w:tc>
        <w:tc>
          <w:tcPr>
            <w:tcW w:w="1562"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博背公变20kVA</w:t>
            </w:r>
          </w:p>
          <w:p>
            <w:pPr>
              <w:widowControl/>
              <w:jc w:val="center"/>
              <w:textAlignment w:val="center"/>
              <w:rPr>
                <w:rFonts w:cs="Times New Roman"/>
                <w:color w:val="000000"/>
                <w:szCs w:val="21"/>
              </w:rPr>
            </w:pPr>
            <w:r>
              <w:rPr>
                <w:rFonts w:cs="Times New Roman"/>
                <w:color w:val="000000"/>
                <w:kern w:val="0"/>
                <w:szCs w:val="21"/>
                <w:lang w:bidi="ar"/>
              </w:rPr>
              <w:t>(已停运)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10kV博背公变低压线路</w:t>
            </w:r>
          </w:p>
        </w:tc>
        <w:tc>
          <w:tcPr>
            <w:tcW w:w="9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#1-#2</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广东电网有限责任公司汕尾陆河供电局</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0.4</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#1-#2</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BVV</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4x25</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400</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0.4</w:t>
            </w:r>
          </w:p>
        </w:tc>
        <w:tc>
          <w:tcPr>
            <w:tcW w:w="694" w:type="dxa"/>
            <w:noWrap w:val="0"/>
            <w:vAlign w:val="center"/>
          </w:tcPr>
          <w:p>
            <w:pPr>
              <w:jc w:val="center"/>
              <w:rPr>
                <w:rFonts w:cs="Times New Roman"/>
                <w:color w:val="000000"/>
                <w:szCs w:val="21"/>
              </w:rPr>
            </w:pPr>
          </w:p>
        </w:tc>
        <w:tc>
          <w:tcPr>
            <w:tcW w:w="156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博背公变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10kV上三线</w:t>
            </w:r>
          </w:p>
        </w:tc>
        <w:tc>
          <w:tcPr>
            <w:tcW w:w="9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三江口至上坑电站</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广东泰源伟业集团</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没编号</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70</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7042</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7.04</w:t>
            </w:r>
          </w:p>
        </w:tc>
        <w:tc>
          <w:tcPr>
            <w:tcW w:w="694" w:type="dxa"/>
            <w:noWrap/>
            <w:vAlign w:val="bottom"/>
          </w:tcPr>
          <w:p>
            <w:pPr>
              <w:rPr>
                <w:rFonts w:cs="Times New Roman"/>
                <w:color w:val="000000"/>
                <w:szCs w:val="21"/>
              </w:rPr>
            </w:pPr>
          </w:p>
        </w:tc>
        <w:tc>
          <w:tcPr>
            <w:tcW w:w="156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上坑站往三江口站的上网线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10kV上咸线</w:t>
            </w:r>
          </w:p>
        </w:tc>
        <w:tc>
          <w:tcPr>
            <w:tcW w:w="9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三江口至咸菜沥电站</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广东泰源伟业集团</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没编号</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70</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3688</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3.69</w:t>
            </w:r>
          </w:p>
        </w:tc>
        <w:tc>
          <w:tcPr>
            <w:tcW w:w="694" w:type="dxa"/>
            <w:noWrap/>
            <w:vAlign w:val="bottom"/>
          </w:tcPr>
          <w:p>
            <w:pPr>
              <w:rPr>
                <w:rFonts w:cs="Times New Roman"/>
                <w:color w:val="000000"/>
                <w:szCs w:val="21"/>
              </w:rPr>
            </w:pPr>
          </w:p>
        </w:tc>
        <w:tc>
          <w:tcPr>
            <w:tcW w:w="156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咸菜沥站往三江口站上网线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10kV南坪线</w:t>
            </w:r>
          </w:p>
        </w:tc>
        <w:tc>
          <w:tcPr>
            <w:tcW w:w="96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连接道</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广东泰源伟业集团</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没编号</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70</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967</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0.97</w:t>
            </w:r>
          </w:p>
        </w:tc>
        <w:tc>
          <w:tcPr>
            <w:tcW w:w="694" w:type="dxa"/>
            <w:noWrap/>
            <w:vAlign w:val="bottom"/>
          </w:tcPr>
          <w:p>
            <w:pPr>
              <w:rPr>
                <w:rFonts w:cs="Times New Roman"/>
                <w:color w:val="000000"/>
                <w:szCs w:val="21"/>
              </w:rPr>
            </w:pPr>
          </w:p>
        </w:tc>
        <w:tc>
          <w:tcPr>
            <w:tcW w:w="156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坪田站往三江口站的上网线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8</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通信光缆</w:t>
            </w:r>
            <w:r>
              <w:rPr>
                <w:rFonts w:cs="Times New Roman"/>
                <w:color w:val="000000"/>
                <w:kern w:val="0"/>
                <w:szCs w:val="21"/>
                <w:lang w:bidi="ar"/>
              </w:rPr>
              <w:br w:type="textWrapping"/>
            </w:r>
            <w:r>
              <w:rPr>
                <w:rFonts w:cs="Times New Roman"/>
                <w:color w:val="000000"/>
                <w:kern w:val="0"/>
                <w:szCs w:val="21"/>
                <w:lang w:bidi="ar"/>
              </w:rPr>
              <w:t>(16芯)</w:t>
            </w:r>
          </w:p>
        </w:tc>
        <w:tc>
          <w:tcPr>
            <w:tcW w:w="960" w:type="dxa"/>
            <w:noWrap w:val="0"/>
            <w:vAlign w:val="center"/>
          </w:tcPr>
          <w:p>
            <w:pPr>
              <w:widowControl/>
              <w:jc w:val="center"/>
              <w:textAlignment w:val="center"/>
              <w:rPr>
                <w:rFonts w:hint="eastAsia" w:cs="Times New Roman"/>
                <w:color w:val="000000"/>
                <w:kern w:val="0"/>
                <w:szCs w:val="21"/>
                <w:lang w:bidi="ar"/>
              </w:rPr>
            </w:pPr>
            <w:r>
              <w:rPr>
                <w:rFonts w:cs="Times New Roman"/>
                <w:color w:val="000000"/>
                <w:kern w:val="0"/>
                <w:szCs w:val="21"/>
                <w:lang w:bidi="ar"/>
              </w:rPr>
              <w:t>6个</w:t>
            </w:r>
          </w:p>
          <w:p>
            <w:pPr>
              <w:widowControl/>
              <w:jc w:val="center"/>
              <w:textAlignment w:val="center"/>
              <w:rPr>
                <w:rFonts w:cs="Times New Roman"/>
                <w:color w:val="000000"/>
                <w:szCs w:val="21"/>
              </w:rPr>
            </w:pPr>
            <w:r>
              <w:rPr>
                <w:rFonts w:cs="Times New Roman"/>
                <w:color w:val="000000"/>
                <w:kern w:val="0"/>
                <w:szCs w:val="21"/>
                <w:lang w:bidi="ar"/>
              </w:rPr>
              <w:t>电站</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广东泰源伟业集团</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没编号</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70</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9321</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9.32</w:t>
            </w:r>
          </w:p>
        </w:tc>
        <w:tc>
          <w:tcPr>
            <w:tcW w:w="694" w:type="dxa"/>
            <w:noWrap/>
            <w:vAlign w:val="bottom"/>
          </w:tcPr>
          <w:p>
            <w:pPr>
              <w:rPr>
                <w:rFonts w:cs="Times New Roman"/>
                <w:color w:val="000000"/>
                <w:szCs w:val="21"/>
              </w:rPr>
            </w:pPr>
          </w:p>
        </w:tc>
        <w:tc>
          <w:tcPr>
            <w:tcW w:w="156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6个电站的上网光纤线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9</w:t>
            </w:r>
          </w:p>
        </w:tc>
        <w:tc>
          <w:tcPr>
            <w:tcW w:w="142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10kV老三线</w:t>
            </w:r>
          </w:p>
        </w:tc>
        <w:tc>
          <w:tcPr>
            <w:tcW w:w="960"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下库区枢纽区段</w:t>
            </w:r>
          </w:p>
        </w:tc>
        <w:tc>
          <w:tcPr>
            <w:tcW w:w="22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老区电站</w:t>
            </w:r>
          </w:p>
        </w:tc>
        <w:tc>
          <w:tcPr>
            <w:tcW w:w="713"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99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没编号</w:t>
            </w:r>
          </w:p>
        </w:tc>
        <w:tc>
          <w:tcPr>
            <w:tcW w:w="7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70</w:t>
            </w:r>
          </w:p>
        </w:tc>
        <w:tc>
          <w:tcPr>
            <w:tcW w:w="978"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1000</w:t>
            </w:r>
          </w:p>
        </w:tc>
        <w:tc>
          <w:tcPr>
            <w:tcW w:w="975"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694" w:type="dxa"/>
            <w:noWrap/>
            <w:vAlign w:val="bottom"/>
          </w:tcPr>
          <w:p>
            <w:pPr>
              <w:rPr>
                <w:rFonts w:cs="Times New Roman"/>
                <w:color w:val="000000"/>
                <w:szCs w:val="21"/>
              </w:rPr>
            </w:pPr>
          </w:p>
        </w:tc>
        <w:tc>
          <w:tcPr>
            <w:tcW w:w="1562" w:type="dxa"/>
            <w:noWrap w:val="0"/>
            <w:vAlign w:val="center"/>
          </w:tcPr>
          <w:p>
            <w:pPr>
              <w:widowControl/>
              <w:jc w:val="center"/>
              <w:textAlignment w:val="center"/>
              <w:rPr>
                <w:rFonts w:cs="Times New Roman"/>
                <w:color w:val="000000"/>
                <w:szCs w:val="21"/>
              </w:rPr>
            </w:pPr>
            <w:r>
              <w:rPr>
                <w:rFonts w:cs="Times New Roman"/>
                <w:color w:val="000000"/>
                <w:kern w:val="0"/>
                <w:szCs w:val="21"/>
                <w:lang w:bidi="ar"/>
              </w:rPr>
              <w:t>老区站往三江口站的上网线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7"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1425"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10kV深三线</w:t>
            </w:r>
          </w:p>
        </w:tc>
        <w:tc>
          <w:tcPr>
            <w:tcW w:w="960"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下库区段枢纽区段</w:t>
            </w:r>
          </w:p>
        </w:tc>
        <w:tc>
          <w:tcPr>
            <w:tcW w:w="2294"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深嘉路电站群</w:t>
            </w:r>
          </w:p>
        </w:tc>
        <w:tc>
          <w:tcPr>
            <w:tcW w:w="713"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10</w:t>
            </w:r>
          </w:p>
        </w:tc>
        <w:tc>
          <w:tcPr>
            <w:tcW w:w="994"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没编号</w:t>
            </w:r>
          </w:p>
        </w:tc>
        <w:tc>
          <w:tcPr>
            <w:tcW w:w="740"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LGJ</w:t>
            </w:r>
          </w:p>
        </w:tc>
        <w:tc>
          <w:tcPr>
            <w:tcW w:w="940"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70</w:t>
            </w:r>
          </w:p>
        </w:tc>
        <w:tc>
          <w:tcPr>
            <w:tcW w:w="978"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水泥杆</w:t>
            </w:r>
          </w:p>
        </w:tc>
        <w:tc>
          <w:tcPr>
            <w:tcW w:w="784"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1600</w:t>
            </w:r>
          </w:p>
        </w:tc>
        <w:tc>
          <w:tcPr>
            <w:tcW w:w="975"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1.6</w:t>
            </w:r>
          </w:p>
        </w:tc>
        <w:tc>
          <w:tcPr>
            <w:tcW w:w="694" w:type="dxa"/>
            <w:tcBorders>
              <w:bottom w:val="single" w:color="auto" w:sz="12" w:space="0"/>
            </w:tcBorders>
            <w:noWrap/>
            <w:vAlign w:val="bottom"/>
          </w:tcPr>
          <w:p>
            <w:pPr>
              <w:rPr>
                <w:rFonts w:cs="Times New Roman"/>
                <w:color w:val="000000"/>
                <w:szCs w:val="21"/>
              </w:rPr>
            </w:pPr>
          </w:p>
        </w:tc>
        <w:tc>
          <w:tcPr>
            <w:tcW w:w="1562" w:type="dxa"/>
            <w:tcBorders>
              <w:bottom w:val="single" w:color="auto" w:sz="12" w:space="0"/>
            </w:tcBorders>
            <w:noWrap w:val="0"/>
            <w:vAlign w:val="center"/>
          </w:tcPr>
          <w:p>
            <w:pPr>
              <w:widowControl/>
              <w:jc w:val="center"/>
              <w:textAlignment w:val="center"/>
              <w:rPr>
                <w:rFonts w:cs="Times New Roman"/>
                <w:color w:val="000000"/>
                <w:szCs w:val="21"/>
              </w:rPr>
            </w:pPr>
            <w:r>
              <w:rPr>
                <w:rFonts w:cs="Times New Roman"/>
                <w:color w:val="000000"/>
                <w:kern w:val="0"/>
                <w:szCs w:val="21"/>
                <w:lang w:bidi="ar"/>
              </w:rPr>
              <w:t>深嘉路电站群往三江口站的上网线</w:t>
            </w:r>
          </w:p>
        </w:tc>
      </w:tr>
    </w:tbl>
    <w:p>
      <w:pPr>
        <w:pStyle w:val="1146"/>
        <w:jc w:val="both"/>
        <w:rPr>
          <w:rFonts w:hint="eastAsia"/>
          <w:color w:val="000000"/>
        </w:rPr>
        <w:sectPr>
          <w:footerReference r:id="rId38" w:type="default"/>
          <w:pgSz w:w="16838" w:h="11906" w:orient="landscape"/>
          <w:pgMar w:top="1559" w:right="1531" w:bottom="1559" w:left="1588" w:header="1134" w:footer="1247" w:gutter="0"/>
          <w:cols w:space="720" w:num="1"/>
          <w:docGrid w:linePitch="312" w:charSpace="0"/>
        </w:sectPr>
      </w:pP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8.</w:t>
      </w:r>
      <w:r>
        <w:rPr>
          <w:rFonts w:hint="eastAsia" w:ascii="Times New Roman" w:hAnsi="Times New Roman" w:eastAsia="黑体" w:cs="Times New Roman"/>
          <w:bCs/>
          <w:snapToGrid w:val="0"/>
          <w:color w:val="000000"/>
          <w:kern w:val="0"/>
          <w:sz w:val="24"/>
          <w:szCs w:val="24"/>
          <w:lang w:val="en-US" w:eastAsia="zh-CN" w:bidi="ar-SA"/>
        </w:rPr>
        <w:t>7</w:t>
      </w:r>
      <w:r>
        <w:rPr>
          <w:rFonts w:ascii="Times New Roman" w:hAnsi="Times New Roman" w:eastAsia="黑体" w:cs="Times New Roman"/>
          <w:bCs/>
          <w:snapToGrid w:val="0"/>
          <w:color w:val="000000"/>
          <w:kern w:val="0"/>
          <w:sz w:val="24"/>
          <w:szCs w:val="24"/>
          <w:lang w:val="en-US" w:eastAsia="zh-CN" w:bidi="ar-SA"/>
        </w:rPr>
        <w:t xml:space="preserve">.4  </w:t>
      </w:r>
      <w:r>
        <w:rPr>
          <w:rFonts w:ascii="Times New Roman" w:hAnsi="宋体" w:eastAsia="黑体" w:cs="Times New Roman"/>
          <w:bCs/>
          <w:snapToGrid w:val="0"/>
          <w:color w:val="000000"/>
          <w:kern w:val="0"/>
          <w:sz w:val="24"/>
          <w:szCs w:val="24"/>
          <w:lang w:val="en-US" w:eastAsia="zh-CN" w:bidi="ar-SA"/>
        </w:rPr>
        <w:t>通信设施</w:t>
      </w:r>
    </w:p>
    <w:p>
      <w:pPr>
        <w:widowControl w:val="0"/>
        <w:overflowPunct w:val="0"/>
        <w:autoSpaceDE w:val="0"/>
        <w:autoSpaceDN w:val="0"/>
        <w:adjustRightInd w:val="0"/>
        <w:snapToGrid w:val="0"/>
        <w:spacing w:line="480" w:lineRule="exact"/>
        <w:ind w:firstLine="496" w:firstLineChars="200"/>
        <w:jc w:val="both"/>
        <w:rPr>
          <w:rFonts w:hint="eastAsia" w:ascii="Times New Roman" w:hAnsi="宋体" w:eastAsia="宋体" w:cs="Times New Roman"/>
          <w:color w:val="000000"/>
          <w:spacing w:val="4"/>
          <w:kern w:val="2"/>
          <w:sz w:val="24"/>
          <w:szCs w:val="24"/>
          <w:shd w:val="clear" w:color="auto" w:fill="FFFFFF"/>
          <w:lang w:val="en-US" w:eastAsia="zh-CN" w:bidi="ar-SA"/>
        </w:rPr>
      </w:pP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抽水蓄能电站建设征地影响</w:t>
      </w:r>
      <w:r>
        <w:rPr>
          <w:rFonts w:hint="eastAsia" w:ascii="Times New Roman" w:hAnsi="宋体" w:eastAsia="宋体" w:cs="Times New Roman"/>
          <w:color w:val="000000"/>
          <w:spacing w:val="4"/>
          <w:kern w:val="2"/>
          <w:sz w:val="24"/>
          <w:szCs w:val="24"/>
          <w:shd w:val="clear" w:color="auto" w:fill="FFFFFF"/>
          <w:lang w:val="en-US" w:eastAsia="zh-CN" w:bidi="ar-SA"/>
        </w:rPr>
        <w:t>通信专项包括12芯光缆线路3.00km，16芯光缆线路2.80km，24芯光缆线路2.40km，48芯光缆线路2.00km，水泥杆20根，信号基站2座。</w:t>
      </w:r>
      <w:r>
        <w:rPr>
          <w:rFonts w:ascii="Times New Roman" w:hAnsi="宋体" w:eastAsia="宋体" w:cs="Times New Roman"/>
          <w:color w:val="000000"/>
          <w:spacing w:val="4"/>
          <w:kern w:val="2"/>
          <w:sz w:val="24"/>
          <w:szCs w:val="24"/>
          <w:shd w:val="clear" w:color="auto" w:fill="FFFFFF"/>
          <w:lang w:val="en-US" w:eastAsia="zh-CN" w:bidi="ar-SA"/>
        </w:rPr>
        <w:t>具体的通信设施调查情况汇总见表</w:t>
      </w:r>
      <w:r>
        <w:rPr>
          <w:rFonts w:ascii="Times New Roman" w:hAnsi="Times New Roman" w:eastAsia="宋体" w:cs="Times New Roman"/>
          <w:color w:val="000000"/>
          <w:spacing w:val="4"/>
          <w:kern w:val="2"/>
          <w:sz w:val="24"/>
          <w:szCs w:val="24"/>
          <w:shd w:val="clear" w:color="auto" w:fill="FFFFFF"/>
          <w:lang w:val="en-US" w:eastAsia="zh-CN" w:bidi="ar-SA"/>
        </w:rPr>
        <w:t>8.</w:t>
      </w:r>
      <w:r>
        <w:rPr>
          <w:rFonts w:hint="eastAsia" w:ascii="Times New Roman" w:hAnsi="Times New Roman" w:eastAsia="宋体" w:cs="Times New Roman"/>
          <w:color w:val="000000"/>
          <w:spacing w:val="4"/>
          <w:kern w:val="2"/>
          <w:sz w:val="24"/>
          <w:szCs w:val="24"/>
          <w:shd w:val="clear" w:color="auto" w:fill="FFFFFF"/>
          <w:lang w:val="en-US" w:eastAsia="zh-CN" w:bidi="ar-SA"/>
        </w:rPr>
        <w:t>7</w:t>
      </w:r>
      <w:r>
        <w:rPr>
          <w:rFonts w:ascii="Times New Roman" w:hAnsi="Times New Roman" w:eastAsia="宋体" w:cs="Times New Roman"/>
          <w:color w:val="000000"/>
          <w:spacing w:val="4"/>
          <w:kern w:val="2"/>
          <w:sz w:val="24"/>
          <w:szCs w:val="24"/>
          <w:shd w:val="clear" w:color="auto" w:fill="FFFFFF"/>
          <w:lang w:val="en-US" w:eastAsia="zh-CN" w:bidi="ar-SA"/>
        </w:rPr>
        <w:t>.4-1</w:t>
      </w:r>
      <w:r>
        <w:rPr>
          <w:rFonts w:ascii="Times New Roman" w:hAnsi="宋体" w:eastAsia="宋体" w:cs="Times New Roman"/>
          <w:color w:val="000000"/>
          <w:spacing w:val="4"/>
          <w:kern w:val="2"/>
          <w:sz w:val="24"/>
          <w:szCs w:val="24"/>
          <w:shd w:val="clear" w:color="auto" w:fill="FFFFFF"/>
          <w:lang w:val="en-US" w:eastAsia="zh-CN" w:bidi="ar-SA"/>
        </w:rPr>
        <w:t>。</w:t>
      </w:r>
    </w:p>
    <w:p>
      <w:pPr>
        <w:pStyle w:val="1146"/>
        <w:rPr>
          <w:rFonts w:hint="eastAsia"/>
          <w:color w:val="000000"/>
        </w:rPr>
      </w:pPr>
    </w:p>
    <w:p>
      <w:pPr>
        <w:pStyle w:val="1146"/>
        <w:rPr>
          <w:rFonts w:hint="eastAsia"/>
          <w:color w:val="000000"/>
        </w:rPr>
      </w:pPr>
    </w:p>
    <w:p>
      <w:pPr>
        <w:pStyle w:val="1146"/>
        <w:rPr>
          <w:rFonts w:hint="eastAsia"/>
          <w:color w:val="000000"/>
        </w:rPr>
        <w:sectPr>
          <w:footerReference r:id="rId39" w:type="default"/>
          <w:pgSz w:w="11906" w:h="16838"/>
          <w:pgMar w:top="1588" w:right="1559" w:bottom="1531" w:left="1559" w:header="1134" w:footer="1247" w:gutter="0"/>
          <w:cols w:space="720" w:num="1"/>
          <w:docGrid w:linePitch="312" w:charSpace="0"/>
        </w:sectPr>
      </w:pPr>
    </w:p>
    <w:p>
      <w:pPr>
        <w:pStyle w:val="1146"/>
        <w:rPr>
          <w:color w:val="000000"/>
        </w:rPr>
      </w:pPr>
      <w:r>
        <w:rPr>
          <w:rFonts w:hint="eastAsia"/>
          <w:color w:val="000000"/>
        </w:rPr>
        <w:t>表</w:t>
      </w:r>
      <w:r>
        <w:rPr>
          <w:color w:val="000000"/>
        </w:rPr>
        <w:t>8.</w:t>
      </w:r>
      <w:r>
        <w:rPr>
          <w:rFonts w:hint="eastAsia"/>
          <w:color w:val="000000"/>
        </w:rPr>
        <w:t>7</w:t>
      </w:r>
      <w:r>
        <w:rPr>
          <w:color w:val="000000"/>
        </w:rPr>
        <w:t>.4</w:t>
      </w:r>
      <w:r>
        <w:rPr>
          <w:rFonts w:hint="eastAsia"/>
          <w:color w:val="000000"/>
        </w:rPr>
        <w:t>-</w:t>
      </w:r>
      <w:r>
        <w:rPr>
          <w:color w:val="000000"/>
        </w:rPr>
        <w:fldChar w:fldCharType="begin"/>
      </w:r>
      <w:r>
        <w:rPr>
          <w:color w:val="000000"/>
        </w:rPr>
        <w:instrText xml:space="preserve"> </w:instrText>
      </w:r>
      <w:r>
        <w:rPr>
          <w:rFonts w:hint="eastAsia"/>
          <w:color w:val="000000"/>
        </w:rPr>
        <w:instrText xml:space="preserve">SEQ 表 \* ARABIC \s 3</w:instrText>
      </w:r>
      <w:r>
        <w:rPr>
          <w:color w:val="000000"/>
        </w:rPr>
        <w:instrText xml:space="preserve"> </w:instrText>
      </w:r>
      <w:r>
        <w:rPr>
          <w:color w:val="000000"/>
        </w:rPr>
        <w:fldChar w:fldCharType="separate"/>
      </w:r>
      <w:r>
        <w:rPr>
          <w:color w:val="000000"/>
        </w:rPr>
        <w:t>1</w:t>
      </w:r>
      <w:r>
        <w:rPr>
          <w:color w:val="000000"/>
        </w:rPr>
        <w:fldChar w:fldCharType="end"/>
      </w:r>
      <w:r>
        <w:rPr>
          <w:rFonts w:hint="eastAsia"/>
          <w:color w:val="000000"/>
        </w:rPr>
        <w:t xml:space="preserve">  陆河</w:t>
      </w:r>
      <w:r>
        <w:rPr>
          <w:color w:val="000000"/>
        </w:rPr>
        <w:t>抽水蓄能电站影响通信设施调查汇总表</w:t>
      </w:r>
    </w:p>
    <w:tbl>
      <w:tblPr>
        <w:tblStyle w:val="79"/>
        <w:tblW w:w="136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863"/>
        <w:gridCol w:w="806"/>
        <w:gridCol w:w="1155"/>
        <w:gridCol w:w="707"/>
        <w:gridCol w:w="931"/>
        <w:gridCol w:w="1290"/>
        <w:gridCol w:w="1232"/>
        <w:gridCol w:w="1177"/>
        <w:gridCol w:w="934"/>
        <w:gridCol w:w="934"/>
        <w:gridCol w:w="1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序号</w:t>
            </w:r>
          </w:p>
        </w:tc>
        <w:tc>
          <w:tcPr>
            <w:tcW w:w="1863"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线路名称</w:t>
            </w:r>
          </w:p>
        </w:tc>
        <w:tc>
          <w:tcPr>
            <w:tcW w:w="806"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起止地点</w:t>
            </w:r>
          </w:p>
        </w:tc>
        <w:tc>
          <w:tcPr>
            <w:tcW w:w="1155"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权属单位</w:t>
            </w:r>
          </w:p>
        </w:tc>
        <w:tc>
          <w:tcPr>
            <w:tcW w:w="707"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线路等级</w:t>
            </w:r>
          </w:p>
        </w:tc>
        <w:tc>
          <w:tcPr>
            <w:tcW w:w="931"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是否带基站</w:t>
            </w:r>
          </w:p>
        </w:tc>
        <w:tc>
          <w:tcPr>
            <w:tcW w:w="5567" w:type="dxa"/>
            <w:gridSpan w:val="5"/>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影响线路</w:t>
            </w:r>
          </w:p>
        </w:tc>
        <w:tc>
          <w:tcPr>
            <w:tcW w:w="1945"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Merge w:val="continue"/>
            <w:noWrap w:val="0"/>
            <w:vAlign w:val="center"/>
          </w:tcPr>
          <w:p>
            <w:pPr>
              <w:widowControl/>
              <w:jc w:val="left"/>
              <w:rPr>
                <w:rFonts w:cs="Times New Roman"/>
                <w:color w:val="000000"/>
                <w:kern w:val="0"/>
                <w:szCs w:val="21"/>
              </w:rPr>
            </w:pPr>
          </w:p>
        </w:tc>
        <w:tc>
          <w:tcPr>
            <w:tcW w:w="1863" w:type="dxa"/>
            <w:vMerge w:val="continue"/>
            <w:noWrap w:val="0"/>
            <w:vAlign w:val="center"/>
          </w:tcPr>
          <w:p>
            <w:pPr>
              <w:widowControl/>
              <w:jc w:val="left"/>
              <w:rPr>
                <w:rFonts w:cs="Times New Roman"/>
                <w:color w:val="000000"/>
                <w:kern w:val="0"/>
                <w:szCs w:val="21"/>
              </w:rPr>
            </w:pPr>
          </w:p>
        </w:tc>
        <w:tc>
          <w:tcPr>
            <w:tcW w:w="806" w:type="dxa"/>
            <w:vMerge w:val="continue"/>
            <w:noWrap w:val="0"/>
            <w:vAlign w:val="center"/>
          </w:tcPr>
          <w:p>
            <w:pPr>
              <w:widowControl/>
              <w:jc w:val="left"/>
              <w:rPr>
                <w:rFonts w:cs="Times New Roman"/>
                <w:color w:val="000000"/>
                <w:kern w:val="0"/>
                <w:szCs w:val="21"/>
              </w:rPr>
            </w:pPr>
          </w:p>
        </w:tc>
        <w:tc>
          <w:tcPr>
            <w:tcW w:w="1155" w:type="dxa"/>
            <w:vMerge w:val="continue"/>
            <w:noWrap w:val="0"/>
            <w:vAlign w:val="center"/>
          </w:tcPr>
          <w:p>
            <w:pPr>
              <w:widowControl/>
              <w:jc w:val="left"/>
              <w:rPr>
                <w:rFonts w:cs="Times New Roman"/>
                <w:color w:val="000000"/>
                <w:kern w:val="0"/>
                <w:szCs w:val="21"/>
              </w:rPr>
            </w:pPr>
          </w:p>
        </w:tc>
        <w:tc>
          <w:tcPr>
            <w:tcW w:w="707" w:type="dxa"/>
            <w:vMerge w:val="continue"/>
            <w:noWrap w:val="0"/>
            <w:vAlign w:val="center"/>
          </w:tcPr>
          <w:p>
            <w:pPr>
              <w:widowControl/>
              <w:jc w:val="left"/>
              <w:rPr>
                <w:rFonts w:cs="Times New Roman"/>
                <w:color w:val="000000"/>
                <w:kern w:val="0"/>
                <w:szCs w:val="21"/>
              </w:rPr>
            </w:pPr>
          </w:p>
        </w:tc>
        <w:tc>
          <w:tcPr>
            <w:tcW w:w="931" w:type="dxa"/>
            <w:vMerge w:val="continue"/>
            <w:noWrap w:val="0"/>
            <w:vAlign w:val="center"/>
          </w:tcPr>
          <w:p>
            <w:pPr>
              <w:widowControl/>
              <w:jc w:val="left"/>
              <w:rPr>
                <w:rFonts w:cs="Times New Roman"/>
                <w:color w:val="000000"/>
                <w:kern w:val="0"/>
                <w:szCs w:val="21"/>
              </w:rPr>
            </w:pPr>
          </w:p>
        </w:tc>
        <w:tc>
          <w:tcPr>
            <w:tcW w:w="1290" w:type="dxa"/>
            <w:vMerge w:val="restart"/>
            <w:noWrap w:val="0"/>
            <w:vAlign w:val="center"/>
          </w:tcPr>
          <w:p>
            <w:pPr>
              <w:widowControl/>
              <w:jc w:val="center"/>
              <w:rPr>
                <w:rFonts w:cs="Times New Roman"/>
                <w:color w:val="000000"/>
                <w:kern w:val="0"/>
                <w:szCs w:val="21"/>
              </w:rPr>
            </w:pPr>
            <w:r>
              <w:rPr>
                <w:rFonts w:cs="Times New Roman"/>
                <w:color w:val="000000"/>
                <w:kern w:val="0"/>
                <w:szCs w:val="21"/>
              </w:rPr>
              <w:t>线材</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线路容量</w:t>
            </w:r>
          </w:p>
        </w:tc>
        <w:tc>
          <w:tcPr>
            <w:tcW w:w="1177" w:type="dxa"/>
            <w:noWrap w:val="0"/>
            <w:vAlign w:val="center"/>
          </w:tcPr>
          <w:p>
            <w:pPr>
              <w:widowControl/>
              <w:jc w:val="center"/>
              <w:rPr>
                <w:rFonts w:cs="Times New Roman"/>
                <w:color w:val="000000"/>
                <w:kern w:val="0"/>
                <w:szCs w:val="21"/>
              </w:rPr>
            </w:pPr>
            <w:r>
              <w:rPr>
                <w:rFonts w:cs="Times New Roman"/>
                <w:color w:val="000000"/>
                <w:kern w:val="0"/>
                <w:szCs w:val="21"/>
              </w:rPr>
              <w:t>是否共杆</w:t>
            </w:r>
          </w:p>
        </w:tc>
        <w:tc>
          <w:tcPr>
            <w:tcW w:w="934" w:type="dxa"/>
            <w:vMerge w:val="restart"/>
            <w:noWrap w:val="0"/>
            <w:vAlign w:val="center"/>
          </w:tcPr>
          <w:p>
            <w:pPr>
              <w:widowControl/>
              <w:jc w:val="center"/>
              <w:rPr>
                <w:rFonts w:cs="Times New Roman"/>
                <w:color w:val="000000"/>
                <w:kern w:val="0"/>
                <w:szCs w:val="21"/>
              </w:rPr>
            </w:pPr>
            <w:r>
              <w:rPr>
                <w:rFonts w:cs="Times New Roman"/>
                <w:color w:val="000000"/>
                <w:kern w:val="0"/>
                <w:szCs w:val="21"/>
              </w:rPr>
              <w:t>影响长度(m)</w:t>
            </w:r>
          </w:p>
        </w:tc>
        <w:tc>
          <w:tcPr>
            <w:tcW w:w="934" w:type="dxa"/>
            <w:vMerge w:val="restart"/>
            <w:noWrap w:val="0"/>
            <w:vAlign w:val="center"/>
          </w:tcPr>
          <w:p>
            <w:pPr>
              <w:widowControl/>
              <w:jc w:val="center"/>
              <w:rPr>
                <w:rFonts w:cs="Times New Roman"/>
                <w:color w:val="000000"/>
                <w:kern w:val="0"/>
                <w:szCs w:val="21"/>
              </w:rPr>
            </w:pPr>
            <w:r>
              <w:rPr>
                <w:rFonts w:cs="Times New Roman"/>
                <w:color w:val="000000"/>
                <w:kern w:val="0"/>
                <w:szCs w:val="21"/>
              </w:rPr>
              <w:t>建设时间</w:t>
            </w:r>
          </w:p>
        </w:tc>
        <w:tc>
          <w:tcPr>
            <w:tcW w:w="1945" w:type="dxa"/>
            <w:vMerge w:val="continue"/>
            <w:noWrap w:val="0"/>
            <w:vAlign w:val="center"/>
          </w:tcPr>
          <w:p>
            <w:pPr>
              <w:widowControl/>
              <w:jc w:val="left"/>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Merge w:val="continue"/>
            <w:noWrap w:val="0"/>
            <w:vAlign w:val="center"/>
          </w:tcPr>
          <w:p>
            <w:pPr>
              <w:widowControl/>
              <w:jc w:val="left"/>
              <w:rPr>
                <w:rFonts w:cs="Times New Roman"/>
                <w:color w:val="000000"/>
                <w:kern w:val="0"/>
                <w:szCs w:val="21"/>
              </w:rPr>
            </w:pPr>
          </w:p>
        </w:tc>
        <w:tc>
          <w:tcPr>
            <w:tcW w:w="1863" w:type="dxa"/>
            <w:vMerge w:val="continue"/>
            <w:noWrap w:val="0"/>
            <w:vAlign w:val="center"/>
          </w:tcPr>
          <w:p>
            <w:pPr>
              <w:widowControl/>
              <w:jc w:val="left"/>
              <w:rPr>
                <w:rFonts w:cs="Times New Roman"/>
                <w:color w:val="000000"/>
                <w:kern w:val="0"/>
                <w:szCs w:val="21"/>
              </w:rPr>
            </w:pPr>
          </w:p>
        </w:tc>
        <w:tc>
          <w:tcPr>
            <w:tcW w:w="806" w:type="dxa"/>
            <w:vMerge w:val="continue"/>
            <w:noWrap w:val="0"/>
            <w:vAlign w:val="center"/>
          </w:tcPr>
          <w:p>
            <w:pPr>
              <w:widowControl/>
              <w:jc w:val="left"/>
              <w:rPr>
                <w:rFonts w:cs="Times New Roman"/>
                <w:color w:val="000000"/>
                <w:kern w:val="0"/>
                <w:szCs w:val="21"/>
              </w:rPr>
            </w:pPr>
          </w:p>
        </w:tc>
        <w:tc>
          <w:tcPr>
            <w:tcW w:w="1155" w:type="dxa"/>
            <w:vMerge w:val="continue"/>
            <w:noWrap w:val="0"/>
            <w:vAlign w:val="center"/>
          </w:tcPr>
          <w:p>
            <w:pPr>
              <w:widowControl/>
              <w:jc w:val="left"/>
              <w:rPr>
                <w:rFonts w:cs="Times New Roman"/>
                <w:color w:val="000000"/>
                <w:kern w:val="0"/>
                <w:szCs w:val="21"/>
              </w:rPr>
            </w:pPr>
          </w:p>
        </w:tc>
        <w:tc>
          <w:tcPr>
            <w:tcW w:w="707" w:type="dxa"/>
            <w:vMerge w:val="continue"/>
            <w:noWrap w:val="0"/>
            <w:vAlign w:val="center"/>
          </w:tcPr>
          <w:p>
            <w:pPr>
              <w:widowControl/>
              <w:jc w:val="left"/>
              <w:rPr>
                <w:rFonts w:cs="Times New Roman"/>
                <w:color w:val="000000"/>
                <w:kern w:val="0"/>
                <w:szCs w:val="21"/>
              </w:rPr>
            </w:pPr>
          </w:p>
        </w:tc>
        <w:tc>
          <w:tcPr>
            <w:tcW w:w="931" w:type="dxa"/>
            <w:vMerge w:val="continue"/>
            <w:noWrap w:val="0"/>
            <w:vAlign w:val="center"/>
          </w:tcPr>
          <w:p>
            <w:pPr>
              <w:widowControl/>
              <w:jc w:val="left"/>
              <w:rPr>
                <w:rFonts w:cs="Times New Roman"/>
                <w:color w:val="000000"/>
                <w:kern w:val="0"/>
                <w:szCs w:val="21"/>
              </w:rPr>
            </w:pPr>
          </w:p>
        </w:tc>
        <w:tc>
          <w:tcPr>
            <w:tcW w:w="1290" w:type="dxa"/>
            <w:vMerge w:val="continue"/>
            <w:noWrap w:val="0"/>
            <w:vAlign w:val="center"/>
          </w:tcPr>
          <w:p>
            <w:pPr>
              <w:widowControl/>
              <w:jc w:val="left"/>
              <w:rPr>
                <w:rFonts w:cs="Times New Roman"/>
                <w:color w:val="000000"/>
                <w:kern w:val="0"/>
                <w:szCs w:val="21"/>
              </w:rPr>
            </w:pP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177"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934" w:type="dxa"/>
            <w:vMerge w:val="continue"/>
            <w:noWrap w:val="0"/>
            <w:vAlign w:val="center"/>
          </w:tcPr>
          <w:p>
            <w:pPr>
              <w:widowControl/>
              <w:jc w:val="left"/>
              <w:rPr>
                <w:rFonts w:cs="Times New Roman"/>
                <w:color w:val="000000"/>
                <w:kern w:val="0"/>
                <w:szCs w:val="21"/>
              </w:rPr>
            </w:pPr>
          </w:p>
        </w:tc>
        <w:tc>
          <w:tcPr>
            <w:tcW w:w="934" w:type="dxa"/>
            <w:vMerge w:val="continue"/>
            <w:noWrap w:val="0"/>
            <w:vAlign w:val="center"/>
          </w:tcPr>
          <w:p>
            <w:pPr>
              <w:widowControl/>
              <w:jc w:val="left"/>
              <w:rPr>
                <w:rFonts w:cs="Times New Roman"/>
                <w:color w:val="000000"/>
                <w:kern w:val="0"/>
                <w:szCs w:val="21"/>
              </w:rPr>
            </w:pPr>
          </w:p>
        </w:tc>
        <w:tc>
          <w:tcPr>
            <w:tcW w:w="1945" w:type="dxa"/>
            <w:vMerge w:val="continue"/>
            <w:noWrap w:val="0"/>
            <w:vAlign w:val="center"/>
          </w:tcPr>
          <w:p>
            <w:pPr>
              <w:widowControl/>
              <w:jc w:val="left"/>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noWrap w:val="0"/>
            <w:vAlign w:val="center"/>
          </w:tcPr>
          <w:p>
            <w:pPr>
              <w:widowControl/>
              <w:jc w:val="center"/>
              <w:rPr>
                <w:rFonts w:cs="Times New Roman"/>
                <w:color w:val="000000"/>
                <w:kern w:val="0"/>
                <w:szCs w:val="21"/>
              </w:rPr>
            </w:pPr>
            <w:r>
              <w:rPr>
                <w:rFonts w:cs="Times New Roman"/>
                <w:color w:val="000000"/>
                <w:kern w:val="0"/>
                <w:szCs w:val="21"/>
              </w:rPr>
              <w:t>1</w:t>
            </w:r>
          </w:p>
        </w:tc>
        <w:tc>
          <w:tcPr>
            <w:tcW w:w="1863" w:type="dxa"/>
            <w:noWrap w:val="0"/>
            <w:vAlign w:val="center"/>
          </w:tcPr>
          <w:p>
            <w:pPr>
              <w:widowControl/>
              <w:jc w:val="center"/>
              <w:rPr>
                <w:rFonts w:cs="Times New Roman"/>
                <w:color w:val="000000"/>
                <w:kern w:val="0"/>
                <w:szCs w:val="21"/>
              </w:rPr>
            </w:pPr>
            <w:r>
              <w:rPr>
                <w:rFonts w:cs="Times New Roman"/>
                <w:color w:val="000000"/>
                <w:kern w:val="0"/>
                <w:szCs w:val="21"/>
              </w:rPr>
              <w:t>电信光缆</w:t>
            </w:r>
          </w:p>
        </w:tc>
        <w:tc>
          <w:tcPr>
            <w:tcW w:w="80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155" w:type="dxa"/>
            <w:noWrap w:val="0"/>
            <w:vAlign w:val="center"/>
          </w:tcPr>
          <w:p>
            <w:pPr>
              <w:widowControl/>
              <w:jc w:val="center"/>
              <w:rPr>
                <w:rFonts w:cs="Times New Roman"/>
                <w:color w:val="000000"/>
                <w:kern w:val="0"/>
                <w:szCs w:val="21"/>
              </w:rPr>
            </w:pPr>
            <w:r>
              <w:rPr>
                <w:rFonts w:cs="Times New Roman"/>
                <w:color w:val="000000"/>
                <w:kern w:val="0"/>
                <w:szCs w:val="21"/>
              </w:rPr>
              <w:t>陆河电信</w:t>
            </w:r>
          </w:p>
        </w:tc>
        <w:tc>
          <w:tcPr>
            <w:tcW w:w="707" w:type="dxa"/>
            <w:noWrap w:val="0"/>
            <w:vAlign w:val="center"/>
          </w:tcPr>
          <w:p>
            <w:pPr>
              <w:widowControl/>
              <w:jc w:val="center"/>
              <w:rPr>
                <w:rFonts w:cs="Times New Roman"/>
                <w:color w:val="000000"/>
                <w:kern w:val="0"/>
                <w:szCs w:val="21"/>
              </w:rPr>
            </w:pPr>
            <w:r>
              <w:rPr>
                <w:rFonts w:cs="Times New Roman"/>
                <w:color w:val="000000"/>
                <w:kern w:val="0"/>
                <w:szCs w:val="21"/>
              </w:rPr>
              <w:t>支线</w:t>
            </w:r>
          </w:p>
        </w:tc>
        <w:tc>
          <w:tcPr>
            <w:tcW w:w="931" w:type="dxa"/>
            <w:noWrap w:val="0"/>
            <w:vAlign w:val="center"/>
          </w:tcPr>
          <w:p>
            <w:pPr>
              <w:widowControl/>
              <w:jc w:val="center"/>
              <w:rPr>
                <w:rFonts w:cs="Times New Roman"/>
                <w:color w:val="000000"/>
                <w:kern w:val="0"/>
                <w:szCs w:val="21"/>
              </w:rPr>
            </w:pPr>
            <w:r>
              <w:rPr>
                <w:rFonts w:cs="Times New Roman"/>
                <w:color w:val="000000"/>
                <w:kern w:val="0"/>
                <w:szCs w:val="21"/>
              </w:rPr>
              <w:t>否</w:t>
            </w:r>
          </w:p>
        </w:tc>
        <w:tc>
          <w:tcPr>
            <w:tcW w:w="1290" w:type="dxa"/>
            <w:noWrap w:val="0"/>
            <w:vAlign w:val="center"/>
          </w:tcPr>
          <w:p>
            <w:pPr>
              <w:widowControl/>
              <w:jc w:val="center"/>
              <w:rPr>
                <w:rFonts w:cs="Times New Roman"/>
                <w:color w:val="000000"/>
                <w:kern w:val="0"/>
                <w:szCs w:val="21"/>
              </w:rPr>
            </w:pPr>
            <w:r>
              <w:rPr>
                <w:rFonts w:cs="Times New Roman"/>
                <w:color w:val="000000"/>
                <w:kern w:val="0"/>
                <w:szCs w:val="21"/>
              </w:rPr>
              <w:t>光缆</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2根12芯、2根24芯</w:t>
            </w:r>
          </w:p>
        </w:tc>
        <w:tc>
          <w:tcPr>
            <w:tcW w:w="1177" w:type="dxa"/>
            <w:noWrap w:val="0"/>
            <w:vAlign w:val="center"/>
          </w:tcPr>
          <w:p>
            <w:pPr>
              <w:widowControl/>
              <w:jc w:val="center"/>
              <w:rPr>
                <w:rFonts w:cs="Times New Roman"/>
                <w:color w:val="000000"/>
                <w:kern w:val="0"/>
                <w:szCs w:val="21"/>
              </w:rPr>
            </w:pPr>
            <w:r>
              <w:rPr>
                <w:rFonts w:cs="Times New Roman"/>
                <w:color w:val="000000"/>
                <w:kern w:val="0"/>
                <w:szCs w:val="21"/>
              </w:rPr>
              <w:t>否</w:t>
            </w:r>
          </w:p>
        </w:tc>
        <w:tc>
          <w:tcPr>
            <w:tcW w:w="934" w:type="dxa"/>
            <w:noWrap w:val="0"/>
            <w:vAlign w:val="center"/>
          </w:tcPr>
          <w:p>
            <w:pPr>
              <w:widowControl/>
              <w:jc w:val="center"/>
              <w:rPr>
                <w:rFonts w:cs="Times New Roman"/>
                <w:color w:val="000000"/>
                <w:kern w:val="0"/>
                <w:szCs w:val="21"/>
              </w:rPr>
            </w:pPr>
            <w:r>
              <w:rPr>
                <w:rFonts w:cs="Times New Roman"/>
                <w:color w:val="000000"/>
                <w:kern w:val="0"/>
                <w:szCs w:val="21"/>
              </w:rPr>
              <w:t>1000</w:t>
            </w:r>
          </w:p>
        </w:tc>
        <w:tc>
          <w:tcPr>
            <w:tcW w:w="93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945" w:type="dxa"/>
            <w:noWrap w:val="0"/>
            <w:vAlign w:val="center"/>
          </w:tcPr>
          <w:p>
            <w:pPr>
              <w:widowControl/>
              <w:jc w:val="center"/>
              <w:rPr>
                <w:rFonts w:cs="Times New Roman"/>
                <w:color w:val="000000"/>
                <w:kern w:val="0"/>
                <w:szCs w:val="21"/>
              </w:rPr>
            </w:pPr>
            <w:r>
              <w:rPr>
                <w:rFonts w:cs="Times New Roman"/>
                <w:color w:val="000000"/>
                <w:kern w:val="0"/>
                <w:szCs w:val="21"/>
              </w:rPr>
              <w:t>单独杆路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noWrap w:val="0"/>
            <w:vAlign w:val="center"/>
          </w:tcPr>
          <w:p>
            <w:pPr>
              <w:widowControl/>
              <w:jc w:val="center"/>
              <w:rPr>
                <w:rFonts w:cs="Times New Roman"/>
                <w:color w:val="000000"/>
                <w:kern w:val="0"/>
                <w:szCs w:val="21"/>
              </w:rPr>
            </w:pPr>
            <w:r>
              <w:rPr>
                <w:rFonts w:cs="Times New Roman"/>
                <w:color w:val="000000"/>
                <w:kern w:val="0"/>
                <w:szCs w:val="21"/>
              </w:rPr>
              <w:t>2</w:t>
            </w:r>
          </w:p>
        </w:tc>
        <w:tc>
          <w:tcPr>
            <w:tcW w:w="1863" w:type="dxa"/>
            <w:noWrap w:val="0"/>
            <w:vAlign w:val="center"/>
          </w:tcPr>
          <w:p>
            <w:pPr>
              <w:widowControl/>
              <w:jc w:val="center"/>
              <w:rPr>
                <w:rFonts w:cs="Times New Roman"/>
                <w:color w:val="000000"/>
                <w:kern w:val="0"/>
                <w:szCs w:val="21"/>
              </w:rPr>
            </w:pPr>
            <w:r>
              <w:rPr>
                <w:rFonts w:cs="Times New Roman"/>
                <w:color w:val="000000"/>
                <w:kern w:val="0"/>
                <w:szCs w:val="21"/>
              </w:rPr>
              <w:t>激溪林场C网基站电信进线光缆</w:t>
            </w:r>
          </w:p>
        </w:tc>
        <w:tc>
          <w:tcPr>
            <w:tcW w:w="80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155" w:type="dxa"/>
            <w:noWrap w:val="0"/>
            <w:vAlign w:val="center"/>
          </w:tcPr>
          <w:p>
            <w:pPr>
              <w:widowControl/>
              <w:jc w:val="center"/>
              <w:rPr>
                <w:rFonts w:cs="Times New Roman"/>
                <w:color w:val="000000"/>
                <w:kern w:val="0"/>
                <w:szCs w:val="21"/>
              </w:rPr>
            </w:pPr>
            <w:r>
              <w:rPr>
                <w:rFonts w:cs="Times New Roman"/>
                <w:color w:val="000000"/>
                <w:kern w:val="0"/>
                <w:szCs w:val="21"/>
              </w:rPr>
              <w:t>陆河电信</w:t>
            </w:r>
          </w:p>
        </w:tc>
        <w:tc>
          <w:tcPr>
            <w:tcW w:w="707" w:type="dxa"/>
            <w:noWrap w:val="0"/>
            <w:vAlign w:val="center"/>
          </w:tcPr>
          <w:p>
            <w:pPr>
              <w:widowControl/>
              <w:jc w:val="center"/>
              <w:rPr>
                <w:rFonts w:cs="Times New Roman"/>
                <w:color w:val="000000"/>
                <w:kern w:val="0"/>
                <w:szCs w:val="21"/>
              </w:rPr>
            </w:pPr>
            <w:r>
              <w:rPr>
                <w:rFonts w:cs="Times New Roman"/>
                <w:color w:val="000000"/>
                <w:kern w:val="0"/>
                <w:szCs w:val="21"/>
              </w:rPr>
              <w:t>支线</w:t>
            </w:r>
          </w:p>
        </w:tc>
        <w:tc>
          <w:tcPr>
            <w:tcW w:w="931" w:type="dxa"/>
            <w:noWrap w:val="0"/>
            <w:vAlign w:val="center"/>
          </w:tcPr>
          <w:p>
            <w:pPr>
              <w:widowControl/>
              <w:jc w:val="center"/>
              <w:rPr>
                <w:rFonts w:cs="Times New Roman"/>
                <w:color w:val="000000"/>
                <w:kern w:val="0"/>
                <w:szCs w:val="21"/>
              </w:rPr>
            </w:pPr>
            <w:r>
              <w:rPr>
                <w:rFonts w:cs="Times New Roman"/>
                <w:color w:val="000000"/>
                <w:kern w:val="0"/>
                <w:szCs w:val="21"/>
              </w:rPr>
              <w:t>否</w:t>
            </w:r>
          </w:p>
        </w:tc>
        <w:tc>
          <w:tcPr>
            <w:tcW w:w="1290" w:type="dxa"/>
            <w:noWrap w:val="0"/>
            <w:vAlign w:val="center"/>
          </w:tcPr>
          <w:p>
            <w:pPr>
              <w:widowControl/>
              <w:jc w:val="center"/>
              <w:rPr>
                <w:rFonts w:cs="Times New Roman"/>
                <w:color w:val="000000"/>
                <w:kern w:val="0"/>
                <w:szCs w:val="21"/>
              </w:rPr>
            </w:pPr>
            <w:r>
              <w:rPr>
                <w:rFonts w:cs="Times New Roman"/>
                <w:color w:val="000000"/>
                <w:kern w:val="0"/>
                <w:szCs w:val="21"/>
              </w:rPr>
              <w:t>光缆</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2根24芯</w:t>
            </w:r>
          </w:p>
        </w:tc>
        <w:tc>
          <w:tcPr>
            <w:tcW w:w="1177" w:type="dxa"/>
            <w:noWrap w:val="0"/>
            <w:vAlign w:val="center"/>
          </w:tcPr>
          <w:p>
            <w:pPr>
              <w:widowControl/>
              <w:jc w:val="center"/>
              <w:rPr>
                <w:rFonts w:cs="Times New Roman"/>
                <w:color w:val="000000"/>
                <w:kern w:val="0"/>
                <w:szCs w:val="21"/>
              </w:rPr>
            </w:pPr>
            <w:r>
              <w:rPr>
                <w:rFonts w:cs="Times New Roman"/>
                <w:color w:val="000000"/>
                <w:kern w:val="0"/>
                <w:szCs w:val="21"/>
              </w:rPr>
              <w:t>否</w:t>
            </w:r>
          </w:p>
        </w:tc>
        <w:tc>
          <w:tcPr>
            <w:tcW w:w="934" w:type="dxa"/>
            <w:noWrap w:val="0"/>
            <w:vAlign w:val="center"/>
          </w:tcPr>
          <w:p>
            <w:pPr>
              <w:widowControl/>
              <w:jc w:val="center"/>
              <w:rPr>
                <w:rFonts w:cs="Times New Roman"/>
                <w:color w:val="000000"/>
                <w:kern w:val="0"/>
                <w:szCs w:val="21"/>
              </w:rPr>
            </w:pPr>
            <w:r>
              <w:rPr>
                <w:rFonts w:cs="Times New Roman"/>
                <w:color w:val="000000"/>
                <w:kern w:val="0"/>
                <w:szCs w:val="21"/>
              </w:rPr>
              <w:t>200</w:t>
            </w:r>
          </w:p>
        </w:tc>
        <w:tc>
          <w:tcPr>
            <w:tcW w:w="93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945" w:type="dxa"/>
            <w:noWrap w:val="0"/>
            <w:vAlign w:val="center"/>
          </w:tcPr>
          <w:p>
            <w:pPr>
              <w:widowControl/>
              <w:jc w:val="center"/>
              <w:rPr>
                <w:rFonts w:cs="Times New Roman"/>
                <w:color w:val="000000"/>
                <w:kern w:val="0"/>
                <w:szCs w:val="21"/>
              </w:rPr>
            </w:pPr>
            <w:r>
              <w:rPr>
                <w:rFonts w:cs="Times New Roman"/>
                <w:color w:val="000000"/>
                <w:kern w:val="0"/>
                <w:szCs w:val="21"/>
              </w:rPr>
              <w:t>单独杆路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noWrap w:val="0"/>
            <w:vAlign w:val="center"/>
          </w:tcPr>
          <w:p>
            <w:pPr>
              <w:widowControl/>
              <w:jc w:val="center"/>
              <w:rPr>
                <w:rFonts w:cs="Times New Roman"/>
                <w:color w:val="000000"/>
                <w:kern w:val="0"/>
                <w:szCs w:val="21"/>
              </w:rPr>
            </w:pPr>
            <w:r>
              <w:rPr>
                <w:rFonts w:cs="Times New Roman"/>
                <w:color w:val="000000"/>
                <w:kern w:val="0"/>
                <w:szCs w:val="21"/>
              </w:rPr>
              <w:t>3</w:t>
            </w:r>
          </w:p>
        </w:tc>
        <w:tc>
          <w:tcPr>
            <w:tcW w:w="1863" w:type="dxa"/>
            <w:noWrap w:val="0"/>
            <w:vAlign w:val="center"/>
          </w:tcPr>
          <w:p>
            <w:pPr>
              <w:widowControl/>
              <w:jc w:val="center"/>
              <w:rPr>
                <w:rFonts w:cs="Times New Roman"/>
                <w:color w:val="000000"/>
                <w:kern w:val="0"/>
                <w:szCs w:val="21"/>
              </w:rPr>
            </w:pPr>
            <w:r>
              <w:rPr>
                <w:rFonts w:cs="Times New Roman"/>
                <w:color w:val="000000"/>
                <w:kern w:val="0"/>
                <w:szCs w:val="21"/>
              </w:rPr>
              <w:t>移动光缆</w:t>
            </w:r>
          </w:p>
        </w:tc>
        <w:tc>
          <w:tcPr>
            <w:tcW w:w="80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155" w:type="dxa"/>
            <w:noWrap w:val="0"/>
            <w:vAlign w:val="center"/>
          </w:tcPr>
          <w:p>
            <w:pPr>
              <w:widowControl/>
              <w:jc w:val="center"/>
              <w:rPr>
                <w:rFonts w:cs="Times New Roman"/>
                <w:color w:val="000000"/>
                <w:kern w:val="0"/>
                <w:szCs w:val="21"/>
              </w:rPr>
            </w:pPr>
            <w:r>
              <w:rPr>
                <w:rFonts w:cs="Times New Roman"/>
                <w:color w:val="000000"/>
                <w:kern w:val="0"/>
                <w:szCs w:val="21"/>
              </w:rPr>
              <w:t>陆河移动</w:t>
            </w:r>
          </w:p>
        </w:tc>
        <w:tc>
          <w:tcPr>
            <w:tcW w:w="707" w:type="dxa"/>
            <w:noWrap w:val="0"/>
            <w:vAlign w:val="center"/>
          </w:tcPr>
          <w:p>
            <w:pPr>
              <w:widowControl/>
              <w:jc w:val="center"/>
              <w:rPr>
                <w:rFonts w:cs="Times New Roman"/>
                <w:color w:val="000000"/>
                <w:kern w:val="0"/>
                <w:szCs w:val="21"/>
              </w:rPr>
            </w:pPr>
            <w:r>
              <w:rPr>
                <w:rFonts w:cs="Times New Roman"/>
                <w:color w:val="000000"/>
                <w:kern w:val="0"/>
                <w:szCs w:val="21"/>
              </w:rPr>
              <w:t>支线</w:t>
            </w:r>
          </w:p>
        </w:tc>
        <w:tc>
          <w:tcPr>
            <w:tcW w:w="931" w:type="dxa"/>
            <w:noWrap w:val="0"/>
            <w:vAlign w:val="center"/>
          </w:tcPr>
          <w:p>
            <w:pPr>
              <w:widowControl/>
              <w:jc w:val="center"/>
              <w:rPr>
                <w:rFonts w:cs="Times New Roman"/>
                <w:color w:val="000000"/>
                <w:kern w:val="0"/>
                <w:szCs w:val="21"/>
              </w:rPr>
            </w:pPr>
            <w:r>
              <w:rPr>
                <w:rFonts w:cs="Times New Roman"/>
                <w:color w:val="000000"/>
                <w:kern w:val="0"/>
                <w:szCs w:val="21"/>
              </w:rPr>
              <w:t>否</w:t>
            </w:r>
          </w:p>
        </w:tc>
        <w:tc>
          <w:tcPr>
            <w:tcW w:w="1290" w:type="dxa"/>
            <w:noWrap w:val="0"/>
            <w:vAlign w:val="center"/>
          </w:tcPr>
          <w:p>
            <w:pPr>
              <w:widowControl/>
              <w:jc w:val="center"/>
              <w:rPr>
                <w:rFonts w:cs="Times New Roman"/>
                <w:color w:val="000000"/>
                <w:kern w:val="0"/>
                <w:szCs w:val="21"/>
              </w:rPr>
            </w:pPr>
            <w:r>
              <w:rPr>
                <w:rFonts w:cs="Times New Roman"/>
                <w:color w:val="000000"/>
                <w:kern w:val="0"/>
                <w:szCs w:val="21"/>
              </w:rPr>
              <w:t>光缆</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1根12芯</w:t>
            </w:r>
          </w:p>
        </w:tc>
        <w:tc>
          <w:tcPr>
            <w:tcW w:w="1177" w:type="dxa"/>
            <w:noWrap w:val="0"/>
            <w:vAlign w:val="center"/>
          </w:tcPr>
          <w:p>
            <w:pPr>
              <w:widowControl/>
              <w:jc w:val="center"/>
              <w:rPr>
                <w:rFonts w:cs="Times New Roman"/>
                <w:color w:val="000000"/>
                <w:kern w:val="0"/>
                <w:szCs w:val="21"/>
              </w:rPr>
            </w:pPr>
            <w:r>
              <w:rPr>
                <w:rFonts w:cs="Times New Roman"/>
                <w:color w:val="000000"/>
                <w:kern w:val="0"/>
                <w:szCs w:val="21"/>
              </w:rPr>
              <w:t>否</w:t>
            </w:r>
          </w:p>
        </w:tc>
        <w:tc>
          <w:tcPr>
            <w:tcW w:w="934" w:type="dxa"/>
            <w:noWrap w:val="0"/>
            <w:vAlign w:val="center"/>
          </w:tcPr>
          <w:p>
            <w:pPr>
              <w:widowControl/>
              <w:jc w:val="center"/>
              <w:rPr>
                <w:rFonts w:cs="Times New Roman"/>
                <w:color w:val="000000"/>
                <w:kern w:val="0"/>
                <w:szCs w:val="21"/>
              </w:rPr>
            </w:pPr>
            <w:r>
              <w:rPr>
                <w:rFonts w:cs="Times New Roman"/>
                <w:color w:val="000000"/>
                <w:kern w:val="0"/>
                <w:szCs w:val="21"/>
              </w:rPr>
              <w:t>1000</w:t>
            </w:r>
          </w:p>
        </w:tc>
        <w:tc>
          <w:tcPr>
            <w:tcW w:w="934"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945" w:type="dxa"/>
            <w:noWrap w:val="0"/>
            <w:vAlign w:val="center"/>
          </w:tcPr>
          <w:p>
            <w:pPr>
              <w:widowControl/>
              <w:jc w:val="center"/>
              <w:rPr>
                <w:rFonts w:cs="Times New Roman"/>
                <w:color w:val="000000"/>
                <w:kern w:val="0"/>
                <w:szCs w:val="21"/>
              </w:rPr>
            </w:pPr>
            <w:r>
              <w:rPr>
                <w:rFonts w:cs="Times New Roman"/>
                <w:color w:val="000000"/>
                <w:kern w:val="0"/>
                <w:szCs w:val="21"/>
              </w:rPr>
              <w:t>单独杆路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noWrap w:val="0"/>
            <w:vAlign w:val="center"/>
          </w:tcPr>
          <w:p>
            <w:pPr>
              <w:widowControl/>
              <w:jc w:val="center"/>
              <w:rPr>
                <w:rFonts w:cs="Times New Roman"/>
                <w:color w:val="000000"/>
                <w:kern w:val="0"/>
                <w:szCs w:val="21"/>
              </w:rPr>
            </w:pPr>
            <w:r>
              <w:rPr>
                <w:rFonts w:cs="Times New Roman"/>
                <w:color w:val="000000"/>
                <w:kern w:val="0"/>
                <w:szCs w:val="21"/>
              </w:rPr>
              <w:t>4</w:t>
            </w:r>
          </w:p>
        </w:tc>
        <w:tc>
          <w:tcPr>
            <w:tcW w:w="1863" w:type="dxa"/>
            <w:noWrap w:val="0"/>
            <w:vAlign w:val="center"/>
          </w:tcPr>
          <w:p>
            <w:pPr>
              <w:widowControl/>
              <w:jc w:val="center"/>
              <w:rPr>
                <w:rFonts w:cs="Times New Roman"/>
                <w:color w:val="000000"/>
                <w:kern w:val="0"/>
                <w:szCs w:val="21"/>
              </w:rPr>
            </w:pPr>
            <w:r>
              <w:rPr>
                <w:rFonts w:cs="Times New Roman"/>
                <w:color w:val="000000"/>
                <w:kern w:val="0"/>
                <w:szCs w:val="21"/>
              </w:rPr>
              <w:t>移动光缆</w:t>
            </w:r>
          </w:p>
        </w:tc>
        <w:tc>
          <w:tcPr>
            <w:tcW w:w="806" w:type="dxa"/>
            <w:noWrap w:val="0"/>
            <w:vAlign w:val="center"/>
          </w:tcPr>
          <w:p>
            <w:pPr>
              <w:widowControl/>
              <w:jc w:val="center"/>
              <w:rPr>
                <w:rFonts w:cs="Times New Roman"/>
                <w:color w:val="000000"/>
                <w:kern w:val="0"/>
                <w:szCs w:val="21"/>
              </w:rPr>
            </w:pPr>
            <w:r>
              <w:rPr>
                <w:rFonts w:cs="Times New Roman"/>
                <w:color w:val="000000"/>
                <w:kern w:val="0"/>
                <w:szCs w:val="21"/>
              </w:rPr>
              <w:t>　</w:t>
            </w:r>
          </w:p>
        </w:tc>
        <w:tc>
          <w:tcPr>
            <w:tcW w:w="1155" w:type="dxa"/>
            <w:noWrap w:val="0"/>
            <w:vAlign w:val="center"/>
          </w:tcPr>
          <w:p>
            <w:pPr>
              <w:widowControl/>
              <w:jc w:val="center"/>
              <w:rPr>
                <w:rFonts w:cs="Times New Roman"/>
                <w:color w:val="000000"/>
                <w:kern w:val="0"/>
                <w:szCs w:val="21"/>
              </w:rPr>
            </w:pPr>
            <w:r>
              <w:rPr>
                <w:rFonts w:cs="Times New Roman"/>
                <w:color w:val="000000"/>
                <w:kern w:val="0"/>
                <w:szCs w:val="21"/>
              </w:rPr>
              <w:t>陆河移动</w:t>
            </w:r>
          </w:p>
        </w:tc>
        <w:tc>
          <w:tcPr>
            <w:tcW w:w="707" w:type="dxa"/>
            <w:noWrap w:val="0"/>
            <w:vAlign w:val="center"/>
          </w:tcPr>
          <w:p>
            <w:pPr>
              <w:widowControl/>
              <w:jc w:val="center"/>
              <w:rPr>
                <w:rFonts w:cs="Times New Roman"/>
                <w:color w:val="000000"/>
                <w:kern w:val="0"/>
                <w:szCs w:val="21"/>
              </w:rPr>
            </w:pPr>
            <w:r>
              <w:rPr>
                <w:rFonts w:cs="Times New Roman"/>
                <w:color w:val="000000"/>
                <w:kern w:val="0"/>
                <w:szCs w:val="21"/>
              </w:rPr>
              <w:t>支线</w:t>
            </w:r>
          </w:p>
        </w:tc>
        <w:tc>
          <w:tcPr>
            <w:tcW w:w="931" w:type="dxa"/>
            <w:noWrap w:val="0"/>
            <w:vAlign w:val="center"/>
          </w:tcPr>
          <w:p>
            <w:pPr>
              <w:widowControl/>
              <w:jc w:val="center"/>
              <w:rPr>
                <w:rFonts w:cs="Times New Roman"/>
                <w:color w:val="000000"/>
                <w:kern w:val="0"/>
                <w:szCs w:val="21"/>
              </w:rPr>
            </w:pPr>
            <w:r>
              <w:rPr>
                <w:rFonts w:cs="Times New Roman"/>
                <w:color w:val="000000"/>
                <w:kern w:val="0"/>
                <w:szCs w:val="21"/>
              </w:rPr>
              <w:t>是</w:t>
            </w:r>
          </w:p>
        </w:tc>
        <w:tc>
          <w:tcPr>
            <w:tcW w:w="1290" w:type="dxa"/>
            <w:noWrap w:val="0"/>
            <w:vAlign w:val="center"/>
          </w:tcPr>
          <w:p>
            <w:pPr>
              <w:widowControl/>
              <w:jc w:val="center"/>
              <w:rPr>
                <w:rFonts w:cs="Times New Roman"/>
                <w:color w:val="000000"/>
                <w:kern w:val="0"/>
                <w:szCs w:val="21"/>
              </w:rPr>
            </w:pPr>
            <w:r>
              <w:rPr>
                <w:rFonts w:cs="Times New Roman"/>
                <w:color w:val="000000"/>
                <w:kern w:val="0"/>
                <w:szCs w:val="21"/>
              </w:rPr>
              <w:t>GYTS-48B1光缆</w:t>
            </w:r>
          </w:p>
        </w:tc>
        <w:tc>
          <w:tcPr>
            <w:tcW w:w="1232" w:type="dxa"/>
            <w:noWrap w:val="0"/>
            <w:vAlign w:val="center"/>
          </w:tcPr>
          <w:p>
            <w:pPr>
              <w:widowControl/>
              <w:jc w:val="center"/>
              <w:rPr>
                <w:rFonts w:cs="Times New Roman"/>
                <w:color w:val="000000"/>
                <w:kern w:val="0"/>
                <w:szCs w:val="21"/>
              </w:rPr>
            </w:pPr>
            <w:r>
              <w:rPr>
                <w:rFonts w:cs="Times New Roman"/>
                <w:color w:val="000000"/>
                <w:kern w:val="0"/>
                <w:szCs w:val="21"/>
              </w:rPr>
              <w:t>1根48芯</w:t>
            </w:r>
          </w:p>
        </w:tc>
        <w:tc>
          <w:tcPr>
            <w:tcW w:w="1177" w:type="dxa"/>
            <w:noWrap w:val="0"/>
            <w:vAlign w:val="center"/>
          </w:tcPr>
          <w:p>
            <w:pPr>
              <w:widowControl/>
              <w:jc w:val="center"/>
              <w:rPr>
                <w:rFonts w:hint="eastAsia" w:cs="Times New Roman"/>
                <w:color w:val="000000"/>
                <w:kern w:val="0"/>
                <w:szCs w:val="21"/>
              </w:rPr>
            </w:pPr>
            <w:r>
              <w:rPr>
                <w:rFonts w:cs="Times New Roman"/>
                <w:color w:val="000000"/>
                <w:kern w:val="0"/>
                <w:szCs w:val="21"/>
              </w:rPr>
              <w:t>直接</w:t>
            </w:r>
          </w:p>
          <w:p>
            <w:pPr>
              <w:widowControl/>
              <w:jc w:val="center"/>
              <w:rPr>
                <w:rFonts w:cs="Times New Roman"/>
                <w:color w:val="000000"/>
                <w:kern w:val="0"/>
                <w:szCs w:val="21"/>
              </w:rPr>
            </w:pPr>
            <w:r>
              <w:rPr>
                <w:rFonts w:cs="Times New Roman"/>
                <w:color w:val="000000"/>
                <w:kern w:val="0"/>
                <w:szCs w:val="21"/>
              </w:rPr>
              <w:t>丢地上</w:t>
            </w:r>
          </w:p>
        </w:tc>
        <w:tc>
          <w:tcPr>
            <w:tcW w:w="934" w:type="dxa"/>
            <w:noWrap w:val="0"/>
            <w:vAlign w:val="center"/>
          </w:tcPr>
          <w:p>
            <w:pPr>
              <w:widowControl/>
              <w:jc w:val="center"/>
              <w:rPr>
                <w:rFonts w:cs="Times New Roman"/>
                <w:color w:val="000000"/>
                <w:kern w:val="0"/>
                <w:szCs w:val="21"/>
              </w:rPr>
            </w:pPr>
            <w:r>
              <w:rPr>
                <w:rFonts w:cs="Times New Roman"/>
                <w:color w:val="000000"/>
                <w:kern w:val="0"/>
                <w:szCs w:val="21"/>
              </w:rPr>
              <w:t>2000</w:t>
            </w:r>
          </w:p>
        </w:tc>
        <w:tc>
          <w:tcPr>
            <w:tcW w:w="934" w:type="dxa"/>
            <w:noWrap w:val="0"/>
            <w:vAlign w:val="center"/>
          </w:tcPr>
          <w:p>
            <w:pPr>
              <w:widowControl/>
              <w:jc w:val="center"/>
              <w:rPr>
                <w:rFonts w:cs="Times New Roman"/>
                <w:color w:val="000000"/>
                <w:kern w:val="0"/>
                <w:szCs w:val="21"/>
              </w:rPr>
            </w:pPr>
            <w:r>
              <w:rPr>
                <w:rFonts w:cs="Times New Roman"/>
                <w:color w:val="000000"/>
                <w:kern w:val="0"/>
                <w:szCs w:val="21"/>
              </w:rPr>
              <w:t>2021年</w:t>
            </w:r>
          </w:p>
        </w:tc>
        <w:tc>
          <w:tcPr>
            <w:tcW w:w="1945" w:type="dxa"/>
            <w:noWrap w:val="0"/>
            <w:vAlign w:val="center"/>
          </w:tcPr>
          <w:p>
            <w:pPr>
              <w:widowControl/>
              <w:jc w:val="center"/>
              <w:rPr>
                <w:rFonts w:cs="Times New Roman"/>
                <w:color w:val="000000"/>
                <w:kern w:val="0"/>
                <w:szCs w:val="21"/>
              </w:rPr>
            </w:pPr>
            <w:r>
              <w:rPr>
                <w:rFonts w:cs="Times New Roman"/>
                <w:color w:val="000000"/>
                <w:kern w:val="0"/>
                <w:szCs w:val="21"/>
              </w:rPr>
              <w:t>临时光缆，供上库临时基站使用暂时不考虑复建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5</w:t>
            </w:r>
          </w:p>
        </w:tc>
        <w:tc>
          <w:tcPr>
            <w:tcW w:w="1863"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通信光缆</w:t>
            </w:r>
          </w:p>
        </w:tc>
        <w:tc>
          <w:tcPr>
            <w:tcW w:w="806"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上下库区</w:t>
            </w:r>
          </w:p>
        </w:tc>
        <w:tc>
          <w:tcPr>
            <w:tcW w:w="1155"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广东泰源伟业集团</w:t>
            </w:r>
          </w:p>
        </w:tc>
        <w:tc>
          <w:tcPr>
            <w:tcW w:w="707"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931"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1290"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光缆</w:t>
            </w:r>
          </w:p>
        </w:tc>
        <w:tc>
          <w:tcPr>
            <w:tcW w:w="1232"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16芯</w:t>
            </w:r>
          </w:p>
        </w:tc>
        <w:tc>
          <w:tcPr>
            <w:tcW w:w="1177" w:type="dxa"/>
            <w:tcBorders>
              <w:bottom w:val="single" w:color="auto" w:sz="12" w:space="0"/>
            </w:tcBorders>
            <w:noWrap w:val="0"/>
            <w:vAlign w:val="center"/>
          </w:tcPr>
          <w:p>
            <w:pPr>
              <w:widowControl/>
              <w:jc w:val="center"/>
              <w:rPr>
                <w:rFonts w:hint="eastAsia" w:cs="Times New Roman"/>
                <w:color w:val="000000"/>
                <w:kern w:val="0"/>
                <w:szCs w:val="21"/>
              </w:rPr>
            </w:pPr>
            <w:r>
              <w:rPr>
                <w:rFonts w:cs="Times New Roman"/>
                <w:color w:val="000000"/>
                <w:kern w:val="0"/>
                <w:szCs w:val="21"/>
              </w:rPr>
              <w:t>与电力</w:t>
            </w:r>
          </w:p>
          <w:p>
            <w:pPr>
              <w:widowControl/>
              <w:jc w:val="center"/>
              <w:rPr>
                <w:rFonts w:cs="Times New Roman"/>
                <w:color w:val="000000"/>
                <w:kern w:val="0"/>
                <w:szCs w:val="21"/>
              </w:rPr>
            </w:pPr>
            <w:r>
              <w:rPr>
                <w:rFonts w:cs="Times New Roman"/>
                <w:color w:val="000000"/>
                <w:kern w:val="0"/>
                <w:szCs w:val="21"/>
              </w:rPr>
              <w:t>共杆</w:t>
            </w:r>
          </w:p>
        </w:tc>
        <w:tc>
          <w:tcPr>
            <w:tcW w:w="934"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2800</w:t>
            </w:r>
          </w:p>
        </w:tc>
        <w:tc>
          <w:tcPr>
            <w:tcW w:w="934"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c>
          <w:tcPr>
            <w:tcW w:w="1945"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　</w:t>
            </w:r>
          </w:p>
        </w:tc>
      </w:tr>
    </w:tbl>
    <w:p>
      <w:pPr>
        <w:pStyle w:val="1146"/>
        <w:rPr>
          <w:color w:val="000000"/>
        </w:rPr>
        <w:sectPr>
          <w:footerReference r:id="rId40" w:type="default"/>
          <w:pgSz w:w="16838" w:h="11906" w:orient="landscape"/>
          <w:pgMar w:top="1559" w:right="1588" w:bottom="1559" w:left="1531" w:header="1134" w:footer="1247" w:gutter="0"/>
          <w:cols w:space="720" w:num="1"/>
          <w:docGrid w:linePitch="312" w:charSpace="0"/>
        </w:sectPr>
      </w:pP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42" w:name="_Toc85662826"/>
      <w:bookmarkEnd w:id="642"/>
      <w:bookmarkStart w:id="643" w:name="_Toc90945265"/>
      <w:bookmarkStart w:id="644" w:name="_Toc86257973"/>
      <w:r>
        <w:rPr>
          <w:rFonts w:ascii="Times New Roman" w:hAnsi="Times New Roman" w:eastAsia="黑体" w:cs="Times New Roman"/>
          <w:bCs/>
          <w:snapToGrid w:val="0"/>
          <w:color w:val="000000"/>
          <w:kern w:val="0"/>
          <w:sz w:val="28"/>
          <w:szCs w:val="28"/>
          <w:lang w:val="en-US" w:eastAsia="zh-CN" w:bidi="ar-SA"/>
        </w:rPr>
        <w:t xml:space="preserve">8.8  </w:t>
      </w:r>
      <w:r>
        <w:rPr>
          <w:rFonts w:ascii="Times New Roman" w:hAnsi="宋体" w:eastAsia="黑体" w:cs="Times New Roman"/>
          <w:bCs/>
          <w:snapToGrid w:val="0"/>
          <w:color w:val="000000"/>
          <w:kern w:val="0"/>
          <w:sz w:val="28"/>
          <w:szCs w:val="28"/>
          <w:lang w:val="en-US" w:eastAsia="zh-CN" w:bidi="ar-SA"/>
        </w:rPr>
        <w:t>文物古迹</w:t>
      </w:r>
      <w:bookmarkEnd w:id="643"/>
      <w:bookmarkEnd w:id="644"/>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FFFFFF"/>
          <w:lang w:val="en-US" w:eastAsia="zh-CN" w:bidi="ar-SA"/>
        </w:rPr>
      </w:pPr>
      <w:bookmarkStart w:id="645" w:name="_Toc86257974"/>
      <w:r>
        <w:rPr>
          <w:rFonts w:hint="eastAsia" w:ascii="Times New Roman" w:hAnsi="Times New Roman" w:eastAsia="宋体" w:cs="Times New Roman"/>
          <w:color w:val="000000"/>
          <w:kern w:val="2"/>
          <w:sz w:val="24"/>
          <w:szCs w:val="24"/>
          <w:shd w:val="clear" w:color="auto" w:fill="FFFFFF"/>
          <w:lang w:val="en-US" w:eastAsia="zh-CN" w:bidi="ar-SA"/>
        </w:rPr>
        <w:t>2021年12月，广东省文物考古研究所对陆河抽水蓄能电站工程建设征地区域内文物进行考古调查、勘探工作，并由广东省文物考古研究所编制了《广东陆河抽水蓄能电站工程项目文物考古调查、勘探工作报告》。根据文物调查、勘探工作报告，发现经过全面而细致的考古调查和勘探工作，在广东陆河抽水蓄能电站工程项目规划用地范围内发现遗物点 1 处，为博背村遗物点。此外，还对项目规划线路外且距离最近的 1 处不可移动物点进行了复查，即红二师纪念亭，属第三次全国文物普查登记的不可移动文物点。以上均未涉及县级(含)以上文物保护单位</w:t>
      </w:r>
      <w:r>
        <w:rPr>
          <w:rFonts w:hint="eastAsia" w:ascii="Times New Roman" w:hAnsi="宋体" w:eastAsia="宋体" w:cs="Times New Roman"/>
          <w:color w:val="000000"/>
          <w:kern w:val="2"/>
          <w:sz w:val="24"/>
          <w:szCs w:val="24"/>
          <w:shd w:val="clear" w:color="auto" w:fill="FFFFFF"/>
          <w:lang w:val="en-US" w:eastAsia="zh-CN" w:bidi="ar-SA"/>
        </w:rPr>
        <w:t>。</w:t>
      </w:r>
    </w:p>
    <w:p>
      <w:pPr>
        <w:widowControl w:val="0"/>
        <w:adjustRightInd w:val="0"/>
        <w:snapToGrid w:val="0"/>
        <w:spacing w:before="120" w:after="60" w:line="480" w:lineRule="exact"/>
        <w:jc w:val="left"/>
        <w:outlineLvl w:val="1"/>
        <w:rPr>
          <w:rFonts w:ascii="Times New Roman" w:hAnsi="Times New Roman" w:eastAsia="黑体" w:cs="Times New Roman"/>
          <w:bCs/>
          <w:color w:val="000000"/>
          <w:kern w:val="2"/>
          <w:sz w:val="28"/>
          <w:szCs w:val="28"/>
          <w:lang w:val="en-US" w:eastAsia="zh-CN" w:bidi="ar-SA"/>
        </w:rPr>
      </w:pPr>
      <w:bookmarkStart w:id="646" w:name="_Toc90945266"/>
      <w:r>
        <w:rPr>
          <w:rFonts w:ascii="Times New Roman" w:hAnsi="Times New Roman" w:eastAsia="黑体" w:cs="Times New Roman"/>
          <w:bCs/>
          <w:color w:val="000000"/>
          <w:kern w:val="2"/>
          <w:sz w:val="28"/>
          <w:szCs w:val="28"/>
          <w:lang w:val="en-US" w:eastAsia="zh-CN" w:bidi="ar-SA"/>
        </w:rPr>
        <w:t>8.9  压覆矿产资源</w:t>
      </w:r>
      <w:bookmarkEnd w:id="645"/>
      <w:bookmarkEnd w:id="646"/>
    </w:p>
    <w:p>
      <w:pPr>
        <w:widowControl w:val="0"/>
        <w:overflowPunct w:val="0"/>
        <w:autoSpaceDE w:val="0"/>
        <w:autoSpaceDN w:val="0"/>
        <w:adjustRightInd w:val="0"/>
        <w:snapToGrid w:val="0"/>
        <w:spacing w:line="480" w:lineRule="exact"/>
        <w:ind w:firstLine="480" w:firstLineChars="200"/>
        <w:jc w:val="both"/>
        <w:rPr>
          <w:rFonts w:hint="eastAsia" w:ascii="Times New Roman" w:hAnsi="宋体" w:eastAsia="宋体" w:cs="Times New Roman"/>
          <w:color w:val="000000"/>
          <w:kern w:val="2"/>
          <w:sz w:val="24"/>
          <w:szCs w:val="24"/>
          <w:shd w:val="clear" w:color="auto" w:fill="auto"/>
          <w:lang w:val="en-US" w:eastAsia="zh-CN" w:bidi="ar-SA"/>
        </w:rPr>
      </w:pPr>
      <w:r>
        <w:rPr>
          <w:rFonts w:hint="eastAsia" w:ascii="Times New Roman" w:hAnsi="宋体" w:eastAsia="宋体" w:cs="Times New Roman"/>
          <w:color w:val="000000"/>
          <w:kern w:val="2"/>
          <w:sz w:val="24"/>
          <w:szCs w:val="24"/>
          <w:shd w:val="clear" w:color="auto" w:fill="auto"/>
          <w:lang w:val="en-US" w:eastAsia="zh-CN" w:bidi="ar-SA"/>
        </w:rPr>
        <w:t>根据汕尾自然资源局《关于广东陆河抽水蓄能电站项目用地是否压覆矿产资源的复函》(汕自然资函〔2021〕1760号)，工程建设征地范围内无压覆上表矿区，无压覆已设采矿权，探矿权。</w:t>
      </w:r>
    </w:p>
    <w:p>
      <w:pPr>
        <w:widowControl w:val="0"/>
        <w:adjustRightInd w:val="0"/>
        <w:snapToGrid w:val="0"/>
        <w:spacing w:before="120" w:after="60" w:line="480" w:lineRule="exact"/>
        <w:jc w:val="left"/>
        <w:outlineLvl w:val="1"/>
        <w:rPr>
          <w:rFonts w:hint="eastAsia" w:ascii="Times New Roman" w:hAnsi="Times New Roman" w:eastAsia="黑体" w:cs="Times New Roman"/>
          <w:bCs/>
          <w:snapToGrid w:val="0"/>
          <w:color w:val="000000"/>
          <w:kern w:val="0"/>
          <w:sz w:val="28"/>
          <w:szCs w:val="28"/>
          <w:lang w:val="en-US" w:eastAsia="zh-CN" w:bidi="ar-SA"/>
        </w:rPr>
      </w:pPr>
      <w:bookmarkStart w:id="647" w:name="_Toc86257975"/>
      <w:bookmarkStart w:id="648" w:name="_Toc90945267"/>
      <w:r>
        <w:rPr>
          <w:rFonts w:ascii="Times New Roman" w:hAnsi="Times New Roman" w:eastAsia="黑体" w:cs="Times New Roman"/>
          <w:bCs/>
          <w:snapToGrid w:val="0"/>
          <w:color w:val="000000"/>
          <w:kern w:val="0"/>
          <w:sz w:val="28"/>
          <w:szCs w:val="28"/>
          <w:lang w:val="en-US" w:eastAsia="zh-CN" w:bidi="ar-SA"/>
        </w:rPr>
        <w:t>8.</w:t>
      </w:r>
      <w:r>
        <w:rPr>
          <w:rFonts w:hint="eastAsia" w:ascii="Times New Roman" w:hAnsi="Times New Roman" w:eastAsia="黑体" w:cs="Times New Roman"/>
          <w:bCs/>
          <w:snapToGrid w:val="0"/>
          <w:color w:val="000000"/>
          <w:kern w:val="0"/>
          <w:sz w:val="28"/>
          <w:szCs w:val="28"/>
          <w:lang w:val="en-US" w:eastAsia="zh-CN" w:bidi="ar-SA"/>
        </w:rPr>
        <w:t>10</w:t>
      </w:r>
      <w:r>
        <w:rPr>
          <w:rFonts w:ascii="Times New Roman" w:hAnsi="Times New Roman" w:eastAsia="黑体" w:cs="Times New Roman"/>
          <w:bCs/>
          <w:snapToGrid w:val="0"/>
          <w:color w:val="000000"/>
          <w:kern w:val="0"/>
          <w:sz w:val="28"/>
          <w:szCs w:val="28"/>
          <w:lang w:val="en-US" w:eastAsia="zh-CN" w:bidi="ar-SA"/>
        </w:rPr>
        <w:t xml:space="preserve">  永久基本农田和</w:t>
      </w:r>
      <w:bookmarkEnd w:id="647"/>
      <w:r>
        <w:rPr>
          <w:rFonts w:hint="eastAsia" w:ascii="Times New Roman" w:hAnsi="Times New Roman" w:eastAsia="黑体" w:cs="Times New Roman"/>
          <w:bCs/>
          <w:snapToGrid w:val="0"/>
          <w:color w:val="000000"/>
          <w:kern w:val="0"/>
          <w:sz w:val="28"/>
          <w:szCs w:val="28"/>
          <w:lang w:val="en-US" w:eastAsia="zh-CN" w:bidi="ar-SA"/>
        </w:rPr>
        <w:t>公益林</w:t>
      </w:r>
      <w:bookmarkEnd w:id="648"/>
    </w:p>
    <w:p>
      <w:pPr>
        <w:widowControl w:val="0"/>
        <w:overflowPunct w:val="0"/>
        <w:autoSpaceDE w:val="0"/>
        <w:autoSpaceDN w:val="0"/>
        <w:adjustRightInd w:val="0"/>
        <w:snapToGrid w:val="0"/>
        <w:spacing w:line="480" w:lineRule="exact"/>
        <w:ind w:firstLine="496" w:firstLineChars="200"/>
        <w:jc w:val="both"/>
        <w:rPr>
          <w:rFonts w:ascii="Times New Roman" w:hAnsi="Times New Roman" w:eastAsia="宋体" w:cs="Times New Roman"/>
          <w:color w:val="000000"/>
          <w:spacing w:val="4"/>
          <w:kern w:val="2"/>
          <w:sz w:val="24"/>
          <w:szCs w:val="24"/>
          <w:shd w:val="clear" w:color="auto" w:fill="auto"/>
          <w:lang w:val="en-US" w:eastAsia="zh-CN" w:bidi="ar-SA"/>
        </w:rPr>
      </w:pPr>
      <w:r>
        <w:rPr>
          <w:rFonts w:hint="eastAsia" w:ascii="Times New Roman" w:hAnsi="宋体" w:eastAsia="宋体" w:cs="Times New Roman"/>
          <w:color w:val="000000"/>
          <w:spacing w:val="4"/>
          <w:kern w:val="2"/>
          <w:sz w:val="24"/>
          <w:szCs w:val="24"/>
          <w:shd w:val="clear" w:color="auto" w:fill="auto"/>
          <w:lang w:val="en-US" w:eastAsia="zh-CN" w:bidi="ar-SA"/>
        </w:rPr>
        <w:t>本项目建设用地占用永久基本农田</w:t>
      </w:r>
      <w:r>
        <w:rPr>
          <w:rFonts w:ascii="Times New Roman" w:hAnsi="宋体" w:eastAsia="宋体" w:cs="Times New Roman"/>
          <w:color w:val="000000"/>
          <w:spacing w:val="4"/>
          <w:kern w:val="2"/>
          <w:sz w:val="24"/>
          <w:szCs w:val="24"/>
          <w:shd w:val="clear" w:color="auto" w:fill="auto"/>
          <w:lang w:val="en-US" w:eastAsia="zh-CN" w:bidi="ar-SA"/>
        </w:rPr>
        <w:t>125.18</w:t>
      </w:r>
      <w:r>
        <w:rPr>
          <w:rFonts w:hint="eastAsia" w:ascii="Times New Roman" w:hAnsi="宋体" w:eastAsia="宋体" w:cs="Times New Roman"/>
          <w:color w:val="000000"/>
          <w:spacing w:val="4"/>
          <w:kern w:val="2"/>
          <w:sz w:val="24"/>
          <w:szCs w:val="24"/>
          <w:shd w:val="clear" w:color="auto" w:fill="auto"/>
          <w:lang w:val="en-US" w:eastAsia="zh-CN" w:bidi="ar-SA"/>
        </w:rPr>
        <w:t>亩，均为永久占地；涉及公益林</w:t>
      </w:r>
      <w:r>
        <w:rPr>
          <w:rFonts w:ascii="Times New Roman" w:hAnsi="宋体" w:eastAsia="宋体" w:cs="Times New Roman"/>
          <w:color w:val="000000"/>
          <w:spacing w:val="4"/>
          <w:kern w:val="2"/>
          <w:sz w:val="24"/>
          <w:szCs w:val="24"/>
          <w:shd w:val="clear" w:color="auto" w:fill="auto"/>
          <w:lang w:val="en-US" w:eastAsia="zh-CN" w:bidi="ar-SA"/>
        </w:rPr>
        <w:t>2813.92</w:t>
      </w:r>
      <w:r>
        <w:rPr>
          <w:rFonts w:hint="eastAsia" w:ascii="Times New Roman" w:hAnsi="宋体" w:eastAsia="宋体" w:cs="Times New Roman"/>
          <w:color w:val="000000"/>
          <w:spacing w:val="4"/>
          <w:kern w:val="2"/>
          <w:sz w:val="24"/>
          <w:szCs w:val="24"/>
          <w:shd w:val="clear" w:color="auto" w:fill="auto"/>
          <w:lang w:val="en-US" w:eastAsia="zh-CN" w:bidi="ar-SA"/>
        </w:rPr>
        <w:t>亩，其中永久占用2195.73亩，临时占用618.19亩。</w:t>
      </w:r>
    </w:p>
    <w:p>
      <w:pPr>
        <w:widowControl w:val="0"/>
        <w:adjustRightInd w:val="0"/>
        <w:snapToGrid w:val="0"/>
        <w:spacing w:before="300" w:after="120" w:line="480" w:lineRule="exact"/>
        <w:jc w:val="left"/>
        <w:outlineLvl w:val="0"/>
        <w:rPr>
          <w:rFonts w:ascii="Times New Roman" w:hAnsi="Times New Roman" w:eastAsia="黑体" w:cs="Times New Roman"/>
          <w:bCs/>
          <w:color w:val="000000"/>
          <w:kern w:val="44"/>
          <w:sz w:val="32"/>
          <w:szCs w:val="32"/>
          <w:shd w:val="clear" w:color="auto" w:fill="FFFF00"/>
          <w:lang w:val="en-US" w:eastAsia="zh-CN" w:bidi="ar-SA"/>
        </w:rPr>
      </w:pPr>
      <w:r>
        <w:rPr>
          <w:rFonts w:ascii="Times New Roman" w:hAnsi="Times New Roman" w:eastAsia="黑体" w:cs="Times New Roman"/>
          <w:bCs/>
          <w:color w:val="000000"/>
          <w:kern w:val="44"/>
          <w:sz w:val="32"/>
          <w:szCs w:val="32"/>
          <w:shd w:val="clear" w:color="auto" w:fill="FFFF00"/>
          <w:lang w:val="en-US" w:eastAsia="zh-CN" w:bidi="ar-SA"/>
        </w:rPr>
        <w:br w:type="page"/>
      </w:r>
      <w:bookmarkStart w:id="649" w:name="_Toc86257976"/>
      <w:bookmarkStart w:id="650" w:name="_Toc90945268"/>
      <w:r>
        <w:rPr>
          <w:rFonts w:ascii="Times New Roman" w:hAnsi="Times New Roman" w:eastAsia="黑体" w:cs="Times New Roman"/>
          <w:bCs/>
          <w:color w:val="000000"/>
          <w:kern w:val="44"/>
          <w:sz w:val="32"/>
          <w:szCs w:val="32"/>
          <w:lang w:val="en-US" w:eastAsia="zh-CN" w:bidi="ar-SA"/>
        </w:rPr>
        <w:t>9  实物指标特点分析</w:t>
      </w:r>
      <w:bookmarkEnd w:id="649"/>
      <w:bookmarkEnd w:id="650"/>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51" w:name="_Toc86257977"/>
      <w:bookmarkStart w:id="652" w:name="_Toc90945269"/>
      <w:r>
        <w:rPr>
          <w:rFonts w:ascii="Times New Roman" w:hAnsi="Times New Roman" w:eastAsia="黑体" w:cs="Times New Roman"/>
          <w:bCs/>
          <w:snapToGrid w:val="0"/>
          <w:color w:val="000000"/>
          <w:kern w:val="0"/>
          <w:sz w:val="28"/>
          <w:szCs w:val="28"/>
          <w:lang w:val="en-US" w:eastAsia="zh-CN" w:bidi="ar-SA"/>
        </w:rPr>
        <w:t xml:space="preserve">9.1  </w:t>
      </w:r>
      <w:r>
        <w:rPr>
          <w:rFonts w:ascii="Times New Roman" w:hAnsi="宋体" w:eastAsia="黑体" w:cs="Times New Roman"/>
          <w:bCs/>
          <w:snapToGrid w:val="0"/>
          <w:color w:val="000000"/>
          <w:kern w:val="0"/>
          <w:sz w:val="28"/>
          <w:szCs w:val="28"/>
          <w:lang w:val="en-US" w:eastAsia="zh-CN" w:bidi="ar-SA"/>
        </w:rPr>
        <w:t>人口</w:t>
      </w:r>
      <w:bookmarkEnd w:id="651"/>
      <w:bookmarkEnd w:id="652"/>
    </w:p>
    <w:p>
      <w:pPr>
        <w:keepNext/>
        <w:widowControl w:val="0"/>
        <w:overflowPunct w:val="0"/>
        <w:autoSpaceDE w:val="0"/>
        <w:autoSpaceDN w:val="0"/>
        <w:adjustRightInd w:val="0"/>
        <w:snapToGrid w:val="0"/>
        <w:spacing w:line="500" w:lineRule="exact"/>
        <w:ind w:firstLine="480" w:firstLineChars="200"/>
        <w:jc w:val="center"/>
        <w:rPr>
          <w:rFonts w:ascii="Times New Roman" w:hAnsi="宋体"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陆河抽水蓄能电站2个施工总布置方案建设征地范围均涉及广东省汕尾市陆河县新田镇激石溪村委和汕尾市吉溪林场，该村全部村民于 10 年前集中搬迁至新田镇居住，且村内大部分房屋已于 2019 年农村改造时拆除，剩余本工程建设征地范围内的零星房屋均无常驻村民，仅作为生产性房屋，</w:t>
      </w:r>
      <w:r>
        <w:rPr>
          <w:rFonts w:hint="eastAsia" w:ascii="Times New Roman" w:hAnsi="宋体" w:eastAsia="宋体" w:cs="Times New Roman"/>
          <w:color w:val="000000"/>
          <w:kern w:val="2"/>
          <w:sz w:val="24"/>
          <w:szCs w:val="24"/>
          <w:shd w:val="clear" w:color="auto" w:fill="auto"/>
          <w:lang w:val="en-US" w:eastAsia="zh-CN" w:bidi="ar-SA"/>
        </w:rPr>
        <w:t>本工程建设征地</w:t>
      </w:r>
      <w:r>
        <w:rPr>
          <w:rFonts w:ascii="Times New Roman" w:hAnsi="宋体" w:eastAsia="宋体" w:cs="Times New Roman"/>
          <w:color w:val="000000"/>
          <w:kern w:val="2"/>
          <w:sz w:val="24"/>
          <w:szCs w:val="24"/>
          <w:shd w:val="clear" w:color="auto" w:fill="auto"/>
          <w:lang w:val="en-US" w:eastAsia="zh-CN" w:bidi="ar-SA"/>
        </w:rPr>
        <w:t xml:space="preserve">不涉及搬迁人口。 </w:t>
      </w:r>
    </w:p>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53" w:name="_Toc90945270"/>
      <w:bookmarkStart w:id="654" w:name="_Toc86257978"/>
      <w:r>
        <w:rPr>
          <w:rFonts w:ascii="Times New Roman" w:hAnsi="Times New Roman" w:eastAsia="黑体" w:cs="Times New Roman"/>
          <w:bCs/>
          <w:snapToGrid w:val="0"/>
          <w:color w:val="000000"/>
          <w:kern w:val="0"/>
          <w:sz w:val="28"/>
          <w:szCs w:val="28"/>
          <w:lang w:val="en-US" w:eastAsia="zh-CN" w:bidi="ar-SA"/>
        </w:rPr>
        <w:t xml:space="preserve">9.2  </w:t>
      </w:r>
      <w:r>
        <w:rPr>
          <w:rFonts w:ascii="Times New Roman" w:hAnsi="宋体" w:eastAsia="黑体" w:cs="Times New Roman"/>
          <w:bCs/>
          <w:snapToGrid w:val="0"/>
          <w:color w:val="000000"/>
          <w:kern w:val="0"/>
          <w:sz w:val="28"/>
          <w:szCs w:val="28"/>
          <w:lang w:val="en-US" w:eastAsia="zh-CN" w:bidi="ar-SA"/>
        </w:rPr>
        <w:t>土地</w:t>
      </w:r>
      <w:bookmarkEnd w:id="653"/>
      <w:bookmarkEnd w:id="654"/>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9.2.1  征地面积及地类构成</w:t>
      </w: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Ansi="宋体" w:cs="Times New Roman"/>
          <w:color w:val="000000"/>
          <w:sz w:val="24"/>
          <w:szCs w:val="24"/>
        </w:rPr>
        <w:t>经调查统计分析，</w:t>
      </w:r>
      <w:r>
        <w:rPr>
          <w:rFonts w:hint="eastAsia" w:hAnsi="宋体" w:cs="Times New Roman"/>
          <w:color w:val="000000"/>
          <w:sz w:val="24"/>
          <w:szCs w:val="24"/>
        </w:rPr>
        <w:t>陆河</w:t>
      </w:r>
      <w:r>
        <w:rPr>
          <w:rFonts w:hAnsi="宋体" w:cs="Times New Roman"/>
          <w:color w:val="000000"/>
          <w:sz w:val="24"/>
          <w:szCs w:val="24"/>
        </w:rPr>
        <w:t>抽水蓄能电站建设征地总面积</w:t>
      </w:r>
      <w:r>
        <w:rPr>
          <w:rFonts w:cs="Times New Roman"/>
          <w:color w:val="000000"/>
          <w:sz w:val="24"/>
          <w:szCs w:val="24"/>
        </w:rPr>
        <w:t>4791.33</w:t>
      </w:r>
      <w:r>
        <w:rPr>
          <w:rFonts w:hAnsi="宋体" w:cs="Times New Roman"/>
          <w:color w:val="000000"/>
          <w:sz w:val="24"/>
          <w:szCs w:val="24"/>
        </w:rPr>
        <w:t>亩，影响地类涉及耕地、园地、林地、草地、住宅用地、交通运输用地、水域及水利设施用地等</w:t>
      </w:r>
      <w:r>
        <w:rPr>
          <w:rFonts w:hint="eastAsia" w:cs="Times New Roman"/>
          <w:color w:val="000000"/>
          <w:sz w:val="24"/>
          <w:szCs w:val="24"/>
        </w:rPr>
        <w:t>7</w:t>
      </w:r>
      <w:r>
        <w:rPr>
          <w:rFonts w:hAnsi="宋体" w:cs="Times New Roman"/>
          <w:color w:val="000000"/>
          <w:sz w:val="24"/>
          <w:szCs w:val="24"/>
        </w:rPr>
        <w:t>种地类，其中工程征收</w:t>
      </w:r>
      <w:r>
        <w:rPr>
          <w:rFonts w:cs="Times New Roman"/>
          <w:color w:val="000000"/>
          <w:sz w:val="24"/>
          <w:szCs w:val="24"/>
        </w:rPr>
        <w:t>(</w:t>
      </w:r>
      <w:r>
        <w:rPr>
          <w:rFonts w:hAnsi="宋体" w:cs="Times New Roman"/>
          <w:color w:val="000000"/>
          <w:sz w:val="24"/>
          <w:szCs w:val="24"/>
        </w:rPr>
        <w:t>用</w:t>
      </w:r>
      <w:r>
        <w:rPr>
          <w:rFonts w:cs="Times New Roman"/>
          <w:color w:val="000000"/>
          <w:sz w:val="24"/>
          <w:szCs w:val="24"/>
        </w:rPr>
        <w:t>)</w:t>
      </w:r>
      <w:r>
        <w:rPr>
          <w:rFonts w:hint="eastAsia" w:hAnsi="宋体" w:cs="Times New Roman"/>
          <w:color w:val="000000"/>
          <w:sz w:val="24"/>
          <w:szCs w:val="24"/>
        </w:rPr>
        <w:t>耕地</w:t>
      </w:r>
      <w:r>
        <w:rPr>
          <w:rFonts w:hAnsi="宋体" w:cs="Times New Roman"/>
          <w:color w:val="000000"/>
          <w:sz w:val="24"/>
          <w:szCs w:val="24"/>
        </w:rPr>
        <w:t>面积为</w:t>
      </w:r>
      <w:r>
        <w:rPr>
          <w:rFonts w:cs="Times New Roman"/>
          <w:color w:val="000000"/>
          <w:sz w:val="24"/>
          <w:szCs w:val="24"/>
        </w:rPr>
        <w:t>516.19</w:t>
      </w:r>
      <w:r>
        <w:rPr>
          <w:rFonts w:hAnsi="宋体" w:cs="Times New Roman"/>
          <w:color w:val="000000"/>
          <w:sz w:val="24"/>
          <w:szCs w:val="24"/>
        </w:rPr>
        <w:t>亩，占工程征地总面积</w:t>
      </w:r>
      <w:r>
        <w:rPr>
          <w:rFonts w:cs="Times New Roman"/>
          <w:color w:val="000000"/>
          <w:sz w:val="24"/>
          <w:szCs w:val="24"/>
        </w:rPr>
        <w:t>10.77%</w:t>
      </w:r>
      <w:r>
        <w:rPr>
          <w:rFonts w:hAnsi="宋体" w:cs="Times New Roman"/>
          <w:color w:val="000000"/>
          <w:sz w:val="24"/>
          <w:szCs w:val="24"/>
        </w:rPr>
        <w:t>；工程征收</w:t>
      </w:r>
      <w:r>
        <w:rPr>
          <w:rFonts w:cs="Times New Roman"/>
          <w:color w:val="000000"/>
          <w:sz w:val="24"/>
          <w:szCs w:val="24"/>
        </w:rPr>
        <w:t>(</w:t>
      </w:r>
      <w:r>
        <w:rPr>
          <w:rFonts w:hAnsi="宋体" w:cs="Times New Roman"/>
          <w:color w:val="000000"/>
          <w:sz w:val="24"/>
          <w:szCs w:val="24"/>
        </w:rPr>
        <w:t>用</w:t>
      </w:r>
      <w:r>
        <w:rPr>
          <w:rFonts w:cs="Times New Roman"/>
          <w:color w:val="000000"/>
          <w:sz w:val="24"/>
          <w:szCs w:val="24"/>
        </w:rPr>
        <w:t>)</w:t>
      </w:r>
      <w:r>
        <w:rPr>
          <w:rFonts w:hint="eastAsia" w:hAnsi="宋体" w:cs="Times New Roman"/>
          <w:color w:val="000000"/>
          <w:sz w:val="24"/>
          <w:szCs w:val="24"/>
        </w:rPr>
        <w:t>园</w:t>
      </w:r>
      <w:r>
        <w:rPr>
          <w:rFonts w:hAnsi="宋体" w:cs="Times New Roman"/>
          <w:color w:val="000000"/>
          <w:sz w:val="24"/>
          <w:szCs w:val="24"/>
        </w:rPr>
        <w:t>地面积为</w:t>
      </w:r>
      <w:r>
        <w:rPr>
          <w:rFonts w:cs="Times New Roman"/>
          <w:color w:val="000000"/>
          <w:sz w:val="24"/>
          <w:szCs w:val="24"/>
        </w:rPr>
        <w:t>27.67</w:t>
      </w:r>
      <w:r>
        <w:rPr>
          <w:rFonts w:hAnsi="宋体" w:cs="Times New Roman"/>
          <w:color w:val="000000"/>
          <w:sz w:val="24"/>
          <w:szCs w:val="24"/>
        </w:rPr>
        <w:t>亩，占工程征地总面积</w:t>
      </w:r>
      <w:r>
        <w:rPr>
          <w:rFonts w:cs="Times New Roman"/>
          <w:color w:val="000000"/>
          <w:sz w:val="24"/>
          <w:szCs w:val="24"/>
        </w:rPr>
        <w:t>0.58%</w:t>
      </w:r>
      <w:r>
        <w:rPr>
          <w:rFonts w:hAnsi="宋体" w:cs="Times New Roman"/>
          <w:color w:val="000000"/>
          <w:sz w:val="24"/>
          <w:szCs w:val="24"/>
        </w:rPr>
        <w:t>；工程征收</w:t>
      </w:r>
      <w:r>
        <w:rPr>
          <w:rFonts w:cs="Times New Roman"/>
          <w:color w:val="000000"/>
          <w:sz w:val="24"/>
          <w:szCs w:val="24"/>
        </w:rPr>
        <w:t>(</w:t>
      </w:r>
      <w:r>
        <w:rPr>
          <w:rFonts w:hAnsi="宋体" w:cs="Times New Roman"/>
          <w:color w:val="000000"/>
          <w:sz w:val="24"/>
          <w:szCs w:val="24"/>
        </w:rPr>
        <w:t>用</w:t>
      </w:r>
      <w:r>
        <w:rPr>
          <w:rFonts w:cs="Times New Roman"/>
          <w:color w:val="000000"/>
          <w:sz w:val="24"/>
          <w:szCs w:val="24"/>
        </w:rPr>
        <w:t>)</w:t>
      </w:r>
      <w:r>
        <w:rPr>
          <w:rFonts w:hint="eastAsia" w:hAnsi="宋体" w:cs="Times New Roman"/>
          <w:color w:val="000000"/>
          <w:sz w:val="24"/>
          <w:szCs w:val="24"/>
        </w:rPr>
        <w:t>林</w:t>
      </w:r>
      <w:r>
        <w:rPr>
          <w:rFonts w:hAnsi="宋体" w:cs="Times New Roman"/>
          <w:color w:val="000000"/>
          <w:sz w:val="24"/>
          <w:szCs w:val="24"/>
        </w:rPr>
        <w:t>地面积为</w:t>
      </w:r>
      <w:r>
        <w:rPr>
          <w:rFonts w:cs="Times New Roman"/>
          <w:color w:val="000000"/>
          <w:sz w:val="24"/>
          <w:szCs w:val="24"/>
        </w:rPr>
        <w:t>4014.36</w:t>
      </w:r>
      <w:r>
        <w:rPr>
          <w:rFonts w:hAnsi="宋体" w:cs="Times New Roman"/>
          <w:color w:val="000000"/>
          <w:sz w:val="24"/>
          <w:szCs w:val="24"/>
        </w:rPr>
        <w:t>亩，占工程征地总面积</w:t>
      </w:r>
      <w:r>
        <w:rPr>
          <w:rFonts w:cs="Times New Roman"/>
          <w:color w:val="000000"/>
          <w:sz w:val="24"/>
          <w:szCs w:val="24"/>
        </w:rPr>
        <w:t>83.78%</w:t>
      </w:r>
      <w:r>
        <w:rPr>
          <w:rFonts w:hAnsi="宋体" w:cs="Times New Roman"/>
          <w:color w:val="000000"/>
          <w:sz w:val="24"/>
          <w:szCs w:val="24"/>
        </w:rPr>
        <w:t>；其它地类征收</w:t>
      </w:r>
      <w:r>
        <w:rPr>
          <w:rFonts w:cs="Times New Roman"/>
          <w:color w:val="000000"/>
          <w:sz w:val="24"/>
          <w:szCs w:val="24"/>
        </w:rPr>
        <w:t>(</w:t>
      </w:r>
      <w:r>
        <w:rPr>
          <w:rFonts w:hAnsi="宋体" w:cs="Times New Roman"/>
          <w:color w:val="000000"/>
          <w:sz w:val="24"/>
          <w:szCs w:val="24"/>
        </w:rPr>
        <w:t>用</w:t>
      </w:r>
      <w:r>
        <w:rPr>
          <w:rFonts w:cs="Times New Roman"/>
          <w:color w:val="000000"/>
          <w:sz w:val="24"/>
          <w:szCs w:val="24"/>
        </w:rPr>
        <w:t>)</w:t>
      </w:r>
      <w:r>
        <w:rPr>
          <w:rFonts w:hAnsi="宋体" w:cs="Times New Roman"/>
          <w:color w:val="000000"/>
          <w:sz w:val="24"/>
          <w:szCs w:val="24"/>
        </w:rPr>
        <w:t>面积较小。建设征地征收土地主要是林地，其次是</w:t>
      </w:r>
      <w:r>
        <w:rPr>
          <w:rFonts w:hint="eastAsia" w:hAnsi="宋体" w:cs="Times New Roman"/>
          <w:color w:val="000000"/>
          <w:sz w:val="24"/>
          <w:szCs w:val="24"/>
        </w:rPr>
        <w:t>耕</w:t>
      </w:r>
      <w:r>
        <w:rPr>
          <w:rFonts w:hAnsi="宋体" w:cs="Times New Roman"/>
          <w:color w:val="000000"/>
          <w:sz w:val="24"/>
          <w:szCs w:val="24"/>
        </w:rPr>
        <w:t>地。</w:t>
      </w:r>
      <w:r>
        <w:rPr>
          <w:rFonts w:hint="eastAsia" w:hAnsi="宋体" w:cs="Times New Roman"/>
          <w:color w:val="000000"/>
          <w:sz w:val="24"/>
          <w:szCs w:val="24"/>
        </w:rPr>
        <w:t>陆河</w:t>
      </w:r>
      <w:r>
        <w:rPr>
          <w:rFonts w:hAnsi="宋体" w:cs="Times New Roman"/>
          <w:color w:val="000000"/>
          <w:sz w:val="24"/>
          <w:szCs w:val="24"/>
        </w:rPr>
        <w:t>抽水蓄能电站建设征地涉及土地地类情况及面积分布情况详见表</w:t>
      </w:r>
      <w:r>
        <w:rPr>
          <w:rFonts w:cs="Times New Roman"/>
          <w:color w:val="000000"/>
          <w:sz w:val="24"/>
          <w:szCs w:val="24"/>
        </w:rPr>
        <w:t>9.2.1-1</w:t>
      </w:r>
      <w:r>
        <w:rPr>
          <w:rFonts w:hint="eastAsia" w:cs="Times New Roman"/>
          <w:color w:val="000000"/>
          <w:sz w:val="24"/>
          <w:szCs w:val="24"/>
        </w:rPr>
        <w:t>、表</w:t>
      </w:r>
      <w:r>
        <w:rPr>
          <w:rFonts w:cs="Times New Roman"/>
          <w:color w:val="000000"/>
          <w:sz w:val="24"/>
          <w:szCs w:val="24"/>
        </w:rPr>
        <w:t>9.2.1-2</w:t>
      </w:r>
      <w:r>
        <w:rPr>
          <w:rFonts w:hAnsi="宋体" w:cs="Times New Roman"/>
          <w:color w:val="000000"/>
          <w:sz w:val="24"/>
          <w:szCs w:val="24"/>
        </w:rPr>
        <w:t>。</w:t>
      </w:r>
    </w:p>
    <w:p>
      <w:pPr>
        <w:adjustRightInd w:val="0"/>
        <w:snapToGrid w:val="0"/>
        <w:spacing w:before="120" w:beforeLines="50" w:line="460" w:lineRule="exact"/>
        <w:jc w:val="center"/>
        <w:rPr>
          <w:rFonts w:hint="eastAsia" w:eastAsia="黑体" w:cs="Times New Roman"/>
          <w:color w:val="000000"/>
          <w:sz w:val="24"/>
          <w:szCs w:val="24"/>
        </w:rPr>
      </w:pPr>
      <w:r>
        <w:rPr>
          <w:rFonts w:hint="eastAsia" w:eastAsia="黑体" w:cs="Times New Roman"/>
          <w:color w:val="000000"/>
          <w:sz w:val="24"/>
          <w:szCs w:val="24"/>
        </w:rPr>
        <w:t>表9.2.1</w:t>
      </w:r>
      <w:r>
        <w:rPr>
          <w:rFonts w:eastAsia="黑体" w:cs="Times New Roman"/>
          <w:color w:val="000000"/>
          <w:sz w:val="24"/>
          <w:szCs w:val="24"/>
        </w:rPr>
        <w:t>-1</w:t>
      </w:r>
      <w:r>
        <w:rPr>
          <w:rFonts w:hint="eastAsia" w:eastAsia="黑体" w:cs="Times New Roman"/>
          <w:color w:val="000000"/>
          <w:sz w:val="24"/>
          <w:szCs w:val="24"/>
        </w:rPr>
        <w:t xml:space="preserve">  </w:t>
      </w:r>
      <w:r>
        <w:rPr>
          <w:rFonts w:eastAsia="黑体" w:cs="Times New Roman"/>
          <w:color w:val="000000"/>
          <w:sz w:val="24"/>
          <w:szCs w:val="24"/>
        </w:rPr>
        <w:t>建设征地涉及土地情况分析计算表</w:t>
      </w:r>
    </w:p>
    <w:tbl>
      <w:tblPr>
        <w:tblStyle w:val="79"/>
        <w:tblW w:w="90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89"/>
        <w:gridCol w:w="692"/>
        <w:gridCol w:w="978"/>
        <w:gridCol w:w="1147"/>
        <w:gridCol w:w="1147"/>
        <w:gridCol w:w="2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序号</w:t>
            </w:r>
          </w:p>
        </w:tc>
        <w:tc>
          <w:tcPr>
            <w:tcW w:w="2289"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地类</w:t>
            </w:r>
          </w:p>
        </w:tc>
        <w:tc>
          <w:tcPr>
            <w:tcW w:w="692"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单位</w:t>
            </w:r>
          </w:p>
        </w:tc>
        <w:tc>
          <w:tcPr>
            <w:tcW w:w="3272" w:type="dxa"/>
            <w:gridSpan w:val="3"/>
            <w:noWrap/>
            <w:vAlign w:val="center"/>
          </w:tcPr>
          <w:p>
            <w:pPr>
              <w:widowControl/>
              <w:jc w:val="center"/>
              <w:textAlignment w:val="center"/>
              <w:rPr>
                <w:rFonts w:cs="Times New Roman"/>
                <w:color w:val="000000"/>
                <w:szCs w:val="21"/>
              </w:rPr>
            </w:pPr>
            <w:r>
              <w:rPr>
                <w:rFonts w:cs="Times New Roman"/>
                <w:color w:val="000000"/>
                <w:kern w:val="0"/>
                <w:szCs w:val="21"/>
                <w:lang w:bidi="ar"/>
              </w:rPr>
              <w:t>征地面积</w:t>
            </w:r>
          </w:p>
        </w:tc>
        <w:tc>
          <w:tcPr>
            <w:tcW w:w="2060" w:type="dxa"/>
            <w:vMerge w:val="restart"/>
            <w:noWrap/>
            <w:vAlign w:val="center"/>
          </w:tcPr>
          <w:p>
            <w:pPr>
              <w:widowControl/>
              <w:jc w:val="center"/>
              <w:textAlignment w:val="center"/>
              <w:rPr>
                <w:rFonts w:cs="Times New Roman"/>
                <w:color w:val="000000"/>
                <w:szCs w:val="21"/>
              </w:rPr>
            </w:pPr>
            <w:r>
              <w:rPr>
                <w:rFonts w:cs="Times New Roman"/>
                <w:color w:val="000000"/>
                <w:kern w:val="0"/>
                <w:szCs w:val="21"/>
                <w:lang w:bidi="ar"/>
              </w:rPr>
              <w:t>占土地总面积比例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vMerge w:val="continue"/>
            <w:noWrap/>
            <w:vAlign w:val="center"/>
          </w:tcPr>
          <w:p>
            <w:pPr>
              <w:jc w:val="center"/>
              <w:rPr>
                <w:rFonts w:cs="Times New Roman"/>
                <w:color w:val="000000"/>
                <w:szCs w:val="21"/>
              </w:rPr>
            </w:pPr>
          </w:p>
        </w:tc>
        <w:tc>
          <w:tcPr>
            <w:tcW w:w="2289" w:type="dxa"/>
            <w:vMerge w:val="continue"/>
            <w:noWrap/>
            <w:vAlign w:val="center"/>
          </w:tcPr>
          <w:p>
            <w:pPr>
              <w:jc w:val="center"/>
              <w:rPr>
                <w:rFonts w:cs="Times New Roman"/>
                <w:color w:val="000000"/>
                <w:szCs w:val="21"/>
              </w:rPr>
            </w:pPr>
          </w:p>
        </w:tc>
        <w:tc>
          <w:tcPr>
            <w:tcW w:w="692" w:type="dxa"/>
            <w:vMerge w:val="continue"/>
            <w:noWrap/>
            <w:vAlign w:val="center"/>
          </w:tcPr>
          <w:p>
            <w:pPr>
              <w:jc w:val="center"/>
              <w:rPr>
                <w:rFonts w:cs="Times New Roman"/>
                <w:color w:val="000000"/>
                <w:szCs w:val="21"/>
              </w:rPr>
            </w:pPr>
          </w:p>
        </w:tc>
        <w:tc>
          <w:tcPr>
            <w:tcW w:w="978" w:type="dxa"/>
            <w:noWrap/>
            <w:vAlign w:val="center"/>
          </w:tcPr>
          <w:p>
            <w:pPr>
              <w:widowControl/>
              <w:jc w:val="center"/>
              <w:textAlignment w:val="center"/>
              <w:rPr>
                <w:rFonts w:cs="Times New Roman"/>
                <w:color w:val="000000"/>
                <w:szCs w:val="21"/>
              </w:rPr>
            </w:pPr>
            <w:r>
              <w:rPr>
                <w:rFonts w:cs="Times New Roman"/>
                <w:color w:val="000000"/>
                <w:kern w:val="0"/>
                <w:szCs w:val="21"/>
                <w:lang w:bidi="ar"/>
              </w:rPr>
              <w:t>合计</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永久占地</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临时用地</w:t>
            </w:r>
          </w:p>
        </w:tc>
        <w:tc>
          <w:tcPr>
            <w:tcW w:w="2060" w:type="dxa"/>
            <w:vMerge w:val="continue"/>
            <w:noWrap/>
            <w:vAlign w:val="center"/>
          </w:tcPr>
          <w:p>
            <w:pPr>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ign w:val="center"/>
          </w:tcPr>
          <w:p>
            <w:pPr>
              <w:jc w:val="center"/>
              <w:rPr>
                <w:rFonts w:cs="Times New Roman"/>
                <w:color w:val="000000"/>
                <w:szCs w:val="21"/>
              </w:rPr>
            </w:pPr>
          </w:p>
        </w:tc>
        <w:tc>
          <w:tcPr>
            <w:tcW w:w="2289" w:type="dxa"/>
            <w:noWrap/>
            <w:vAlign w:val="center"/>
          </w:tcPr>
          <w:p>
            <w:pPr>
              <w:widowControl/>
              <w:jc w:val="center"/>
              <w:textAlignment w:val="center"/>
              <w:rPr>
                <w:rFonts w:cs="Times New Roman"/>
                <w:color w:val="000000"/>
                <w:szCs w:val="21"/>
              </w:rPr>
            </w:pPr>
            <w:r>
              <w:rPr>
                <w:rFonts w:cs="Times New Roman"/>
                <w:color w:val="000000"/>
                <w:kern w:val="0"/>
                <w:szCs w:val="21"/>
                <w:lang w:bidi="ar"/>
              </w:rPr>
              <w:t>合计</w:t>
            </w:r>
          </w:p>
        </w:tc>
        <w:tc>
          <w:tcPr>
            <w:tcW w:w="692"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978"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4791.33 </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3829.50 </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961.83 </w:t>
            </w:r>
          </w:p>
        </w:tc>
        <w:tc>
          <w:tcPr>
            <w:tcW w:w="2060" w:type="dxa"/>
            <w:noWrap/>
            <w:vAlign w:val="center"/>
          </w:tcPr>
          <w:p>
            <w:pPr>
              <w:widowControl/>
              <w:jc w:val="center"/>
              <w:textAlignment w:val="center"/>
              <w:rPr>
                <w:rFonts w:cs="Times New Roman"/>
                <w:color w:val="000000"/>
                <w:szCs w:val="21"/>
              </w:rPr>
            </w:pPr>
            <w:r>
              <w:rPr>
                <w:rFonts w:cs="Times New Roman"/>
                <w:color w:val="000000"/>
                <w:kern w:val="0"/>
                <w:szCs w:val="21"/>
                <w:lang w:bidi="ar"/>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ign w:val="center"/>
          </w:tcPr>
          <w:p>
            <w:pPr>
              <w:widowControl/>
              <w:jc w:val="center"/>
              <w:textAlignment w:val="center"/>
              <w:rPr>
                <w:rFonts w:cs="Times New Roman"/>
                <w:color w:val="000000"/>
                <w:szCs w:val="21"/>
              </w:rPr>
            </w:pPr>
            <w:r>
              <w:rPr>
                <w:rFonts w:cs="Times New Roman"/>
                <w:color w:val="000000"/>
                <w:kern w:val="0"/>
                <w:szCs w:val="21"/>
                <w:lang w:bidi="ar"/>
              </w:rPr>
              <w:t>1</w:t>
            </w:r>
          </w:p>
        </w:tc>
        <w:tc>
          <w:tcPr>
            <w:tcW w:w="2289" w:type="dxa"/>
            <w:noWrap/>
            <w:vAlign w:val="center"/>
          </w:tcPr>
          <w:p>
            <w:pPr>
              <w:widowControl/>
              <w:jc w:val="center"/>
              <w:textAlignment w:val="center"/>
              <w:rPr>
                <w:rFonts w:cs="Times New Roman"/>
                <w:color w:val="000000"/>
                <w:szCs w:val="21"/>
              </w:rPr>
            </w:pPr>
            <w:r>
              <w:rPr>
                <w:rFonts w:cs="Times New Roman"/>
                <w:color w:val="000000"/>
                <w:kern w:val="0"/>
                <w:szCs w:val="21"/>
                <w:lang w:bidi="ar"/>
              </w:rPr>
              <w:t>耕地</w:t>
            </w:r>
          </w:p>
        </w:tc>
        <w:tc>
          <w:tcPr>
            <w:tcW w:w="692"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978"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516.19 </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500.63</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15.55 </w:t>
            </w:r>
          </w:p>
        </w:tc>
        <w:tc>
          <w:tcPr>
            <w:tcW w:w="2060" w:type="dxa"/>
            <w:noWrap/>
            <w:vAlign w:val="center"/>
          </w:tcPr>
          <w:p>
            <w:pPr>
              <w:widowControl/>
              <w:jc w:val="center"/>
              <w:textAlignment w:val="center"/>
              <w:rPr>
                <w:rFonts w:cs="Times New Roman"/>
                <w:color w:val="000000"/>
                <w:szCs w:val="21"/>
              </w:rPr>
            </w:pPr>
            <w:r>
              <w:rPr>
                <w:rFonts w:cs="Times New Roman"/>
                <w:color w:val="000000"/>
                <w:kern w:val="0"/>
                <w:szCs w:val="21"/>
                <w:lang w:bidi="ar"/>
              </w:rPr>
              <w:t>10.77%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ign w:val="center"/>
          </w:tcPr>
          <w:p>
            <w:pPr>
              <w:widowControl/>
              <w:jc w:val="center"/>
              <w:textAlignment w:val="center"/>
              <w:rPr>
                <w:rFonts w:cs="Times New Roman"/>
                <w:color w:val="000000"/>
                <w:szCs w:val="21"/>
              </w:rPr>
            </w:pPr>
            <w:r>
              <w:rPr>
                <w:rFonts w:cs="Times New Roman"/>
                <w:color w:val="000000"/>
                <w:kern w:val="0"/>
                <w:szCs w:val="21"/>
                <w:lang w:bidi="ar"/>
              </w:rPr>
              <w:t>2</w:t>
            </w:r>
          </w:p>
        </w:tc>
        <w:tc>
          <w:tcPr>
            <w:tcW w:w="2289" w:type="dxa"/>
            <w:noWrap/>
            <w:vAlign w:val="center"/>
          </w:tcPr>
          <w:p>
            <w:pPr>
              <w:widowControl/>
              <w:jc w:val="center"/>
              <w:textAlignment w:val="center"/>
              <w:rPr>
                <w:rFonts w:cs="Times New Roman"/>
                <w:color w:val="000000"/>
                <w:szCs w:val="21"/>
              </w:rPr>
            </w:pPr>
            <w:r>
              <w:rPr>
                <w:rFonts w:cs="Times New Roman"/>
                <w:color w:val="000000"/>
                <w:kern w:val="0"/>
                <w:szCs w:val="21"/>
                <w:lang w:bidi="ar"/>
              </w:rPr>
              <w:t>园地</w:t>
            </w:r>
          </w:p>
        </w:tc>
        <w:tc>
          <w:tcPr>
            <w:tcW w:w="692"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978"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27.67 </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23.99 </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3.68 </w:t>
            </w:r>
          </w:p>
        </w:tc>
        <w:tc>
          <w:tcPr>
            <w:tcW w:w="2060" w:type="dxa"/>
            <w:noWrap/>
            <w:vAlign w:val="center"/>
          </w:tcPr>
          <w:p>
            <w:pPr>
              <w:widowControl/>
              <w:jc w:val="center"/>
              <w:textAlignment w:val="center"/>
              <w:rPr>
                <w:rFonts w:cs="Times New Roman"/>
                <w:color w:val="000000"/>
                <w:szCs w:val="21"/>
              </w:rPr>
            </w:pPr>
            <w:r>
              <w:rPr>
                <w:rFonts w:cs="Times New Roman"/>
                <w:color w:val="000000"/>
                <w:kern w:val="0"/>
                <w:szCs w:val="21"/>
                <w:lang w:bidi="ar"/>
              </w:rPr>
              <w:t>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ign w:val="center"/>
          </w:tcPr>
          <w:p>
            <w:pPr>
              <w:widowControl/>
              <w:jc w:val="center"/>
              <w:textAlignment w:val="center"/>
              <w:rPr>
                <w:rFonts w:cs="Times New Roman"/>
                <w:color w:val="000000"/>
                <w:szCs w:val="21"/>
              </w:rPr>
            </w:pPr>
            <w:r>
              <w:rPr>
                <w:rFonts w:cs="Times New Roman"/>
                <w:color w:val="000000"/>
                <w:kern w:val="0"/>
                <w:szCs w:val="21"/>
                <w:lang w:bidi="ar"/>
              </w:rPr>
              <w:t>3</w:t>
            </w:r>
          </w:p>
        </w:tc>
        <w:tc>
          <w:tcPr>
            <w:tcW w:w="2289" w:type="dxa"/>
            <w:noWrap/>
            <w:vAlign w:val="center"/>
          </w:tcPr>
          <w:p>
            <w:pPr>
              <w:widowControl/>
              <w:jc w:val="center"/>
              <w:textAlignment w:val="center"/>
              <w:rPr>
                <w:rFonts w:cs="Times New Roman"/>
                <w:color w:val="000000"/>
                <w:szCs w:val="21"/>
              </w:rPr>
            </w:pPr>
            <w:r>
              <w:rPr>
                <w:rFonts w:cs="Times New Roman"/>
                <w:color w:val="000000"/>
                <w:kern w:val="0"/>
                <w:szCs w:val="21"/>
                <w:lang w:bidi="ar"/>
              </w:rPr>
              <w:t>林地</w:t>
            </w:r>
          </w:p>
        </w:tc>
        <w:tc>
          <w:tcPr>
            <w:tcW w:w="692"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978" w:type="dxa"/>
            <w:noWrap/>
            <w:vAlign w:val="center"/>
          </w:tcPr>
          <w:p>
            <w:pPr>
              <w:widowControl/>
              <w:jc w:val="center"/>
              <w:textAlignment w:val="center"/>
              <w:rPr>
                <w:rFonts w:cs="Times New Roman"/>
                <w:color w:val="000000"/>
                <w:szCs w:val="21"/>
              </w:rPr>
            </w:pPr>
            <w:r>
              <w:rPr>
                <w:rFonts w:cs="Times New Roman"/>
                <w:color w:val="000000"/>
                <w:kern w:val="0"/>
                <w:szCs w:val="21"/>
                <w:lang w:bidi="ar"/>
              </w:rPr>
              <w:t>4014.36</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3082.00 </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932.36</w:t>
            </w:r>
          </w:p>
        </w:tc>
        <w:tc>
          <w:tcPr>
            <w:tcW w:w="2060" w:type="dxa"/>
            <w:noWrap/>
            <w:vAlign w:val="center"/>
          </w:tcPr>
          <w:p>
            <w:pPr>
              <w:widowControl/>
              <w:jc w:val="center"/>
              <w:textAlignment w:val="center"/>
              <w:rPr>
                <w:rFonts w:cs="Times New Roman"/>
                <w:color w:val="000000"/>
                <w:szCs w:val="21"/>
              </w:rPr>
            </w:pPr>
            <w:r>
              <w:rPr>
                <w:rFonts w:cs="Times New Roman"/>
                <w:color w:val="000000"/>
                <w:kern w:val="0"/>
                <w:szCs w:val="21"/>
                <w:lang w:bidi="ar"/>
              </w:rPr>
              <w:t>83.78%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ign w:val="center"/>
          </w:tcPr>
          <w:p>
            <w:pPr>
              <w:widowControl/>
              <w:jc w:val="center"/>
              <w:textAlignment w:val="center"/>
              <w:rPr>
                <w:rFonts w:cs="Times New Roman"/>
                <w:color w:val="000000"/>
                <w:szCs w:val="21"/>
              </w:rPr>
            </w:pPr>
            <w:r>
              <w:rPr>
                <w:rFonts w:cs="Times New Roman"/>
                <w:color w:val="000000"/>
                <w:kern w:val="0"/>
                <w:szCs w:val="21"/>
                <w:lang w:bidi="ar"/>
              </w:rPr>
              <w:t>4</w:t>
            </w:r>
          </w:p>
        </w:tc>
        <w:tc>
          <w:tcPr>
            <w:tcW w:w="2289" w:type="dxa"/>
            <w:noWrap/>
            <w:vAlign w:val="center"/>
          </w:tcPr>
          <w:p>
            <w:pPr>
              <w:widowControl/>
              <w:jc w:val="center"/>
              <w:textAlignment w:val="center"/>
              <w:rPr>
                <w:rFonts w:cs="Times New Roman"/>
                <w:color w:val="000000"/>
                <w:szCs w:val="21"/>
              </w:rPr>
            </w:pPr>
            <w:r>
              <w:rPr>
                <w:rFonts w:cs="Times New Roman"/>
                <w:color w:val="000000"/>
                <w:kern w:val="0"/>
                <w:szCs w:val="21"/>
                <w:lang w:bidi="ar"/>
              </w:rPr>
              <w:t>草地</w:t>
            </w:r>
          </w:p>
        </w:tc>
        <w:tc>
          <w:tcPr>
            <w:tcW w:w="692"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978" w:type="dxa"/>
            <w:noWrap/>
            <w:vAlign w:val="center"/>
          </w:tcPr>
          <w:p>
            <w:pPr>
              <w:widowControl/>
              <w:jc w:val="center"/>
              <w:textAlignment w:val="center"/>
              <w:rPr>
                <w:rFonts w:cs="Times New Roman"/>
                <w:color w:val="000000"/>
                <w:szCs w:val="21"/>
              </w:rPr>
            </w:pPr>
            <w:r>
              <w:rPr>
                <w:rFonts w:cs="Times New Roman"/>
                <w:color w:val="000000"/>
                <w:kern w:val="0"/>
                <w:szCs w:val="21"/>
                <w:lang w:bidi="ar"/>
              </w:rPr>
              <w:t>21.35</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21.33</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0.02 </w:t>
            </w:r>
          </w:p>
        </w:tc>
        <w:tc>
          <w:tcPr>
            <w:tcW w:w="2060" w:type="dxa"/>
            <w:noWrap/>
            <w:vAlign w:val="center"/>
          </w:tcPr>
          <w:p>
            <w:pPr>
              <w:widowControl/>
              <w:jc w:val="center"/>
              <w:textAlignment w:val="center"/>
              <w:rPr>
                <w:rFonts w:cs="Times New Roman"/>
                <w:color w:val="000000"/>
                <w:szCs w:val="21"/>
              </w:rPr>
            </w:pPr>
            <w:r>
              <w:rPr>
                <w:rFonts w:cs="Times New Roman"/>
                <w:color w:val="000000"/>
                <w:kern w:val="0"/>
                <w:szCs w:val="21"/>
                <w:lang w:bidi="ar"/>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ign w:val="center"/>
          </w:tcPr>
          <w:p>
            <w:pPr>
              <w:widowControl/>
              <w:jc w:val="center"/>
              <w:textAlignment w:val="center"/>
              <w:rPr>
                <w:rFonts w:cs="Times New Roman"/>
                <w:color w:val="000000"/>
                <w:szCs w:val="21"/>
              </w:rPr>
            </w:pPr>
            <w:r>
              <w:rPr>
                <w:rFonts w:cs="Times New Roman"/>
                <w:color w:val="000000"/>
                <w:kern w:val="0"/>
                <w:szCs w:val="21"/>
                <w:lang w:bidi="ar"/>
              </w:rPr>
              <w:t>5</w:t>
            </w:r>
          </w:p>
        </w:tc>
        <w:tc>
          <w:tcPr>
            <w:tcW w:w="2289" w:type="dxa"/>
            <w:noWrap/>
            <w:vAlign w:val="center"/>
          </w:tcPr>
          <w:p>
            <w:pPr>
              <w:widowControl/>
              <w:jc w:val="center"/>
              <w:textAlignment w:val="center"/>
              <w:rPr>
                <w:rFonts w:cs="Times New Roman"/>
                <w:color w:val="000000"/>
                <w:szCs w:val="21"/>
              </w:rPr>
            </w:pPr>
            <w:r>
              <w:rPr>
                <w:rFonts w:cs="Times New Roman"/>
                <w:color w:val="000000"/>
                <w:kern w:val="0"/>
                <w:szCs w:val="21"/>
                <w:lang w:bidi="ar"/>
              </w:rPr>
              <w:t>住宅用地</w:t>
            </w:r>
          </w:p>
        </w:tc>
        <w:tc>
          <w:tcPr>
            <w:tcW w:w="692"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978" w:type="dxa"/>
            <w:noWrap/>
            <w:vAlign w:val="center"/>
          </w:tcPr>
          <w:p>
            <w:pPr>
              <w:widowControl/>
              <w:jc w:val="center"/>
              <w:textAlignment w:val="center"/>
              <w:rPr>
                <w:rFonts w:cs="Times New Roman"/>
                <w:color w:val="000000"/>
                <w:szCs w:val="21"/>
              </w:rPr>
            </w:pPr>
            <w:r>
              <w:rPr>
                <w:rFonts w:cs="Times New Roman"/>
                <w:color w:val="000000"/>
                <w:kern w:val="0"/>
                <w:szCs w:val="21"/>
                <w:lang w:bidi="ar"/>
              </w:rPr>
              <w:t>2.48</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2.48</w:t>
            </w:r>
          </w:p>
        </w:tc>
        <w:tc>
          <w:tcPr>
            <w:tcW w:w="1147" w:type="dxa"/>
            <w:noWrap/>
            <w:vAlign w:val="center"/>
          </w:tcPr>
          <w:p>
            <w:pPr>
              <w:jc w:val="center"/>
              <w:rPr>
                <w:rFonts w:cs="Times New Roman"/>
                <w:color w:val="000000"/>
                <w:szCs w:val="21"/>
              </w:rPr>
            </w:pPr>
          </w:p>
        </w:tc>
        <w:tc>
          <w:tcPr>
            <w:tcW w:w="2060" w:type="dxa"/>
            <w:noWrap/>
            <w:vAlign w:val="center"/>
          </w:tcPr>
          <w:p>
            <w:pPr>
              <w:widowControl/>
              <w:jc w:val="center"/>
              <w:textAlignment w:val="center"/>
              <w:rPr>
                <w:rFonts w:cs="Times New Roman"/>
                <w:color w:val="000000"/>
                <w:szCs w:val="21"/>
              </w:rPr>
            </w:pPr>
            <w:r>
              <w:rPr>
                <w:rFonts w:cs="Times New Roman"/>
                <w:color w:val="000000"/>
                <w:kern w:val="0"/>
                <w:szCs w:val="21"/>
                <w:lang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noWrap/>
            <w:vAlign w:val="center"/>
          </w:tcPr>
          <w:p>
            <w:pPr>
              <w:widowControl/>
              <w:jc w:val="center"/>
              <w:textAlignment w:val="center"/>
              <w:rPr>
                <w:rFonts w:cs="Times New Roman"/>
                <w:color w:val="000000"/>
                <w:szCs w:val="21"/>
              </w:rPr>
            </w:pPr>
            <w:r>
              <w:rPr>
                <w:rFonts w:cs="Times New Roman"/>
                <w:color w:val="000000"/>
                <w:kern w:val="0"/>
                <w:szCs w:val="21"/>
                <w:lang w:bidi="ar"/>
              </w:rPr>
              <w:t>6</w:t>
            </w:r>
          </w:p>
        </w:tc>
        <w:tc>
          <w:tcPr>
            <w:tcW w:w="2289"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交通运输用地</w:t>
            </w:r>
          </w:p>
        </w:tc>
        <w:tc>
          <w:tcPr>
            <w:tcW w:w="692" w:type="dxa"/>
            <w:noWrap/>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978" w:type="dxa"/>
            <w:noWrap/>
            <w:vAlign w:val="center"/>
          </w:tcPr>
          <w:p>
            <w:pPr>
              <w:widowControl/>
              <w:jc w:val="center"/>
              <w:textAlignment w:val="center"/>
              <w:rPr>
                <w:rFonts w:cs="Times New Roman"/>
                <w:color w:val="000000"/>
                <w:szCs w:val="21"/>
              </w:rPr>
            </w:pPr>
            <w:r>
              <w:rPr>
                <w:rFonts w:cs="Times New Roman"/>
                <w:color w:val="000000"/>
                <w:kern w:val="0"/>
                <w:szCs w:val="21"/>
                <w:lang w:bidi="ar"/>
              </w:rPr>
              <w:t>61.43</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51.22</w:t>
            </w:r>
          </w:p>
        </w:tc>
        <w:tc>
          <w:tcPr>
            <w:tcW w:w="1147" w:type="dxa"/>
            <w:noWrap/>
            <w:vAlign w:val="center"/>
          </w:tcPr>
          <w:p>
            <w:pPr>
              <w:widowControl/>
              <w:jc w:val="center"/>
              <w:textAlignment w:val="center"/>
              <w:rPr>
                <w:rFonts w:cs="Times New Roman"/>
                <w:color w:val="000000"/>
                <w:szCs w:val="21"/>
              </w:rPr>
            </w:pPr>
            <w:r>
              <w:rPr>
                <w:rFonts w:cs="Times New Roman"/>
                <w:color w:val="000000"/>
                <w:kern w:val="0"/>
                <w:szCs w:val="21"/>
                <w:lang w:bidi="ar"/>
              </w:rPr>
              <w:t xml:space="preserve">10.22 </w:t>
            </w:r>
          </w:p>
        </w:tc>
        <w:tc>
          <w:tcPr>
            <w:tcW w:w="2060" w:type="dxa"/>
            <w:noWrap/>
            <w:vAlign w:val="center"/>
          </w:tcPr>
          <w:p>
            <w:pPr>
              <w:widowControl/>
              <w:jc w:val="center"/>
              <w:textAlignment w:val="center"/>
              <w:rPr>
                <w:rFonts w:cs="Times New Roman"/>
                <w:color w:val="000000"/>
                <w:szCs w:val="21"/>
              </w:rPr>
            </w:pPr>
            <w:r>
              <w:rPr>
                <w:rFonts w:cs="Times New Roman"/>
                <w:color w:val="000000"/>
                <w:kern w:val="0"/>
                <w:szCs w:val="21"/>
                <w:lang w:bidi="ar"/>
              </w:rPr>
              <w:t>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1"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7</w:t>
            </w:r>
          </w:p>
        </w:tc>
        <w:tc>
          <w:tcPr>
            <w:tcW w:w="2289"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水域及水利设施用地</w:t>
            </w:r>
          </w:p>
        </w:tc>
        <w:tc>
          <w:tcPr>
            <w:tcW w:w="692"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亩</w:t>
            </w:r>
          </w:p>
        </w:tc>
        <w:tc>
          <w:tcPr>
            <w:tcW w:w="978"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147.84</w:t>
            </w:r>
          </w:p>
        </w:tc>
        <w:tc>
          <w:tcPr>
            <w:tcW w:w="1147"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147.84</w:t>
            </w:r>
          </w:p>
        </w:tc>
        <w:tc>
          <w:tcPr>
            <w:tcW w:w="1147" w:type="dxa"/>
            <w:tcBorders>
              <w:bottom w:val="single" w:color="auto" w:sz="12" w:space="0"/>
            </w:tcBorders>
            <w:noWrap/>
            <w:vAlign w:val="center"/>
          </w:tcPr>
          <w:p>
            <w:pPr>
              <w:jc w:val="center"/>
              <w:rPr>
                <w:rFonts w:cs="Times New Roman"/>
                <w:color w:val="000000"/>
                <w:szCs w:val="21"/>
              </w:rPr>
            </w:pPr>
          </w:p>
        </w:tc>
        <w:tc>
          <w:tcPr>
            <w:tcW w:w="2060" w:type="dxa"/>
            <w:tcBorders>
              <w:bottom w:val="single" w:color="auto" w:sz="12" w:space="0"/>
            </w:tcBorders>
            <w:noWrap/>
            <w:vAlign w:val="center"/>
          </w:tcPr>
          <w:p>
            <w:pPr>
              <w:widowControl/>
              <w:jc w:val="center"/>
              <w:textAlignment w:val="center"/>
              <w:rPr>
                <w:rFonts w:cs="Times New Roman"/>
                <w:color w:val="000000"/>
                <w:szCs w:val="21"/>
              </w:rPr>
            </w:pPr>
            <w:r>
              <w:rPr>
                <w:rFonts w:cs="Times New Roman"/>
                <w:color w:val="000000"/>
                <w:kern w:val="0"/>
                <w:szCs w:val="21"/>
                <w:lang w:bidi="ar"/>
              </w:rPr>
              <w:t>3.09%</w:t>
            </w:r>
          </w:p>
        </w:tc>
      </w:tr>
    </w:tbl>
    <w:p>
      <w:pPr>
        <w:overflowPunct w:val="0"/>
        <w:autoSpaceDE w:val="0"/>
        <w:autoSpaceDN w:val="0"/>
        <w:snapToGrid w:val="0"/>
        <w:spacing w:line="360" w:lineRule="auto"/>
        <w:ind w:firstLine="420"/>
        <w:rPr>
          <w:color w:val="000000"/>
          <w:sz w:val="24"/>
          <w:szCs w:val="24"/>
        </w:rPr>
        <w:sectPr>
          <w:footerReference r:id="rId41" w:type="default"/>
          <w:pgSz w:w="11906" w:h="16838"/>
          <w:pgMar w:top="1588" w:right="1559" w:bottom="1531" w:left="1559" w:header="1134" w:footer="1247" w:gutter="0"/>
          <w:cols w:space="720" w:num="1"/>
          <w:docGrid w:linePitch="312" w:charSpace="0"/>
        </w:sectPr>
      </w:pPr>
    </w:p>
    <w:p>
      <w:pPr>
        <w:pStyle w:val="1146"/>
      </w:pPr>
      <w:r>
        <w:rPr>
          <w:rFonts w:hint="eastAsia"/>
        </w:rPr>
        <w:t xml:space="preserve">表9.2.1-2  </w:t>
      </w:r>
      <w:r>
        <w:t>建设征地涉及土地各地类面积平衡表</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3"/>
        <w:gridCol w:w="1112"/>
        <w:gridCol w:w="784"/>
        <w:gridCol w:w="784"/>
        <w:gridCol w:w="784"/>
        <w:gridCol w:w="784"/>
        <w:gridCol w:w="784"/>
        <w:gridCol w:w="784"/>
        <w:gridCol w:w="784"/>
        <w:gridCol w:w="784"/>
        <w:gridCol w:w="789"/>
        <w:gridCol w:w="784"/>
        <w:gridCol w:w="784"/>
        <w:gridCol w:w="784"/>
        <w:gridCol w:w="784"/>
        <w:gridCol w:w="784"/>
        <w:gridCol w:w="7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Merge w:val="restart"/>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序号</w:t>
            </w:r>
          </w:p>
        </w:tc>
        <w:tc>
          <w:tcPr>
            <w:tcW w:w="1112" w:type="dxa"/>
            <w:vMerge w:val="restart"/>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项目</w:t>
            </w:r>
          </w:p>
        </w:tc>
        <w:tc>
          <w:tcPr>
            <w:tcW w:w="784" w:type="dxa"/>
            <w:vMerge w:val="restart"/>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单位</w:t>
            </w:r>
          </w:p>
        </w:tc>
        <w:tc>
          <w:tcPr>
            <w:tcW w:w="1568" w:type="dxa"/>
            <w:gridSpan w:val="2"/>
            <w:vMerge w:val="restart"/>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合计</w:t>
            </w:r>
          </w:p>
        </w:tc>
        <w:tc>
          <w:tcPr>
            <w:tcW w:w="4709" w:type="dxa"/>
            <w:gridSpan w:val="6"/>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枢纽工程建设区</w:t>
            </w:r>
          </w:p>
        </w:tc>
        <w:tc>
          <w:tcPr>
            <w:tcW w:w="4701" w:type="dxa"/>
            <w:gridSpan w:val="6"/>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Merge w:val="continue"/>
            <w:noWrap w:val="0"/>
            <w:vAlign w:val="center"/>
          </w:tcPr>
          <w:p>
            <w:pPr>
              <w:ind w:left="-105" w:leftChars="-50" w:right="-105" w:rightChars="-50"/>
              <w:jc w:val="center"/>
              <w:rPr>
                <w:rFonts w:cs="Times New Roman"/>
                <w:color w:val="000000"/>
                <w:szCs w:val="21"/>
              </w:rPr>
            </w:pPr>
          </w:p>
        </w:tc>
        <w:tc>
          <w:tcPr>
            <w:tcW w:w="1112" w:type="dxa"/>
            <w:vMerge w:val="continue"/>
            <w:noWrap w:val="0"/>
            <w:vAlign w:val="center"/>
          </w:tcPr>
          <w:p>
            <w:pPr>
              <w:ind w:left="-105" w:leftChars="-50" w:right="-105" w:rightChars="-50"/>
              <w:jc w:val="center"/>
              <w:rPr>
                <w:rFonts w:cs="Times New Roman"/>
                <w:color w:val="000000"/>
                <w:szCs w:val="21"/>
              </w:rPr>
            </w:pPr>
          </w:p>
        </w:tc>
        <w:tc>
          <w:tcPr>
            <w:tcW w:w="784" w:type="dxa"/>
            <w:vMerge w:val="continue"/>
            <w:noWrap w:val="0"/>
            <w:vAlign w:val="center"/>
          </w:tcPr>
          <w:p>
            <w:pPr>
              <w:ind w:left="-105" w:leftChars="-50" w:right="-105" w:rightChars="-50"/>
              <w:jc w:val="center"/>
              <w:rPr>
                <w:rFonts w:cs="Times New Roman"/>
                <w:color w:val="000000"/>
                <w:szCs w:val="21"/>
              </w:rPr>
            </w:pPr>
          </w:p>
        </w:tc>
        <w:tc>
          <w:tcPr>
            <w:tcW w:w="1568" w:type="dxa"/>
            <w:gridSpan w:val="2"/>
            <w:vMerge w:val="continue"/>
            <w:noWrap w:val="0"/>
            <w:vAlign w:val="center"/>
          </w:tcPr>
          <w:p>
            <w:pPr>
              <w:ind w:left="-105" w:leftChars="-50" w:right="-105" w:rightChars="-50"/>
              <w:jc w:val="center"/>
              <w:rPr>
                <w:rFonts w:cs="Times New Roman"/>
                <w:color w:val="000000"/>
                <w:szCs w:val="21"/>
              </w:rPr>
            </w:pPr>
          </w:p>
        </w:tc>
        <w:tc>
          <w:tcPr>
            <w:tcW w:w="1568"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小计</w:t>
            </w:r>
          </w:p>
        </w:tc>
        <w:tc>
          <w:tcPr>
            <w:tcW w:w="1568"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永久占地区</w:t>
            </w:r>
          </w:p>
        </w:tc>
        <w:tc>
          <w:tcPr>
            <w:tcW w:w="1573"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临时用地区</w:t>
            </w:r>
          </w:p>
        </w:tc>
        <w:tc>
          <w:tcPr>
            <w:tcW w:w="1568"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小计</w:t>
            </w:r>
          </w:p>
        </w:tc>
        <w:tc>
          <w:tcPr>
            <w:tcW w:w="1568"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上水库淹没区</w:t>
            </w:r>
          </w:p>
        </w:tc>
        <w:tc>
          <w:tcPr>
            <w:tcW w:w="1565"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下水库淹没区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Merge w:val="continue"/>
            <w:noWrap w:val="0"/>
            <w:vAlign w:val="center"/>
          </w:tcPr>
          <w:p>
            <w:pPr>
              <w:ind w:left="-105" w:leftChars="-50" w:right="-105" w:rightChars="-50"/>
              <w:jc w:val="center"/>
              <w:rPr>
                <w:rFonts w:cs="Times New Roman"/>
                <w:color w:val="000000"/>
                <w:szCs w:val="21"/>
              </w:rPr>
            </w:pPr>
          </w:p>
        </w:tc>
        <w:tc>
          <w:tcPr>
            <w:tcW w:w="1112" w:type="dxa"/>
            <w:vMerge w:val="continue"/>
            <w:noWrap w:val="0"/>
            <w:vAlign w:val="center"/>
          </w:tcPr>
          <w:p>
            <w:pPr>
              <w:ind w:left="-105" w:leftChars="-50" w:right="-105" w:rightChars="-50"/>
              <w:jc w:val="center"/>
              <w:rPr>
                <w:rFonts w:cs="Times New Roman"/>
                <w:color w:val="000000"/>
                <w:szCs w:val="21"/>
              </w:rPr>
            </w:pPr>
          </w:p>
        </w:tc>
        <w:tc>
          <w:tcPr>
            <w:tcW w:w="784" w:type="dxa"/>
            <w:vMerge w:val="continue"/>
            <w:noWrap w:val="0"/>
            <w:vAlign w:val="center"/>
          </w:tcPr>
          <w:p>
            <w:pPr>
              <w:ind w:left="-105" w:leftChars="-50" w:right="-105" w:rightChars="-50"/>
              <w:jc w:val="center"/>
              <w:rPr>
                <w:rFonts w:cs="Times New Roman"/>
                <w:color w:val="000000"/>
                <w:szCs w:val="21"/>
              </w:rPr>
            </w:pP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9"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1"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一</w:t>
            </w: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土地面积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4791.33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3412.43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2450.60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961.83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1378.90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872.79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506.11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陆地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4643.49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96.91%</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3402.96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99.72%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2441.13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99.61%</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961.83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1240.53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89.97%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765.92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87.76%</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474.61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93.78%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水域</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147.84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3.09%</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0.28%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0.39%</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138.37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10.03%</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106.87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12.24%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31.50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1</w:t>
            </w: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耕地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516.19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10.77%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222.47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6.52%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206.92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8.44%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15.55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1.62%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293.71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21.30%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151.28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17.33%</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142.43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28.14%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水田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365.28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7.62%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168.40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4.93%</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152.86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6.24%</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xml:space="preserve">15.54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1.62%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196.88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14.28%</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xml:space="preserve">79.09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9.06%</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117.79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23.27%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旱地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150.90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3.15%</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54.08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1.58%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54.06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2.21%</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0.02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96.83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7.02%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72.19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8.27%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24.64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4.87%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2</w:t>
            </w: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园地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27.67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0.58%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19.66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0.58%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15.98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0.65%</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3.68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0.38%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8.01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0.58%</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8.01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果园</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19.95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0.42%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18.57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0.54%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14.89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0.61%</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3.68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0.38%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1.39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0.10%</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1.39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茶园</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7.72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0.16%</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1.09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0.03%</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1.09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0.04%</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6.62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0.48%</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6.62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3</w:t>
            </w: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林地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4014.36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83.78%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3128.27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91.67%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2195.91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89.61%</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932.36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96.94%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886.09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64.26%</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579.60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66.41%</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306.49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60.56%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有林地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3980.31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83.07%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3124.90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91.57%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2192.54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89.47%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932.36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96.94%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855.41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62.04%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549.25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62.93%</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306.16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60.49%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灌木林地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34.05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0.71%</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3.37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0.10%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3.37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0.14%</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30.68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2.22%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30.35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3.48%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0.33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4</w:t>
            </w: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草地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21.35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0.45%</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2.28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2.26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0.09%</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0.02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19.08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1.38%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14.75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1.69%</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4.33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其他草地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21.35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0.45%</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2.28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2.26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0.09%</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0.02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0.00%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19.08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1.38%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14.75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1.69%</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4.33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0.85%</w:t>
            </w:r>
          </w:p>
        </w:tc>
      </w:tr>
    </w:tbl>
    <w:p>
      <w:pPr>
        <w:pStyle w:val="1146"/>
      </w:pPr>
      <w:r>
        <w:rPr>
          <w:rFonts w:hint="eastAsia"/>
        </w:rPr>
        <w:t>表9.2.1-2(续)</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3"/>
        <w:gridCol w:w="1112"/>
        <w:gridCol w:w="784"/>
        <w:gridCol w:w="784"/>
        <w:gridCol w:w="784"/>
        <w:gridCol w:w="784"/>
        <w:gridCol w:w="784"/>
        <w:gridCol w:w="784"/>
        <w:gridCol w:w="784"/>
        <w:gridCol w:w="784"/>
        <w:gridCol w:w="789"/>
        <w:gridCol w:w="784"/>
        <w:gridCol w:w="784"/>
        <w:gridCol w:w="784"/>
        <w:gridCol w:w="784"/>
        <w:gridCol w:w="784"/>
        <w:gridCol w:w="7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Merge w:val="restart"/>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序号</w:t>
            </w:r>
          </w:p>
        </w:tc>
        <w:tc>
          <w:tcPr>
            <w:tcW w:w="1112" w:type="dxa"/>
            <w:vMerge w:val="restart"/>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项目</w:t>
            </w:r>
          </w:p>
        </w:tc>
        <w:tc>
          <w:tcPr>
            <w:tcW w:w="784" w:type="dxa"/>
            <w:vMerge w:val="restart"/>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单位</w:t>
            </w:r>
          </w:p>
        </w:tc>
        <w:tc>
          <w:tcPr>
            <w:tcW w:w="1568" w:type="dxa"/>
            <w:gridSpan w:val="2"/>
            <w:vMerge w:val="restart"/>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合计</w:t>
            </w:r>
          </w:p>
        </w:tc>
        <w:tc>
          <w:tcPr>
            <w:tcW w:w="4709" w:type="dxa"/>
            <w:gridSpan w:val="6"/>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枢纽工程建设区</w:t>
            </w:r>
          </w:p>
        </w:tc>
        <w:tc>
          <w:tcPr>
            <w:tcW w:w="4701" w:type="dxa"/>
            <w:gridSpan w:val="6"/>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Merge w:val="continue"/>
            <w:noWrap w:val="0"/>
            <w:vAlign w:val="center"/>
          </w:tcPr>
          <w:p>
            <w:pPr>
              <w:ind w:left="-105" w:leftChars="-50" w:right="-105" w:rightChars="-50"/>
              <w:jc w:val="center"/>
              <w:rPr>
                <w:rFonts w:cs="Times New Roman"/>
                <w:color w:val="000000"/>
                <w:szCs w:val="21"/>
              </w:rPr>
            </w:pPr>
          </w:p>
        </w:tc>
        <w:tc>
          <w:tcPr>
            <w:tcW w:w="1112" w:type="dxa"/>
            <w:vMerge w:val="continue"/>
            <w:noWrap w:val="0"/>
            <w:vAlign w:val="center"/>
          </w:tcPr>
          <w:p>
            <w:pPr>
              <w:ind w:left="-105" w:leftChars="-50" w:right="-105" w:rightChars="-50"/>
              <w:jc w:val="center"/>
              <w:rPr>
                <w:rFonts w:cs="Times New Roman"/>
                <w:color w:val="000000"/>
                <w:szCs w:val="21"/>
              </w:rPr>
            </w:pPr>
          </w:p>
        </w:tc>
        <w:tc>
          <w:tcPr>
            <w:tcW w:w="784" w:type="dxa"/>
            <w:vMerge w:val="continue"/>
            <w:noWrap w:val="0"/>
            <w:vAlign w:val="center"/>
          </w:tcPr>
          <w:p>
            <w:pPr>
              <w:ind w:left="-105" w:leftChars="-50" w:right="-105" w:rightChars="-50"/>
              <w:jc w:val="center"/>
              <w:rPr>
                <w:rFonts w:cs="Times New Roman"/>
                <w:color w:val="000000"/>
                <w:szCs w:val="21"/>
              </w:rPr>
            </w:pPr>
          </w:p>
        </w:tc>
        <w:tc>
          <w:tcPr>
            <w:tcW w:w="1568" w:type="dxa"/>
            <w:gridSpan w:val="2"/>
            <w:vMerge w:val="continue"/>
            <w:noWrap w:val="0"/>
            <w:vAlign w:val="center"/>
          </w:tcPr>
          <w:p>
            <w:pPr>
              <w:ind w:left="-105" w:leftChars="-50" w:right="-105" w:rightChars="-50"/>
              <w:jc w:val="center"/>
              <w:rPr>
                <w:rFonts w:cs="Times New Roman"/>
                <w:color w:val="000000"/>
                <w:szCs w:val="21"/>
              </w:rPr>
            </w:pPr>
          </w:p>
        </w:tc>
        <w:tc>
          <w:tcPr>
            <w:tcW w:w="1568"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小计</w:t>
            </w:r>
          </w:p>
        </w:tc>
        <w:tc>
          <w:tcPr>
            <w:tcW w:w="1568"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永久占地区</w:t>
            </w:r>
          </w:p>
        </w:tc>
        <w:tc>
          <w:tcPr>
            <w:tcW w:w="1573"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临时用地区</w:t>
            </w:r>
          </w:p>
        </w:tc>
        <w:tc>
          <w:tcPr>
            <w:tcW w:w="1568"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小计</w:t>
            </w:r>
          </w:p>
        </w:tc>
        <w:tc>
          <w:tcPr>
            <w:tcW w:w="1568"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上水库淹没区</w:t>
            </w:r>
          </w:p>
        </w:tc>
        <w:tc>
          <w:tcPr>
            <w:tcW w:w="1565" w:type="dxa"/>
            <w:gridSpan w:val="2"/>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下水库淹没区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Merge w:val="continue"/>
            <w:noWrap w:val="0"/>
            <w:vAlign w:val="center"/>
          </w:tcPr>
          <w:p>
            <w:pPr>
              <w:ind w:left="-105" w:leftChars="-50" w:right="-105" w:rightChars="-50"/>
              <w:jc w:val="center"/>
              <w:rPr>
                <w:rFonts w:cs="Times New Roman"/>
                <w:color w:val="000000"/>
                <w:szCs w:val="21"/>
              </w:rPr>
            </w:pPr>
          </w:p>
        </w:tc>
        <w:tc>
          <w:tcPr>
            <w:tcW w:w="1112" w:type="dxa"/>
            <w:vMerge w:val="continue"/>
            <w:noWrap w:val="0"/>
            <w:vAlign w:val="center"/>
          </w:tcPr>
          <w:p>
            <w:pPr>
              <w:ind w:left="-105" w:leftChars="-50" w:right="-105" w:rightChars="-50"/>
              <w:jc w:val="center"/>
              <w:rPr>
                <w:rFonts w:cs="Times New Roman"/>
                <w:color w:val="000000"/>
                <w:szCs w:val="21"/>
              </w:rPr>
            </w:pPr>
          </w:p>
        </w:tc>
        <w:tc>
          <w:tcPr>
            <w:tcW w:w="784" w:type="dxa"/>
            <w:vMerge w:val="continue"/>
            <w:noWrap w:val="0"/>
            <w:vAlign w:val="center"/>
          </w:tcPr>
          <w:p>
            <w:pPr>
              <w:ind w:left="-105" w:leftChars="-50" w:right="-105" w:rightChars="-50"/>
              <w:jc w:val="center"/>
              <w:rPr>
                <w:rFonts w:cs="Times New Roman"/>
                <w:color w:val="000000"/>
                <w:szCs w:val="21"/>
              </w:rPr>
            </w:pP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9"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面积</w:t>
            </w:r>
          </w:p>
        </w:tc>
        <w:tc>
          <w:tcPr>
            <w:tcW w:w="781"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5</w:t>
            </w: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住宅用地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2.48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0.05%</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0.60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0.60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0.02%</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1.88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0.14%</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1.88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农村宅基地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2.48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0.05%</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0.60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0.60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0.02%</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1.88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0.14%</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1.88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6</w:t>
            </w:r>
          </w:p>
        </w:tc>
        <w:tc>
          <w:tcPr>
            <w:tcW w:w="1112" w:type="dxa"/>
            <w:noWrap w:val="0"/>
            <w:vAlign w:val="center"/>
          </w:tcPr>
          <w:p>
            <w:pPr>
              <w:widowControl/>
              <w:ind w:left="-105" w:leftChars="-50" w:right="-105" w:rightChars="-50"/>
              <w:jc w:val="center"/>
              <w:textAlignment w:val="center"/>
              <w:rPr>
                <w:rFonts w:hint="eastAsia" w:cs="Times New Roman"/>
                <w:color w:val="000000"/>
                <w:kern w:val="0"/>
                <w:szCs w:val="21"/>
                <w:lang w:bidi="ar"/>
              </w:rPr>
            </w:pPr>
            <w:r>
              <w:rPr>
                <w:rFonts w:cs="Times New Roman"/>
                <w:color w:val="000000"/>
                <w:kern w:val="0"/>
                <w:szCs w:val="21"/>
                <w:lang w:bidi="ar"/>
              </w:rPr>
              <w:t>交通运输</w:t>
            </w:r>
          </w:p>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用地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61.43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1.28%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29.67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0.87%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19.46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0.79%</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10.22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1.06%</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31.76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2.30%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20.29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2.32%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11.47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公路用地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10.45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0.22%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4.75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0.14%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4.75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0.19%</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5.70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0.41%</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5.70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农村道路</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50.98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1.06%</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24.92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0.73%</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14.71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0.60%</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10.22 </w:t>
            </w:r>
          </w:p>
        </w:tc>
        <w:tc>
          <w:tcPr>
            <w:tcW w:w="789"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1.06%</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26.06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1.89%</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20.29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2.32%</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5.77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7</w:t>
            </w: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水域及水利设施用地</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147.84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3.09%</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0.28%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0.39%</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138.37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10.03%</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106.87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12.24%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31.50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6.22%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河流水面</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32.14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0.67%</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0.28%</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9.47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0.39%</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22.67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1.64%</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22.67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4.48%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noWrap w:val="0"/>
            <w:vAlign w:val="center"/>
          </w:tcPr>
          <w:p>
            <w:pPr>
              <w:ind w:left="-105" w:leftChars="-50" w:right="-105" w:rightChars="-50"/>
              <w:jc w:val="center"/>
              <w:rPr>
                <w:rFonts w:cs="Times New Roman"/>
                <w:color w:val="000000"/>
                <w:szCs w:val="21"/>
              </w:rPr>
            </w:pPr>
          </w:p>
        </w:tc>
        <w:tc>
          <w:tcPr>
            <w:tcW w:w="1112"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水库水面</w:t>
            </w:r>
          </w:p>
        </w:tc>
        <w:tc>
          <w:tcPr>
            <w:tcW w:w="784" w:type="dxa"/>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99.79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2.08%</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99.79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7.24%</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99.79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11.43%</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1" w:type="dxa"/>
            <w:tcBorders>
              <w:top w:val="nil"/>
              <w:left w:val="nil"/>
              <w:bottom w:val="single" w:color="000000" w:sz="8" w:space="0"/>
              <w:right w:val="single" w:color="000000" w:sz="8" w:space="0"/>
            </w:tcBorders>
            <w:noWrap/>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tcBorders>
              <w:bottom w:val="single" w:color="auto" w:sz="12" w:space="0"/>
            </w:tcBorders>
            <w:noWrap/>
            <w:vAlign w:val="bottom"/>
          </w:tcPr>
          <w:p>
            <w:pPr>
              <w:ind w:left="-105" w:leftChars="-50" w:right="-105" w:rightChars="-50"/>
              <w:rPr>
                <w:rFonts w:cs="Times New Roman"/>
                <w:color w:val="000000"/>
                <w:szCs w:val="21"/>
              </w:rPr>
            </w:pPr>
          </w:p>
        </w:tc>
        <w:tc>
          <w:tcPr>
            <w:tcW w:w="1112" w:type="dxa"/>
            <w:tcBorders>
              <w:bottom w:val="single" w:color="auto" w:sz="12" w:space="0"/>
            </w:tcBorders>
            <w:noWrap w:val="0"/>
            <w:vAlign w:val="center"/>
          </w:tcPr>
          <w:p>
            <w:pPr>
              <w:widowControl/>
              <w:ind w:left="-105" w:leftChars="-50" w:right="-105" w:rightChars="-50"/>
              <w:jc w:val="center"/>
              <w:textAlignment w:val="center"/>
              <w:rPr>
                <w:rFonts w:hint="eastAsia" w:cs="Times New Roman"/>
                <w:color w:val="000000"/>
                <w:kern w:val="0"/>
                <w:szCs w:val="21"/>
                <w:lang w:bidi="ar"/>
              </w:rPr>
            </w:pPr>
            <w:r>
              <w:rPr>
                <w:rFonts w:cs="Times New Roman"/>
                <w:color w:val="000000"/>
                <w:kern w:val="0"/>
                <w:szCs w:val="21"/>
                <w:lang w:bidi="ar"/>
              </w:rPr>
              <w:t>水工建筑</w:t>
            </w:r>
          </w:p>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用地</w:t>
            </w:r>
          </w:p>
        </w:tc>
        <w:tc>
          <w:tcPr>
            <w:tcW w:w="784" w:type="dxa"/>
            <w:tcBorders>
              <w:bottom w:val="single" w:color="auto" w:sz="12" w:space="0"/>
            </w:tcBorders>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15.91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0.33%</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9" w:type="dxa"/>
            <w:tcBorders>
              <w:top w:val="nil"/>
              <w:left w:val="nil"/>
              <w:bottom w:val="single" w:color="000000" w:sz="8" w:space="0"/>
              <w:right w:val="single" w:color="000000" w:sz="8" w:space="0"/>
            </w:tcBorders>
            <w:noWrap w:val="0"/>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15.91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1.15%</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7.08 </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0.81%</w:t>
            </w:r>
          </w:p>
        </w:tc>
        <w:tc>
          <w:tcPr>
            <w:tcW w:w="784" w:type="dxa"/>
            <w:tcBorders>
              <w:top w:val="nil"/>
              <w:left w:val="nil"/>
              <w:bottom w:val="single" w:color="000000" w:sz="8" w:space="0"/>
              <w:right w:val="single" w:color="000000" w:sz="8" w:space="0"/>
            </w:tcBorders>
            <w:noWrap w:val="0"/>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 xml:space="preserve">8.83 </w:t>
            </w:r>
          </w:p>
        </w:tc>
        <w:tc>
          <w:tcPr>
            <w:tcW w:w="781" w:type="dxa"/>
            <w:tcBorders>
              <w:top w:val="nil"/>
              <w:left w:val="nil"/>
              <w:bottom w:val="single" w:color="000000" w:sz="8" w:space="0"/>
              <w:right w:val="single" w:color="000000" w:sz="8" w:space="0"/>
            </w:tcBorders>
            <w:noWrap/>
            <w:vAlign w:val="center"/>
          </w:tcPr>
          <w:p>
            <w:pPr>
              <w:widowControl/>
              <w:ind w:left="-105" w:leftChars="-50" w:right="-105" w:rightChars="-50"/>
              <w:jc w:val="center"/>
              <w:textAlignment w:val="center"/>
              <w:rPr>
                <w:rFonts w:cs="Times New Roman"/>
                <w:color w:val="000000"/>
                <w:kern w:val="0"/>
                <w:szCs w:val="21"/>
                <w:lang w:bidi="ar"/>
              </w:rPr>
            </w:pPr>
            <w:r>
              <w:rPr>
                <w:rFonts w:hint="eastAsia" w:cs="Times New Roman"/>
                <w:color w:val="000000"/>
                <w:kern w:val="0"/>
                <w:szCs w:val="21"/>
                <w:lang w:bidi="ar"/>
              </w:rPr>
              <w:t>1.74%</w:t>
            </w:r>
          </w:p>
        </w:tc>
      </w:tr>
    </w:tbl>
    <w:p>
      <w:pPr>
        <w:rPr>
          <w:color w:val="000000"/>
        </w:rPr>
        <w:sectPr>
          <w:footerReference r:id="rId42" w:type="default"/>
          <w:pgSz w:w="16838" w:h="11906" w:orient="landscape"/>
          <w:pgMar w:top="1588" w:right="1559" w:bottom="1531" w:left="1559" w:header="1134" w:footer="1247" w:gutter="0"/>
          <w:cols w:space="720" w:num="1"/>
          <w:docGrid w:linePitch="312" w:charSpace="0"/>
        </w:sectPr>
      </w:pP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9.2.2  </w:t>
      </w:r>
      <w:r>
        <w:rPr>
          <w:rFonts w:ascii="Times New Roman" w:hAnsi="宋体" w:eastAsia="黑体" w:cs="Times New Roman"/>
          <w:bCs/>
          <w:snapToGrid w:val="0"/>
          <w:color w:val="000000"/>
          <w:kern w:val="0"/>
          <w:sz w:val="24"/>
          <w:szCs w:val="24"/>
          <w:lang w:val="en-US" w:eastAsia="zh-CN" w:bidi="ar-SA"/>
        </w:rPr>
        <w:t>对征地区影响</w:t>
      </w:r>
    </w:p>
    <w:p>
      <w:pPr>
        <w:keepNext/>
        <w:widowControl w:val="0"/>
        <w:overflowPunct w:val="0"/>
        <w:autoSpaceDE w:val="0"/>
        <w:autoSpaceDN w:val="0"/>
        <w:snapToGrid w:val="0"/>
        <w:spacing w:line="500" w:lineRule="exact"/>
        <w:ind w:firstLine="480" w:firstLineChars="200"/>
        <w:jc w:val="both"/>
        <w:rPr>
          <w:rFonts w:ascii="Times New Roman" w:hAnsi="宋体"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陆河抽水蓄能电站建设征地共涉及陆河县新田镇湖坑村、激石溪村、吉溪林场。建设征地永久征收耕地面积500.63亩，其中水田349.75亩、旱地150.89亩。耕地征收面积占该相应村民小组耕地面积的比例平均值为32.62%。生产安置所涉及的3个组中，由于建设征地影响的耕地占原耕地比例在10%以下的有1个组，20%</w:t>
      </w:r>
      <w:r>
        <w:rPr>
          <w:rFonts w:hint="eastAsia" w:ascii="Times New Roman" w:hAnsi="宋体" w:eastAsia="宋体" w:cs="Times New Roman"/>
          <w:color w:val="000000"/>
          <w:kern w:val="2"/>
          <w:sz w:val="24"/>
          <w:szCs w:val="24"/>
          <w:shd w:val="clear" w:color="auto" w:fill="auto"/>
          <w:lang w:val="en-US" w:eastAsia="zh-CN" w:bidi="ar-SA"/>
        </w:rPr>
        <w:t>~</w:t>
      </w:r>
      <w:r>
        <w:rPr>
          <w:rFonts w:ascii="Times New Roman" w:hAnsi="宋体" w:eastAsia="宋体" w:cs="Times New Roman"/>
          <w:color w:val="000000"/>
          <w:kern w:val="2"/>
          <w:sz w:val="24"/>
          <w:szCs w:val="24"/>
          <w:shd w:val="clear" w:color="auto" w:fill="auto"/>
          <w:lang w:val="en-US" w:eastAsia="zh-CN" w:bidi="ar-SA"/>
        </w:rPr>
        <w:t>30%之间的有1个组，60%</w:t>
      </w:r>
      <w:r>
        <w:rPr>
          <w:rFonts w:hint="eastAsia" w:ascii="Times New Roman" w:hAnsi="宋体" w:eastAsia="宋体" w:cs="Times New Roman"/>
          <w:color w:val="000000"/>
          <w:kern w:val="2"/>
          <w:sz w:val="24"/>
          <w:szCs w:val="24"/>
          <w:shd w:val="clear" w:color="auto" w:fill="auto"/>
          <w:lang w:val="en-US" w:eastAsia="zh-CN" w:bidi="ar-SA"/>
        </w:rPr>
        <w:t>~</w:t>
      </w:r>
      <w:r>
        <w:rPr>
          <w:rFonts w:ascii="Times New Roman" w:hAnsi="宋体" w:eastAsia="宋体" w:cs="Times New Roman"/>
          <w:color w:val="000000"/>
          <w:kern w:val="2"/>
          <w:sz w:val="24"/>
          <w:szCs w:val="24"/>
          <w:shd w:val="clear" w:color="auto" w:fill="auto"/>
          <w:lang w:val="en-US" w:eastAsia="zh-CN" w:bidi="ar-SA"/>
        </w:rPr>
        <w:t>70%之间的有1个组。详见表9.2.2-1。</w:t>
      </w:r>
    </w:p>
    <w:p>
      <w:pPr>
        <w:keepNext/>
        <w:widowControl w:val="0"/>
        <w:overflowPunct w:val="0"/>
        <w:autoSpaceDE w:val="0"/>
        <w:autoSpaceDN w:val="0"/>
        <w:snapToGrid w:val="0"/>
        <w:spacing w:line="500" w:lineRule="exact"/>
        <w:ind w:firstLine="480" w:firstLineChars="200"/>
        <w:jc w:val="both"/>
        <w:rPr>
          <w:rFonts w:ascii="Times New Roman" w:hAnsi="宋体"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建设征地对涉及区域及移民的社会经济和农业生产整体影响较小，但是对个别组</w:t>
      </w:r>
      <w:r>
        <w:rPr>
          <w:rFonts w:hint="eastAsia" w:ascii="Times New Roman" w:hAnsi="宋体" w:eastAsia="宋体" w:cs="Times New Roman"/>
          <w:color w:val="000000"/>
          <w:kern w:val="2"/>
          <w:sz w:val="24"/>
          <w:szCs w:val="24"/>
          <w:shd w:val="clear" w:color="auto" w:fill="auto"/>
          <w:lang w:val="en-US" w:eastAsia="zh-CN" w:bidi="ar-SA"/>
        </w:rPr>
        <w:t>(博背组)</w:t>
      </w:r>
      <w:r>
        <w:rPr>
          <w:rFonts w:ascii="Times New Roman" w:hAnsi="宋体" w:eastAsia="宋体" w:cs="Times New Roman"/>
          <w:color w:val="000000"/>
          <w:kern w:val="2"/>
          <w:sz w:val="24"/>
          <w:szCs w:val="24"/>
          <w:shd w:val="clear" w:color="auto" w:fill="auto"/>
          <w:lang w:val="en-US" w:eastAsia="zh-CN" w:bidi="ar-SA"/>
        </w:rPr>
        <w:t>的影响较大。</w:t>
      </w:r>
    </w:p>
    <w:p>
      <w:pPr>
        <w:adjustRightInd w:val="0"/>
        <w:snapToGrid w:val="0"/>
        <w:spacing w:before="120" w:beforeLines="50" w:line="460" w:lineRule="exact"/>
        <w:jc w:val="center"/>
        <w:rPr>
          <w:rFonts w:hint="eastAsia" w:eastAsia="黑体" w:cs="Times New Roman"/>
          <w:color w:val="000000"/>
          <w:sz w:val="24"/>
          <w:szCs w:val="24"/>
        </w:rPr>
      </w:pPr>
      <w:r>
        <w:rPr>
          <w:rFonts w:hint="eastAsia" w:eastAsia="黑体" w:cs="Times New Roman"/>
          <w:color w:val="000000"/>
          <w:sz w:val="24"/>
          <w:szCs w:val="24"/>
        </w:rPr>
        <w:t>表</w:t>
      </w:r>
      <w:r>
        <w:rPr>
          <w:rFonts w:eastAsia="黑体" w:cs="Times New Roman"/>
          <w:color w:val="000000"/>
          <w:sz w:val="24"/>
          <w:szCs w:val="24"/>
        </w:rPr>
        <w:t>9.</w:t>
      </w:r>
      <w:r>
        <w:rPr>
          <w:rFonts w:hint="eastAsia" w:eastAsia="黑体" w:cs="Times New Roman"/>
          <w:color w:val="000000"/>
          <w:sz w:val="24"/>
          <w:szCs w:val="24"/>
        </w:rPr>
        <w:t>2.2</w:t>
      </w:r>
      <w:r>
        <w:rPr>
          <w:rFonts w:eastAsia="黑体" w:cs="Times New Roman"/>
          <w:color w:val="000000"/>
          <w:sz w:val="24"/>
          <w:szCs w:val="24"/>
        </w:rPr>
        <w:t xml:space="preserve">-1  </w:t>
      </w:r>
      <w:r>
        <w:rPr>
          <w:rFonts w:hint="eastAsia" w:eastAsia="黑体" w:cs="Times New Roman"/>
          <w:color w:val="000000"/>
          <w:sz w:val="24"/>
          <w:szCs w:val="24"/>
        </w:rPr>
        <w:t>陆河抽水蓄能电站建设征地各村组征收耕地影响程度表</w:t>
      </w:r>
    </w:p>
    <w:tbl>
      <w:tblPr>
        <w:tblStyle w:val="79"/>
        <w:tblW w:w="88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0"/>
        <w:gridCol w:w="998"/>
        <w:gridCol w:w="751"/>
        <w:gridCol w:w="998"/>
        <w:gridCol w:w="502"/>
        <w:gridCol w:w="503"/>
        <w:gridCol w:w="503"/>
        <w:gridCol w:w="574"/>
        <w:gridCol w:w="584"/>
        <w:gridCol w:w="706"/>
        <w:gridCol w:w="708"/>
        <w:gridCol w:w="14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 w:type="dxa"/>
            <w:vMerge w:val="restart"/>
            <w:tcBorders>
              <w:top w:val="single" w:color="auto" w:sz="12" w:space="0"/>
            </w:tcBorders>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序号</w:t>
            </w:r>
          </w:p>
        </w:tc>
        <w:tc>
          <w:tcPr>
            <w:tcW w:w="998" w:type="dxa"/>
            <w:vMerge w:val="restart"/>
            <w:tcBorders>
              <w:top w:val="single" w:color="auto" w:sz="12" w:space="0"/>
            </w:tcBorders>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村</w:t>
            </w:r>
          </w:p>
        </w:tc>
        <w:tc>
          <w:tcPr>
            <w:tcW w:w="751" w:type="dxa"/>
            <w:vMerge w:val="restart"/>
            <w:tcBorders>
              <w:top w:val="single" w:color="auto" w:sz="12" w:space="0"/>
            </w:tcBorders>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组</w:t>
            </w:r>
          </w:p>
        </w:tc>
        <w:tc>
          <w:tcPr>
            <w:tcW w:w="998" w:type="dxa"/>
            <w:vMerge w:val="restart"/>
            <w:tcBorders>
              <w:top w:val="single" w:color="auto" w:sz="12" w:space="0"/>
            </w:tcBorders>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农业人口</w:t>
            </w:r>
          </w:p>
        </w:tc>
        <w:tc>
          <w:tcPr>
            <w:tcW w:w="2082" w:type="dxa"/>
            <w:gridSpan w:val="4"/>
            <w:tcBorders>
              <w:top w:val="single" w:color="auto" w:sz="12" w:space="0"/>
            </w:tcBorders>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现状耕地</w:t>
            </w:r>
          </w:p>
        </w:tc>
        <w:tc>
          <w:tcPr>
            <w:tcW w:w="1998" w:type="dxa"/>
            <w:gridSpan w:val="3"/>
            <w:tcBorders>
              <w:top w:val="single" w:color="auto" w:sz="12" w:space="0"/>
            </w:tcBorders>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建设征地征收耕地</w:t>
            </w:r>
          </w:p>
        </w:tc>
        <w:tc>
          <w:tcPr>
            <w:tcW w:w="1497" w:type="dxa"/>
            <w:vMerge w:val="restart"/>
            <w:tcBorders>
              <w:top w:val="single" w:color="auto" w:sz="12" w:space="0"/>
            </w:tcBorders>
            <w:noWrap w:val="0"/>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征收影响比例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 w:type="dxa"/>
            <w:vMerge w:val="continue"/>
            <w:noWrap/>
            <w:vAlign w:val="center"/>
          </w:tcPr>
          <w:p>
            <w:pPr>
              <w:ind w:left="-105" w:leftChars="-50" w:right="-105" w:rightChars="-50"/>
              <w:jc w:val="center"/>
              <w:rPr>
                <w:rFonts w:cs="Times New Roman"/>
                <w:color w:val="000000"/>
                <w:szCs w:val="21"/>
              </w:rPr>
            </w:pPr>
          </w:p>
        </w:tc>
        <w:tc>
          <w:tcPr>
            <w:tcW w:w="998" w:type="dxa"/>
            <w:vMerge w:val="continue"/>
            <w:noWrap/>
            <w:vAlign w:val="center"/>
          </w:tcPr>
          <w:p>
            <w:pPr>
              <w:ind w:left="-105" w:leftChars="-50" w:right="-105" w:rightChars="-50"/>
              <w:jc w:val="center"/>
              <w:rPr>
                <w:rFonts w:cs="Times New Roman"/>
                <w:color w:val="000000"/>
                <w:szCs w:val="21"/>
              </w:rPr>
            </w:pPr>
          </w:p>
        </w:tc>
        <w:tc>
          <w:tcPr>
            <w:tcW w:w="751" w:type="dxa"/>
            <w:vMerge w:val="continue"/>
            <w:noWrap/>
            <w:vAlign w:val="center"/>
          </w:tcPr>
          <w:p>
            <w:pPr>
              <w:ind w:left="-105" w:leftChars="-50" w:right="-105" w:rightChars="-50"/>
              <w:jc w:val="center"/>
              <w:rPr>
                <w:rFonts w:cs="Times New Roman"/>
                <w:color w:val="000000"/>
                <w:szCs w:val="21"/>
              </w:rPr>
            </w:pPr>
          </w:p>
        </w:tc>
        <w:tc>
          <w:tcPr>
            <w:tcW w:w="998" w:type="dxa"/>
            <w:vMerge w:val="continue"/>
            <w:noWrap/>
            <w:vAlign w:val="center"/>
          </w:tcPr>
          <w:p>
            <w:pPr>
              <w:ind w:left="-105" w:leftChars="-50" w:right="-105" w:rightChars="-50"/>
              <w:jc w:val="center"/>
              <w:rPr>
                <w:rFonts w:cs="Times New Roman"/>
                <w:color w:val="000000"/>
                <w:szCs w:val="21"/>
              </w:rPr>
            </w:pPr>
          </w:p>
        </w:tc>
        <w:tc>
          <w:tcPr>
            <w:tcW w:w="502"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水田</w:t>
            </w:r>
          </w:p>
        </w:tc>
        <w:tc>
          <w:tcPr>
            <w:tcW w:w="50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旱地</w:t>
            </w:r>
          </w:p>
        </w:tc>
        <w:tc>
          <w:tcPr>
            <w:tcW w:w="50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合计</w:t>
            </w:r>
          </w:p>
        </w:tc>
        <w:tc>
          <w:tcPr>
            <w:tcW w:w="57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人均</w:t>
            </w:r>
          </w:p>
        </w:tc>
        <w:tc>
          <w:tcPr>
            <w:tcW w:w="58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水田</w:t>
            </w:r>
          </w:p>
        </w:tc>
        <w:tc>
          <w:tcPr>
            <w:tcW w:w="70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旱地</w:t>
            </w:r>
          </w:p>
        </w:tc>
        <w:tc>
          <w:tcPr>
            <w:tcW w:w="708"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合计</w:t>
            </w:r>
          </w:p>
        </w:tc>
        <w:tc>
          <w:tcPr>
            <w:tcW w:w="1497" w:type="dxa"/>
            <w:vMerge w:val="continue"/>
            <w:noWrap w:val="0"/>
            <w:vAlign w:val="center"/>
          </w:tcPr>
          <w:p>
            <w:pPr>
              <w:ind w:left="-105" w:leftChars="-50" w:right="-105" w:rightChars="-50"/>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 w:type="dxa"/>
            <w:vMerge w:val="continue"/>
            <w:noWrap/>
            <w:vAlign w:val="center"/>
          </w:tcPr>
          <w:p>
            <w:pPr>
              <w:ind w:left="-105" w:leftChars="-50" w:right="-105" w:rightChars="-50"/>
              <w:jc w:val="center"/>
              <w:rPr>
                <w:rFonts w:cs="Times New Roman"/>
                <w:color w:val="000000"/>
                <w:szCs w:val="21"/>
              </w:rPr>
            </w:pPr>
          </w:p>
        </w:tc>
        <w:tc>
          <w:tcPr>
            <w:tcW w:w="998" w:type="dxa"/>
            <w:vMerge w:val="continue"/>
            <w:noWrap/>
            <w:vAlign w:val="center"/>
          </w:tcPr>
          <w:p>
            <w:pPr>
              <w:ind w:left="-105" w:leftChars="-50" w:right="-105" w:rightChars="-50"/>
              <w:jc w:val="center"/>
              <w:rPr>
                <w:rFonts w:cs="Times New Roman"/>
                <w:color w:val="000000"/>
                <w:szCs w:val="21"/>
              </w:rPr>
            </w:pPr>
          </w:p>
        </w:tc>
        <w:tc>
          <w:tcPr>
            <w:tcW w:w="751" w:type="dxa"/>
            <w:vMerge w:val="continue"/>
            <w:noWrap/>
            <w:vAlign w:val="center"/>
          </w:tcPr>
          <w:p>
            <w:pPr>
              <w:ind w:left="-105" w:leftChars="-50" w:right="-105" w:rightChars="-50"/>
              <w:jc w:val="center"/>
              <w:rPr>
                <w:rFonts w:cs="Times New Roman"/>
                <w:color w:val="000000"/>
                <w:szCs w:val="21"/>
              </w:rPr>
            </w:pPr>
          </w:p>
        </w:tc>
        <w:tc>
          <w:tcPr>
            <w:tcW w:w="998"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人</w:t>
            </w:r>
          </w:p>
        </w:tc>
        <w:tc>
          <w:tcPr>
            <w:tcW w:w="502"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50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503"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57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亩/人</w:t>
            </w:r>
          </w:p>
        </w:tc>
        <w:tc>
          <w:tcPr>
            <w:tcW w:w="584"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06"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708" w:type="dxa"/>
            <w:noWrap/>
            <w:vAlign w:val="center"/>
          </w:tcPr>
          <w:p>
            <w:pPr>
              <w:widowControl/>
              <w:ind w:left="-105" w:leftChars="-50" w:right="-105" w:rightChars="-50"/>
              <w:jc w:val="center"/>
              <w:textAlignment w:val="center"/>
              <w:rPr>
                <w:rFonts w:cs="Times New Roman"/>
                <w:color w:val="000000"/>
                <w:szCs w:val="21"/>
              </w:rPr>
            </w:pPr>
            <w:r>
              <w:rPr>
                <w:rFonts w:cs="Times New Roman"/>
                <w:color w:val="000000"/>
                <w:kern w:val="0"/>
                <w:szCs w:val="21"/>
                <w:lang w:bidi="ar"/>
              </w:rPr>
              <w:t>亩</w:t>
            </w:r>
          </w:p>
        </w:tc>
        <w:tc>
          <w:tcPr>
            <w:tcW w:w="1497" w:type="dxa"/>
            <w:vMerge w:val="continue"/>
            <w:noWrap w:val="0"/>
            <w:vAlign w:val="center"/>
          </w:tcPr>
          <w:p>
            <w:pPr>
              <w:ind w:left="-105" w:leftChars="-50" w:right="-105" w:rightChars="-50"/>
              <w:jc w:val="center"/>
              <w:rPr>
                <w:rFonts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w:t>
            </w:r>
          </w:p>
        </w:tc>
        <w:tc>
          <w:tcPr>
            <w:tcW w:w="998"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激石溪村</w:t>
            </w:r>
          </w:p>
        </w:tc>
        <w:tc>
          <w:tcPr>
            <w:tcW w:w="751" w:type="dxa"/>
            <w:noWrap/>
            <w:vAlign w:val="center"/>
          </w:tcPr>
          <w:p>
            <w:pPr>
              <w:ind w:left="-105" w:leftChars="-50" w:right="-105" w:rightChars="-50"/>
              <w:jc w:val="center"/>
              <w:rPr>
                <w:rFonts w:cs="Times New Roman"/>
                <w:color w:val="000000"/>
                <w:szCs w:val="21"/>
              </w:rPr>
            </w:pPr>
          </w:p>
        </w:tc>
        <w:tc>
          <w:tcPr>
            <w:tcW w:w="998" w:type="dxa"/>
            <w:noWrap/>
            <w:vAlign w:val="center"/>
          </w:tcPr>
          <w:p>
            <w:pPr>
              <w:ind w:left="-105" w:leftChars="-50" w:right="-105" w:rightChars="-50"/>
              <w:jc w:val="center"/>
              <w:rPr>
                <w:rFonts w:cs="Times New Roman"/>
                <w:color w:val="000000"/>
                <w:szCs w:val="21"/>
              </w:rPr>
            </w:pPr>
          </w:p>
        </w:tc>
        <w:tc>
          <w:tcPr>
            <w:tcW w:w="502" w:type="dxa"/>
            <w:noWrap/>
            <w:vAlign w:val="center"/>
          </w:tcPr>
          <w:p>
            <w:pPr>
              <w:ind w:left="-105" w:leftChars="-50" w:right="-105" w:rightChars="-50"/>
              <w:jc w:val="center"/>
              <w:rPr>
                <w:rFonts w:cs="Times New Roman"/>
                <w:color w:val="000000"/>
                <w:szCs w:val="21"/>
              </w:rPr>
            </w:pPr>
          </w:p>
        </w:tc>
        <w:tc>
          <w:tcPr>
            <w:tcW w:w="503" w:type="dxa"/>
            <w:noWrap/>
            <w:vAlign w:val="center"/>
          </w:tcPr>
          <w:p>
            <w:pPr>
              <w:ind w:left="-105" w:leftChars="-50" w:right="-105" w:rightChars="-50"/>
              <w:jc w:val="center"/>
              <w:rPr>
                <w:rFonts w:cs="Times New Roman"/>
                <w:color w:val="000000"/>
                <w:szCs w:val="21"/>
              </w:rPr>
            </w:pPr>
          </w:p>
        </w:tc>
        <w:tc>
          <w:tcPr>
            <w:tcW w:w="503" w:type="dxa"/>
            <w:noWrap/>
            <w:vAlign w:val="center"/>
          </w:tcPr>
          <w:p>
            <w:pPr>
              <w:ind w:left="-105" w:leftChars="-50" w:right="-105" w:rightChars="-50"/>
              <w:jc w:val="center"/>
              <w:rPr>
                <w:rFonts w:cs="Times New Roman"/>
                <w:color w:val="000000"/>
                <w:szCs w:val="21"/>
              </w:rPr>
            </w:pPr>
          </w:p>
        </w:tc>
        <w:tc>
          <w:tcPr>
            <w:tcW w:w="574" w:type="dxa"/>
            <w:noWrap/>
            <w:vAlign w:val="center"/>
          </w:tcPr>
          <w:p>
            <w:pPr>
              <w:ind w:left="-105" w:leftChars="-50" w:right="-105" w:rightChars="-50"/>
              <w:jc w:val="center"/>
              <w:rPr>
                <w:rFonts w:cs="Times New Roman"/>
                <w:color w:val="000000"/>
                <w:szCs w:val="21"/>
              </w:rPr>
            </w:pPr>
          </w:p>
        </w:tc>
        <w:tc>
          <w:tcPr>
            <w:tcW w:w="584" w:type="dxa"/>
            <w:tcBorders>
              <w:top w:val="single" w:color="auto" w:sz="4" w:space="0"/>
              <w:left w:val="single" w:color="auto" w:sz="4" w:space="0"/>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234.25</w:t>
            </w:r>
          </w:p>
        </w:tc>
        <w:tc>
          <w:tcPr>
            <w:tcW w:w="706" w:type="dxa"/>
            <w:tcBorders>
              <w:top w:val="single" w:color="auto" w:sz="4" w:space="0"/>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150.89</w:t>
            </w:r>
          </w:p>
        </w:tc>
        <w:tc>
          <w:tcPr>
            <w:tcW w:w="708" w:type="dxa"/>
            <w:tcBorders>
              <w:top w:val="single" w:color="auto" w:sz="4" w:space="0"/>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385.14</w:t>
            </w:r>
          </w:p>
        </w:tc>
        <w:tc>
          <w:tcPr>
            <w:tcW w:w="1497" w:type="dxa"/>
            <w:tcBorders>
              <w:top w:val="single" w:color="auto" w:sz="4" w:space="0"/>
              <w:left w:val="nil"/>
              <w:bottom w:val="single" w:color="auto" w:sz="4" w:space="0"/>
              <w:right w:val="single" w:color="auto" w:sz="4" w:space="0"/>
            </w:tcBorders>
            <w:noWrap/>
            <w:vAlign w:val="center"/>
          </w:tcPr>
          <w:p>
            <w:pPr>
              <w:ind w:left="-105" w:leftChars="-50" w:right="-105" w:rightChars="-50"/>
              <w:jc w:val="center"/>
              <w:rPr>
                <w:rFonts w:cs="Times New Roman"/>
                <w:color w:val="000000"/>
                <w:kern w:val="0"/>
                <w:szCs w:val="21"/>
                <w:lang w:bidi="ar"/>
              </w:rPr>
            </w:pPr>
            <w:r>
              <w:rPr>
                <w:rFonts w:hint="eastAsia" w:cs="Times New Roman"/>
                <w:color w:val="000000"/>
                <w:kern w:val="0"/>
                <w:szCs w:val="21"/>
                <w:lang w:bidi="ar"/>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1.1</w:t>
            </w:r>
          </w:p>
        </w:tc>
        <w:tc>
          <w:tcPr>
            <w:tcW w:w="998" w:type="dxa"/>
            <w:noWrap/>
            <w:vAlign w:val="center"/>
          </w:tcPr>
          <w:p>
            <w:pPr>
              <w:ind w:left="-105" w:leftChars="-50" w:right="-105" w:rightChars="-50"/>
              <w:jc w:val="center"/>
              <w:rPr>
                <w:rFonts w:cs="Times New Roman"/>
                <w:color w:val="000000"/>
                <w:szCs w:val="21"/>
              </w:rPr>
            </w:pPr>
          </w:p>
        </w:tc>
        <w:tc>
          <w:tcPr>
            <w:tcW w:w="751"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坝仔组</w:t>
            </w:r>
          </w:p>
        </w:tc>
        <w:tc>
          <w:tcPr>
            <w:tcW w:w="998"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216</w:t>
            </w:r>
          </w:p>
        </w:tc>
        <w:tc>
          <w:tcPr>
            <w:tcW w:w="502"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219</w:t>
            </w:r>
          </w:p>
        </w:tc>
        <w:tc>
          <w:tcPr>
            <w:tcW w:w="503"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86</w:t>
            </w:r>
          </w:p>
        </w:tc>
        <w:tc>
          <w:tcPr>
            <w:tcW w:w="503"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305</w:t>
            </w:r>
          </w:p>
        </w:tc>
        <w:tc>
          <w:tcPr>
            <w:tcW w:w="574"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1.41</w:t>
            </w:r>
          </w:p>
        </w:tc>
        <w:tc>
          <w:tcPr>
            <w:tcW w:w="584" w:type="dxa"/>
            <w:tcBorders>
              <w:top w:val="nil"/>
              <w:left w:val="single" w:color="auto" w:sz="4" w:space="0"/>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17.96</w:t>
            </w:r>
          </w:p>
        </w:tc>
        <w:tc>
          <w:tcPr>
            <w:tcW w:w="706"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11.1</w:t>
            </w:r>
          </w:p>
        </w:tc>
        <w:tc>
          <w:tcPr>
            <w:tcW w:w="708"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29.06</w:t>
            </w:r>
          </w:p>
        </w:tc>
        <w:tc>
          <w:tcPr>
            <w:tcW w:w="1497"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9.53%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1.2</w:t>
            </w:r>
          </w:p>
        </w:tc>
        <w:tc>
          <w:tcPr>
            <w:tcW w:w="998" w:type="dxa"/>
            <w:noWrap/>
            <w:vAlign w:val="center"/>
          </w:tcPr>
          <w:p>
            <w:pPr>
              <w:ind w:left="-105" w:leftChars="-50" w:right="-105" w:rightChars="-50"/>
              <w:jc w:val="center"/>
              <w:rPr>
                <w:rFonts w:cs="Times New Roman"/>
                <w:color w:val="000000"/>
                <w:szCs w:val="21"/>
              </w:rPr>
            </w:pPr>
          </w:p>
        </w:tc>
        <w:tc>
          <w:tcPr>
            <w:tcW w:w="751"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博背组</w:t>
            </w:r>
          </w:p>
        </w:tc>
        <w:tc>
          <w:tcPr>
            <w:tcW w:w="998"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163</w:t>
            </w:r>
          </w:p>
        </w:tc>
        <w:tc>
          <w:tcPr>
            <w:tcW w:w="502"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148</w:t>
            </w:r>
          </w:p>
        </w:tc>
        <w:tc>
          <w:tcPr>
            <w:tcW w:w="503"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283</w:t>
            </w:r>
          </w:p>
        </w:tc>
        <w:tc>
          <w:tcPr>
            <w:tcW w:w="503"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431</w:t>
            </w:r>
          </w:p>
        </w:tc>
        <w:tc>
          <w:tcPr>
            <w:tcW w:w="574" w:type="dxa"/>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2.64</w:t>
            </w:r>
          </w:p>
        </w:tc>
        <w:tc>
          <w:tcPr>
            <w:tcW w:w="584" w:type="dxa"/>
            <w:tcBorders>
              <w:top w:val="nil"/>
              <w:left w:val="single" w:color="auto" w:sz="4" w:space="0"/>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160.58</w:t>
            </w:r>
          </w:p>
        </w:tc>
        <w:tc>
          <w:tcPr>
            <w:tcW w:w="706"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120.71</w:t>
            </w:r>
          </w:p>
        </w:tc>
        <w:tc>
          <w:tcPr>
            <w:tcW w:w="708"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281.29</w:t>
            </w:r>
          </w:p>
        </w:tc>
        <w:tc>
          <w:tcPr>
            <w:tcW w:w="1497"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65.26%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 w:type="dxa"/>
            <w:tcBorders>
              <w:bottom w:val="single" w:color="auto" w:sz="12" w:space="0"/>
            </w:tcBorders>
            <w:noWrap/>
            <w:vAlign w:val="center"/>
          </w:tcPr>
          <w:p>
            <w:pPr>
              <w:widowControl/>
              <w:ind w:left="-105" w:leftChars="-50" w:right="-105" w:rightChars="-50"/>
              <w:jc w:val="center"/>
              <w:textAlignment w:val="bottom"/>
              <w:rPr>
                <w:rFonts w:hint="eastAsia" w:cs="Times New Roman"/>
                <w:color w:val="000000"/>
                <w:szCs w:val="21"/>
              </w:rPr>
            </w:pPr>
            <w:r>
              <w:rPr>
                <w:rFonts w:cs="Times New Roman"/>
                <w:color w:val="000000"/>
                <w:kern w:val="0"/>
                <w:szCs w:val="21"/>
                <w:lang w:bidi="ar"/>
              </w:rPr>
              <w:t>1.</w:t>
            </w:r>
            <w:r>
              <w:rPr>
                <w:rFonts w:hint="eastAsia" w:cs="Times New Roman"/>
                <w:color w:val="000000"/>
                <w:kern w:val="0"/>
                <w:szCs w:val="21"/>
                <w:lang w:bidi="ar"/>
              </w:rPr>
              <w:t>3</w:t>
            </w:r>
          </w:p>
        </w:tc>
        <w:tc>
          <w:tcPr>
            <w:tcW w:w="998" w:type="dxa"/>
            <w:tcBorders>
              <w:bottom w:val="single" w:color="auto" w:sz="12" w:space="0"/>
            </w:tcBorders>
            <w:noWrap/>
            <w:vAlign w:val="center"/>
          </w:tcPr>
          <w:p>
            <w:pPr>
              <w:ind w:left="-105" w:leftChars="-50" w:right="-105" w:rightChars="-50"/>
              <w:jc w:val="center"/>
              <w:rPr>
                <w:rFonts w:cs="Times New Roman"/>
                <w:color w:val="000000"/>
                <w:szCs w:val="21"/>
              </w:rPr>
            </w:pPr>
          </w:p>
        </w:tc>
        <w:tc>
          <w:tcPr>
            <w:tcW w:w="751" w:type="dxa"/>
            <w:tcBorders>
              <w:bottom w:val="single" w:color="auto" w:sz="12" w:space="0"/>
            </w:tcBorders>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上屋组</w:t>
            </w:r>
          </w:p>
        </w:tc>
        <w:tc>
          <w:tcPr>
            <w:tcW w:w="998" w:type="dxa"/>
            <w:tcBorders>
              <w:bottom w:val="single" w:color="auto" w:sz="12" w:space="0"/>
            </w:tcBorders>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123</w:t>
            </w:r>
          </w:p>
        </w:tc>
        <w:tc>
          <w:tcPr>
            <w:tcW w:w="502" w:type="dxa"/>
            <w:tcBorders>
              <w:bottom w:val="single" w:color="auto" w:sz="12" w:space="0"/>
            </w:tcBorders>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172</w:t>
            </w:r>
          </w:p>
        </w:tc>
        <w:tc>
          <w:tcPr>
            <w:tcW w:w="503" w:type="dxa"/>
            <w:tcBorders>
              <w:bottom w:val="single" w:color="auto" w:sz="12" w:space="0"/>
            </w:tcBorders>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152</w:t>
            </w:r>
          </w:p>
        </w:tc>
        <w:tc>
          <w:tcPr>
            <w:tcW w:w="503" w:type="dxa"/>
            <w:tcBorders>
              <w:bottom w:val="single" w:color="auto" w:sz="12" w:space="0"/>
            </w:tcBorders>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324</w:t>
            </w:r>
          </w:p>
        </w:tc>
        <w:tc>
          <w:tcPr>
            <w:tcW w:w="574" w:type="dxa"/>
            <w:tcBorders>
              <w:bottom w:val="single" w:color="auto" w:sz="12" w:space="0"/>
            </w:tcBorders>
            <w:noWrap/>
            <w:vAlign w:val="center"/>
          </w:tcPr>
          <w:p>
            <w:pPr>
              <w:widowControl/>
              <w:ind w:left="-105" w:leftChars="-50" w:right="-105" w:rightChars="-50"/>
              <w:jc w:val="center"/>
              <w:textAlignment w:val="bottom"/>
              <w:rPr>
                <w:rFonts w:cs="Times New Roman"/>
                <w:color w:val="000000"/>
                <w:szCs w:val="21"/>
              </w:rPr>
            </w:pPr>
            <w:r>
              <w:rPr>
                <w:rFonts w:cs="Times New Roman"/>
                <w:color w:val="000000"/>
                <w:kern w:val="0"/>
                <w:szCs w:val="21"/>
                <w:lang w:bidi="ar"/>
              </w:rPr>
              <w:t>2.63</w:t>
            </w:r>
          </w:p>
        </w:tc>
        <w:tc>
          <w:tcPr>
            <w:tcW w:w="584" w:type="dxa"/>
            <w:tcBorders>
              <w:top w:val="nil"/>
              <w:left w:val="single" w:color="auto" w:sz="4" w:space="0"/>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55.71</w:t>
            </w:r>
          </w:p>
        </w:tc>
        <w:tc>
          <w:tcPr>
            <w:tcW w:w="706"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19.08</w:t>
            </w:r>
          </w:p>
        </w:tc>
        <w:tc>
          <w:tcPr>
            <w:tcW w:w="708"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74.79</w:t>
            </w:r>
          </w:p>
        </w:tc>
        <w:tc>
          <w:tcPr>
            <w:tcW w:w="1497" w:type="dxa"/>
            <w:tcBorders>
              <w:top w:val="nil"/>
              <w:left w:val="nil"/>
              <w:bottom w:val="single" w:color="auto" w:sz="4" w:space="0"/>
              <w:right w:val="single" w:color="auto" w:sz="4" w:space="0"/>
            </w:tcBorders>
            <w:noWrap/>
            <w:vAlign w:val="center"/>
          </w:tcPr>
          <w:p>
            <w:pPr>
              <w:widowControl/>
              <w:ind w:left="-105" w:leftChars="-50" w:right="-105" w:rightChars="-50"/>
              <w:jc w:val="center"/>
              <w:textAlignment w:val="bottom"/>
              <w:rPr>
                <w:rFonts w:cs="Times New Roman"/>
                <w:color w:val="000000"/>
                <w:kern w:val="0"/>
                <w:szCs w:val="21"/>
                <w:lang w:bidi="ar"/>
              </w:rPr>
            </w:pPr>
            <w:r>
              <w:rPr>
                <w:rFonts w:hint="eastAsia" w:cs="Times New Roman"/>
                <w:color w:val="000000"/>
                <w:kern w:val="0"/>
                <w:szCs w:val="21"/>
                <w:lang w:bidi="ar"/>
              </w:rPr>
              <w:t>23.08%</w:t>
            </w:r>
          </w:p>
        </w:tc>
      </w:tr>
    </w:tbl>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55" w:name="_Toc86257979"/>
      <w:bookmarkStart w:id="656" w:name="_Toc90945271"/>
      <w:r>
        <w:rPr>
          <w:rFonts w:hint="eastAsia" w:ascii="Times New Roman" w:hAnsi="Times New Roman" w:eastAsia="黑体" w:cs="Times New Roman"/>
          <w:bCs/>
          <w:snapToGrid w:val="0"/>
          <w:color w:val="000000"/>
          <w:kern w:val="0"/>
          <w:sz w:val="28"/>
          <w:szCs w:val="28"/>
          <w:lang w:val="en-US" w:eastAsia="zh-CN" w:bidi="ar-SA"/>
        </w:rPr>
        <w:t>9</w:t>
      </w:r>
      <w:r>
        <w:rPr>
          <w:rFonts w:ascii="Times New Roman" w:hAnsi="Times New Roman" w:eastAsia="黑体" w:cs="Times New Roman"/>
          <w:bCs/>
          <w:snapToGrid w:val="0"/>
          <w:color w:val="000000"/>
          <w:kern w:val="0"/>
          <w:sz w:val="28"/>
          <w:szCs w:val="28"/>
          <w:lang w:val="en-US" w:eastAsia="zh-CN" w:bidi="ar-SA"/>
        </w:rPr>
        <w:t xml:space="preserve">.3  </w:t>
      </w:r>
      <w:r>
        <w:rPr>
          <w:rFonts w:hint="eastAsia" w:ascii="Times New Roman" w:hAnsi="Times New Roman" w:eastAsia="黑体" w:cs="Times New Roman"/>
          <w:bCs/>
          <w:snapToGrid w:val="0"/>
          <w:color w:val="000000"/>
          <w:kern w:val="0"/>
          <w:sz w:val="28"/>
          <w:szCs w:val="28"/>
          <w:lang w:val="en-US" w:eastAsia="zh-CN" w:bidi="ar-SA"/>
        </w:rPr>
        <w:t>房屋</w:t>
      </w:r>
      <w:bookmarkEnd w:id="655"/>
      <w:bookmarkEnd w:id="656"/>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int="eastAsia" w:hAnsi="宋体" w:cs="Times New Roman"/>
          <w:color w:val="000000"/>
          <w:sz w:val="24"/>
          <w:szCs w:val="24"/>
        </w:rPr>
        <w:t>陆河</w:t>
      </w:r>
      <w:r>
        <w:rPr>
          <w:rFonts w:hAnsi="宋体" w:cs="Times New Roman"/>
          <w:color w:val="000000"/>
          <w:sz w:val="24"/>
          <w:szCs w:val="24"/>
        </w:rPr>
        <w:t>抽水蓄能电站工程建设征地涉及各类房屋面积</w:t>
      </w:r>
      <w:r>
        <w:rPr>
          <w:rFonts w:cs="Times New Roman"/>
          <w:color w:val="000000"/>
          <w:sz w:val="24"/>
          <w:szCs w:val="24"/>
        </w:rPr>
        <w:t>1086.63</w:t>
      </w:r>
      <w:r>
        <w:rPr>
          <w:rFonts w:hint="eastAsia" w:hAnsi="宋体" w:cs="Times New Roman"/>
          <w:color w:val="000000"/>
          <w:szCs w:val="22"/>
        </w:rPr>
        <w:t>m</w:t>
      </w:r>
      <w:r>
        <w:rPr>
          <w:rFonts w:hint="eastAsia" w:hAnsi="宋体" w:cs="Times New Roman"/>
          <w:color w:val="000000"/>
          <w:szCs w:val="22"/>
          <w:vertAlign w:val="superscript"/>
        </w:rPr>
        <w:t>2</w:t>
      </w:r>
      <w:r>
        <w:rPr>
          <w:rFonts w:hAnsi="宋体" w:cs="Times New Roman"/>
          <w:color w:val="000000"/>
          <w:sz w:val="24"/>
          <w:szCs w:val="24"/>
        </w:rPr>
        <w:t>，按不同类别分别计算房屋面积分布。</w:t>
      </w: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Ansi="宋体" w:cs="Times New Roman"/>
          <w:color w:val="000000"/>
          <w:sz w:val="24"/>
          <w:szCs w:val="24"/>
        </w:rPr>
        <w:t>按建设征地区域划分，水库淹没影响区占涉及房屋总面积</w:t>
      </w:r>
      <w:r>
        <w:rPr>
          <w:rFonts w:cs="Times New Roman"/>
          <w:color w:val="000000"/>
          <w:sz w:val="24"/>
          <w:szCs w:val="24"/>
        </w:rPr>
        <w:t>100.00%</w:t>
      </w:r>
      <w:r>
        <w:rPr>
          <w:rFonts w:hAnsi="宋体" w:cs="Times New Roman"/>
          <w:color w:val="000000"/>
          <w:sz w:val="24"/>
          <w:szCs w:val="24"/>
        </w:rPr>
        <w:t>；按结构划分，以</w:t>
      </w:r>
      <w:r>
        <w:rPr>
          <w:rFonts w:hint="eastAsia" w:hAnsi="宋体" w:cs="Times New Roman"/>
          <w:color w:val="000000"/>
          <w:sz w:val="24"/>
          <w:szCs w:val="24"/>
        </w:rPr>
        <w:t>其他</w:t>
      </w:r>
      <w:r>
        <w:rPr>
          <w:rFonts w:hAnsi="宋体" w:cs="Times New Roman"/>
          <w:color w:val="000000"/>
          <w:sz w:val="24"/>
          <w:szCs w:val="24"/>
        </w:rPr>
        <w:t>结构为主，占涉及房屋总面积</w:t>
      </w:r>
      <w:r>
        <w:rPr>
          <w:rFonts w:cs="Times New Roman"/>
          <w:color w:val="000000"/>
          <w:sz w:val="24"/>
          <w:szCs w:val="24"/>
        </w:rPr>
        <w:t>38.79%</w:t>
      </w:r>
      <w:r>
        <w:rPr>
          <w:rFonts w:hAnsi="宋体" w:cs="Times New Roman"/>
          <w:color w:val="000000"/>
          <w:sz w:val="24"/>
          <w:szCs w:val="24"/>
        </w:rPr>
        <w:t>，其次为</w:t>
      </w:r>
      <w:r>
        <w:rPr>
          <w:rFonts w:hint="eastAsia" w:hAnsi="宋体" w:cs="Times New Roman"/>
          <w:color w:val="000000"/>
          <w:sz w:val="24"/>
          <w:szCs w:val="24"/>
        </w:rPr>
        <w:t>土木</w:t>
      </w:r>
      <w:r>
        <w:rPr>
          <w:rFonts w:hAnsi="宋体" w:cs="Times New Roman"/>
          <w:color w:val="000000"/>
          <w:sz w:val="24"/>
          <w:szCs w:val="24"/>
        </w:rPr>
        <w:t>结构，占涉及房屋总面积</w:t>
      </w:r>
      <w:r>
        <w:rPr>
          <w:rFonts w:cs="Times New Roman"/>
          <w:color w:val="000000"/>
          <w:sz w:val="24"/>
          <w:szCs w:val="24"/>
        </w:rPr>
        <w:t>17.81%</w:t>
      </w:r>
      <w:r>
        <w:rPr>
          <w:rFonts w:hAnsi="宋体" w:cs="Times New Roman"/>
          <w:color w:val="000000"/>
          <w:sz w:val="24"/>
          <w:szCs w:val="24"/>
        </w:rPr>
        <w:t>。各类房屋分布特点详见表</w:t>
      </w:r>
      <w:r>
        <w:rPr>
          <w:rFonts w:cs="Times New Roman"/>
          <w:color w:val="000000"/>
          <w:sz w:val="24"/>
          <w:szCs w:val="24"/>
        </w:rPr>
        <w:t>9.3-1</w:t>
      </w:r>
      <w:r>
        <w:rPr>
          <w:rFonts w:hAnsi="宋体" w:cs="Times New Roman"/>
          <w:color w:val="000000"/>
          <w:sz w:val="24"/>
          <w:szCs w:val="24"/>
        </w:rPr>
        <w:t>。</w:t>
      </w:r>
    </w:p>
    <w:p>
      <w:pPr>
        <w:widowControl/>
        <w:jc w:val="left"/>
        <w:rPr>
          <w:rFonts w:cs="Times New Roman"/>
          <w:color w:val="000000"/>
          <w:sz w:val="24"/>
          <w:szCs w:val="24"/>
        </w:rPr>
      </w:pPr>
    </w:p>
    <w:p>
      <w:pPr>
        <w:overflowPunct w:val="0"/>
        <w:autoSpaceDE w:val="0"/>
        <w:autoSpaceDN w:val="0"/>
        <w:snapToGrid w:val="0"/>
        <w:spacing w:line="360" w:lineRule="auto"/>
        <w:ind w:firstLine="420"/>
        <w:rPr>
          <w:color w:val="000000"/>
          <w:sz w:val="24"/>
          <w:szCs w:val="24"/>
        </w:rPr>
        <w:sectPr>
          <w:footerReference r:id="rId43" w:type="default"/>
          <w:pgSz w:w="11906" w:h="16838"/>
          <w:pgMar w:top="1588" w:right="1559" w:bottom="1531" w:left="1559" w:header="1134" w:footer="1247" w:gutter="0"/>
          <w:cols w:space="720" w:num="1"/>
          <w:docGrid w:linePitch="312" w:charSpace="0"/>
        </w:sectPr>
      </w:pPr>
    </w:p>
    <w:p>
      <w:pPr>
        <w:adjustRightInd w:val="0"/>
        <w:snapToGrid w:val="0"/>
        <w:spacing w:before="120" w:beforeLines="50" w:line="460" w:lineRule="exact"/>
        <w:jc w:val="center"/>
        <w:rPr>
          <w:rFonts w:hint="eastAsia" w:eastAsia="黑体" w:cs="Times New Roman"/>
          <w:color w:val="000000"/>
          <w:sz w:val="24"/>
          <w:szCs w:val="24"/>
        </w:rPr>
      </w:pPr>
      <w:r>
        <w:rPr>
          <w:rFonts w:hint="eastAsia" w:eastAsia="黑体" w:cs="Times New Roman"/>
          <w:color w:val="000000"/>
          <w:sz w:val="24"/>
          <w:szCs w:val="24"/>
        </w:rPr>
        <w:t>表</w:t>
      </w:r>
      <w:r>
        <w:rPr>
          <w:rFonts w:eastAsia="黑体" w:cs="Times New Roman"/>
          <w:color w:val="000000"/>
          <w:sz w:val="24"/>
          <w:szCs w:val="24"/>
        </w:rPr>
        <w:t xml:space="preserve">9.3-1  </w:t>
      </w:r>
      <w:r>
        <w:rPr>
          <w:rFonts w:hint="eastAsia" w:eastAsia="黑体" w:cs="Times New Roman"/>
          <w:color w:val="000000"/>
          <w:sz w:val="24"/>
          <w:szCs w:val="24"/>
        </w:rPr>
        <w:t>陆河抽水蓄能电站建设征地涉及房屋结构分布表</w:t>
      </w:r>
    </w:p>
    <w:tbl>
      <w:tblPr>
        <w:tblStyle w:val="79"/>
        <w:tblW w:w="136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2"/>
        <w:gridCol w:w="1057"/>
        <w:gridCol w:w="918"/>
        <w:gridCol w:w="768"/>
        <w:gridCol w:w="628"/>
        <w:gridCol w:w="631"/>
        <w:gridCol w:w="1218"/>
        <w:gridCol w:w="631"/>
        <w:gridCol w:w="1218"/>
        <w:gridCol w:w="631"/>
        <w:gridCol w:w="735"/>
        <w:gridCol w:w="811"/>
        <w:gridCol w:w="1278"/>
        <w:gridCol w:w="445"/>
        <w:gridCol w:w="1278"/>
        <w:gridCol w:w="7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vMerge w:val="restart"/>
            <w:tcBorders>
              <w:top w:val="single" w:color="auto" w:sz="12" w:space="0"/>
            </w:tcBorders>
            <w:noWrap w:val="0"/>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序号</w:t>
            </w:r>
          </w:p>
        </w:tc>
        <w:tc>
          <w:tcPr>
            <w:tcW w:w="1057" w:type="dxa"/>
            <w:vMerge w:val="restart"/>
            <w:tcBorders>
              <w:top w:val="single" w:color="auto" w:sz="12" w:space="0"/>
            </w:tcBorders>
            <w:noWrap w:val="0"/>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项目</w:t>
            </w:r>
          </w:p>
        </w:tc>
        <w:tc>
          <w:tcPr>
            <w:tcW w:w="1686" w:type="dxa"/>
            <w:gridSpan w:val="2"/>
            <w:tcBorders>
              <w:top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合计</w:t>
            </w:r>
          </w:p>
        </w:tc>
        <w:tc>
          <w:tcPr>
            <w:tcW w:w="4957" w:type="dxa"/>
            <w:gridSpan w:val="6"/>
            <w:tcBorders>
              <w:top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枢纽工程建设区</w:t>
            </w:r>
          </w:p>
        </w:tc>
        <w:tc>
          <w:tcPr>
            <w:tcW w:w="5345" w:type="dxa"/>
            <w:gridSpan w:val="6"/>
            <w:tcBorders>
              <w:top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水库淹没区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vMerge w:val="continue"/>
            <w:noWrap w:val="0"/>
            <w:vAlign w:val="center"/>
          </w:tcPr>
          <w:p>
            <w:pPr>
              <w:widowControl/>
              <w:ind w:left="-105" w:leftChars="-50" w:right="-105" w:rightChars="-50"/>
              <w:jc w:val="center"/>
              <w:rPr>
                <w:rFonts w:cs="Times New Roman"/>
                <w:color w:val="000000"/>
                <w:kern w:val="0"/>
                <w:szCs w:val="21"/>
              </w:rPr>
            </w:pPr>
          </w:p>
        </w:tc>
        <w:tc>
          <w:tcPr>
            <w:tcW w:w="1057" w:type="dxa"/>
            <w:vMerge w:val="continue"/>
            <w:noWrap w:val="0"/>
            <w:vAlign w:val="center"/>
          </w:tcPr>
          <w:p>
            <w:pPr>
              <w:widowControl/>
              <w:ind w:left="-105" w:leftChars="-50" w:right="-105" w:rightChars="-50"/>
              <w:jc w:val="center"/>
              <w:rPr>
                <w:rFonts w:cs="Times New Roman"/>
                <w:color w:val="000000"/>
                <w:kern w:val="0"/>
                <w:szCs w:val="21"/>
              </w:rPr>
            </w:pPr>
          </w:p>
        </w:tc>
        <w:tc>
          <w:tcPr>
            <w:tcW w:w="91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面积(</w:t>
            </w:r>
            <w:r>
              <w:rPr>
                <w:rFonts w:cs="Times New Roman"/>
                <w:color w:val="000000"/>
                <w:szCs w:val="21"/>
              </w:rPr>
              <w:t>m</w:t>
            </w:r>
            <w:r>
              <w:rPr>
                <w:rFonts w:cs="Times New Roman"/>
                <w:color w:val="000000"/>
                <w:szCs w:val="21"/>
                <w:vertAlign w:val="superscript"/>
              </w:rPr>
              <w:t>2</w:t>
            </w:r>
            <w:r>
              <w:rPr>
                <w:rFonts w:cs="Times New Roman"/>
                <w:color w:val="000000"/>
                <w:kern w:val="0"/>
                <w:szCs w:val="21"/>
              </w:rPr>
              <w:t>)</w:t>
            </w:r>
          </w:p>
        </w:tc>
        <w:tc>
          <w:tcPr>
            <w:tcW w:w="76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比例</w:t>
            </w:r>
          </w:p>
        </w:tc>
        <w:tc>
          <w:tcPr>
            <w:tcW w:w="62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小计</w:t>
            </w:r>
          </w:p>
        </w:tc>
        <w:tc>
          <w:tcPr>
            <w:tcW w:w="63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比例</w:t>
            </w:r>
          </w:p>
        </w:tc>
        <w:tc>
          <w:tcPr>
            <w:tcW w:w="121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永久占地</w:t>
            </w:r>
          </w:p>
        </w:tc>
        <w:tc>
          <w:tcPr>
            <w:tcW w:w="63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比例</w:t>
            </w:r>
          </w:p>
        </w:tc>
        <w:tc>
          <w:tcPr>
            <w:tcW w:w="121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临时用地</w:t>
            </w:r>
          </w:p>
        </w:tc>
        <w:tc>
          <w:tcPr>
            <w:tcW w:w="63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比例</w:t>
            </w:r>
          </w:p>
        </w:tc>
        <w:tc>
          <w:tcPr>
            <w:tcW w:w="735"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小计</w:t>
            </w:r>
          </w:p>
        </w:tc>
        <w:tc>
          <w:tcPr>
            <w:tcW w:w="81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比例</w:t>
            </w:r>
          </w:p>
        </w:tc>
        <w:tc>
          <w:tcPr>
            <w:tcW w:w="127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上水库淹没区</w:t>
            </w:r>
          </w:p>
        </w:tc>
        <w:tc>
          <w:tcPr>
            <w:tcW w:w="445"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比例</w:t>
            </w:r>
          </w:p>
        </w:tc>
        <w:tc>
          <w:tcPr>
            <w:tcW w:w="127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下水库淹没区</w:t>
            </w:r>
          </w:p>
        </w:tc>
        <w:tc>
          <w:tcPr>
            <w:tcW w:w="79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noWrap/>
            <w:vAlign w:val="center"/>
          </w:tcPr>
          <w:p>
            <w:pPr>
              <w:widowControl/>
              <w:ind w:left="-105" w:leftChars="-50" w:right="-105" w:rightChars="-50"/>
              <w:jc w:val="center"/>
              <w:rPr>
                <w:rFonts w:cs="Times New Roman"/>
                <w:color w:val="000000"/>
                <w:kern w:val="0"/>
                <w:szCs w:val="21"/>
              </w:rPr>
            </w:pPr>
          </w:p>
        </w:tc>
        <w:tc>
          <w:tcPr>
            <w:tcW w:w="1057" w:type="dxa"/>
            <w:noWrap w:val="0"/>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房屋</w:t>
            </w:r>
          </w:p>
        </w:tc>
        <w:tc>
          <w:tcPr>
            <w:tcW w:w="91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1086.63</w:t>
            </w:r>
          </w:p>
        </w:tc>
        <w:tc>
          <w:tcPr>
            <w:tcW w:w="76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100.00%</w:t>
            </w:r>
          </w:p>
        </w:tc>
        <w:tc>
          <w:tcPr>
            <w:tcW w:w="62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735"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1086.63</w:t>
            </w:r>
          </w:p>
        </w:tc>
        <w:tc>
          <w:tcPr>
            <w:tcW w:w="81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100.00%</w:t>
            </w:r>
          </w:p>
        </w:tc>
        <w:tc>
          <w:tcPr>
            <w:tcW w:w="1278" w:type="dxa"/>
            <w:noWrap/>
            <w:vAlign w:val="center"/>
          </w:tcPr>
          <w:p>
            <w:pPr>
              <w:widowControl/>
              <w:ind w:left="-105" w:leftChars="-50" w:right="-105" w:rightChars="-50"/>
              <w:jc w:val="center"/>
              <w:rPr>
                <w:rFonts w:cs="Times New Roman"/>
                <w:color w:val="000000"/>
                <w:kern w:val="0"/>
                <w:szCs w:val="21"/>
              </w:rPr>
            </w:pPr>
          </w:p>
        </w:tc>
        <w:tc>
          <w:tcPr>
            <w:tcW w:w="445"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1086.63</w:t>
            </w:r>
          </w:p>
        </w:tc>
        <w:tc>
          <w:tcPr>
            <w:tcW w:w="79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w:t>
            </w:r>
          </w:p>
        </w:tc>
        <w:tc>
          <w:tcPr>
            <w:tcW w:w="1057"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框架结构</w:t>
            </w:r>
          </w:p>
        </w:tc>
        <w:tc>
          <w:tcPr>
            <w:tcW w:w="918" w:type="dxa"/>
            <w:noWrap/>
            <w:vAlign w:val="center"/>
          </w:tcPr>
          <w:p>
            <w:pPr>
              <w:widowControl/>
              <w:ind w:left="-105" w:leftChars="-50" w:right="-105" w:rightChars="-50"/>
              <w:jc w:val="center"/>
              <w:rPr>
                <w:rFonts w:cs="Times New Roman"/>
                <w:color w:val="000000"/>
                <w:kern w:val="0"/>
                <w:szCs w:val="21"/>
              </w:rPr>
            </w:pPr>
          </w:p>
        </w:tc>
        <w:tc>
          <w:tcPr>
            <w:tcW w:w="768" w:type="dxa"/>
            <w:noWrap/>
            <w:vAlign w:val="center"/>
          </w:tcPr>
          <w:p>
            <w:pPr>
              <w:widowControl/>
              <w:ind w:left="-105" w:leftChars="-50" w:right="-105" w:rightChars="-50"/>
              <w:jc w:val="center"/>
              <w:rPr>
                <w:rFonts w:cs="Times New Roman"/>
                <w:color w:val="000000"/>
                <w:kern w:val="0"/>
                <w:szCs w:val="21"/>
              </w:rPr>
            </w:pPr>
          </w:p>
        </w:tc>
        <w:tc>
          <w:tcPr>
            <w:tcW w:w="62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735" w:type="dxa"/>
            <w:noWrap/>
            <w:vAlign w:val="center"/>
          </w:tcPr>
          <w:p>
            <w:pPr>
              <w:widowControl/>
              <w:ind w:left="-105" w:leftChars="-50" w:right="-105" w:rightChars="-50"/>
              <w:jc w:val="center"/>
              <w:rPr>
                <w:rFonts w:cs="Times New Roman"/>
                <w:color w:val="000000"/>
                <w:kern w:val="0"/>
                <w:szCs w:val="21"/>
              </w:rPr>
            </w:pPr>
          </w:p>
        </w:tc>
        <w:tc>
          <w:tcPr>
            <w:tcW w:w="811"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p>
        </w:tc>
        <w:tc>
          <w:tcPr>
            <w:tcW w:w="445"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p>
        </w:tc>
        <w:tc>
          <w:tcPr>
            <w:tcW w:w="798" w:type="dxa"/>
            <w:noWrap/>
            <w:vAlign w:val="center"/>
          </w:tcPr>
          <w:p>
            <w:pPr>
              <w:widowControl/>
              <w:ind w:left="-105" w:leftChars="-50" w:right="-105" w:rightChars="-50"/>
              <w:jc w:val="center"/>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2</w:t>
            </w:r>
          </w:p>
        </w:tc>
        <w:tc>
          <w:tcPr>
            <w:tcW w:w="1057"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砖混结构</w:t>
            </w:r>
          </w:p>
        </w:tc>
        <w:tc>
          <w:tcPr>
            <w:tcW w:w="91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133.43</w:t>
            </w:r>
          </w:p>
        </w:tc>
        <w:tc>
          <w:tcPr>
            <w:tcW w:w="76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12.28%</w:t>
            </w:r>
          </w:p>
        </w:tc>
        <w:tc>
          <w:tcPr>
            <w:tcW w:w="62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735"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133.43</w:t>
            </w:r>
          </w:p>
        </w:tc>
        <w:tc>
          <w:tcPr>
            <w:tcW w:w="81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12.28%</w:t>
            </w:r>
          </w:p>
        </w:tc>
        <w:tc>
          <w:tcPr>
            <w:tcW w:w="1278" w:type="dxa"/>
            <w:noWrap/>
            <w:vAlign w:val="center"/>
          </w:tcPr>
          <w:p>
            <w:pPr>
              <w:widowControl/>
              <w:ind w:left="-105" w:leftChars="-50" w:right="-105" w:rightChars="-50"/>
              <w:jc w:val="center"/>
              <w:rPr>
                <w:rFonts w:cs="Times New Roman"/>
                <w:color w:val="000000"/>
                <w:kern w:val="0"/>
                <w:szCs w:val="21"/>
              </w:rPr>
            </w:pPr>
          </w:p>
        </w:tc>
        <w:tc>
          <w:tcPr>
            <w:tcW w:w="445"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133.43</w:t>
            </w:r>
          </w:p>
        </w:tc>
        <w:tc>
          <w:tcPr>
            <w:tcW w:w="79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12.28%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3</w:t>
            </w:r>
          </w:p>
        </w:tc>
        <w:tc>
          <w:tcPr>
            <w:tcW w:w="1057"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砖木结构</w:t>
            </w:r>
          </w:p>
        </w:tc>
        <w:tc>
          <w:tcPr>
            <w:tcW w:w="91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2.03</w:t>
            </w:r>
          </w:p>
        </w:tc>
        <w:tc>
          <w:tcPr>
            <w:tcW w:w="76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0.19%</w:t>
            </w:r>
          </w:p>
        </w:tc>
        <w:tc>
          <w:tcPr>
            <w:tcW w:w="62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735"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2.03</w:t>
            </w:r>
          </w:p>
        </w:tc>
        <w:tc>
          <w:tcPr>
            <w:tcW w:w="81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0.19%</w:t>
            </w:r>
          </w:p>
        </w:tc>
        <w:tc>
          <w:tcPr>
            <w:tcW w:w="1278" w:type="dxa"/>
            <w:noWrap/>
            <w:vAlign w:val="center"/>
          </w:tcPr>
          <w:p>
            <w:pPr>
              <w:widowControl/>
              <w:ind w:left="-105" w:leftChars="-50" w:right="-105" w:rightChars="-50"/>
              <w:jc w:val="center"/>
              <w:rPr>
                <w:rFonts w:cs="Times New Roman"/>
                <w:color w:val="000000"/>
                <w:kern w:val="0"/>
                <w:szCs w:val="21"/>
              </w:rPr>
            </w:pPr>
          </w:p>
        </w:tc>
        <w:tc>
          <w:tcPr>
            <w:tcW w:w="445"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2.03</w:t>
            </w:r>
          </w:p>
        </w:tc>
        <w:tc>
          <w:tcPr>
            <w:tcW w:w="79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4</w:t>
            </w:r>
          </w:p>
        </w:tc>
        <w:tc>
          <w:tcPr>
            <w:tcW w:w="1057"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土木结构</w:t>
            </w:r>
          </w:p>
        </w:tc>
        <w:tc>
          <w:tcPr>
            <w:tcW w:w="91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193.53</w:t>
            </w:r>
          </w:p>
        </w:tc>
        <w:tc>
          <w:tcPr>
            <w:tcW w:w="76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17.81%</w:t>
            </w:r>
          </w:p>
        </w:tc>
        <w:tc>
          <w:tcPr>
            <w:tcW w:w="62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735"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193.53</w:t>
            </w:r>
          </w:p>
        </w:tc>
        <w:tc>
          <w:tcPr>
            <w:tcW w:w="81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17.81%</w:t>
            </w:r>
          </w:p>
        </w:tc>
        <w:tc>
          <w:tcPr>
            <w:tcW w:w="1278" w:type="dxa"/>
            <w:noWrap/>
            <w:vAlign w:val="center"/>
          </w:tcPr>
          <w:p>
            <w:pPr>
              <w:widowControl/>
              <w:ind w:left="-105" w:leftChars="-50" w:right="-105" w:rightChars="-50"/>
              <w:jc w:val="center"/>
              <w:rPr>
                <w:rFonts w:cs="Times New Roman"/>
                <w:color w:val="000000"/>
                <w:kern w:val="0"/>
                <w:szCs w:val="21"/>
              </w:rPr>
            </w:pPr>
          </w:p>
        </w:tc>
        <w:tc>
          <w:tcPr>
            <w:tcW w:w="445"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193.53</w:t>
            </w:r>
          </w:p>
        </w:tc>
        <w:tc>
          <w:tcPr>
            <w:tcW w:w="79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17.81%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5</w:t>
            </w:r>
          </w:p>
        </w:tc>
        <w:tc>
          <w:tcPr>
            <w:tcW w:w="1057"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木结构</w:t>
            </w:r>
          </w:p>
        </w:tc>
        <w:tc>
          <w:tcPr>
            <w:tcW w:w="91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10.20</w:t>
            </w:r>
          </w:p>
        </w:tc>
        <w:tc>
          <w:tcPr>
            <w:tcW w:w="76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0.94%</w:t>
            </w:r>
          </w:p>
        </w:tc>
        <w:tc>
          <w:tcPr>
            <w:tcW w:w="62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735"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10.20</w:t>
            </w:r>
          </w:p>
        </w:tc>
        <w:tc>
          <w:tcPr>
            <w:tcW w:w="811"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0.94%</w:t>
            </w:r>
          </w:p>
        </w:tc>
        <w:tc>
          <w:tcPr>
            <w:tcW w:w="1278" w:type="dxa"/>
            <w:noWrap/>
            <w:vAlign w:val="center"/>
          </w:tcPr>
          <w:p>
            <w:pPr>
              <w:widowControl/>
              <w:ind w:left="-105" w:leftChars="-50" w:right="-105" w:rightChars="-50"/>
              <w:jc w:val="center"/>
              <w:rPr>
                <w:rFonts w:cs="Times New Roman"/>
                <w:color w:val="000000"/>
                <w:kern w:val="0"/>
                <w:szCs w:val="21"/>
              </w:rPr>
            </w:pPr>
          </w:p>
        </w:tc>
        <w:tc>
          <w:tcPr>
            <w:tcW w:w="445"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10.20</w:t>
            </w:r>
          </w:p>
        </w:tc>
        <w:tc>
          <w:tcPr>
            <w:tcW w:w="798"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0.94%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6</w:t>
            </w:r>
          </w:p>
        </w:tc>
        <w:tc>
          <w:tcPr>
            <w:tcW w:w="1057" w:type="dxa"/>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简易结构</w:t>
            </w:r>
          </w:p>
        </w:tc>
        <w:tc>
          <w:tcPr>
            <w:tcW w:w="918" w:type="dxa"/>
            <w:noWrap/>
            <w:vAlign w:val="center"/>
          </w:tcPr>
          <w:p>
            <w:pPr>
              <w:widowControl/>
              <w:ind w:left="-105" w:leftChars="-50" w:right="-105" w:rightChars="-50"/>
              <w:jc w:val="center"/>
              <w:rPr>
                <w:rFonts w:cs="Times New Roman"/>
                <w:color w:val="000000"/>
                <w:kern w:val="0"/>
                <w:szCs w:val="21"/>
              </w:rPr>
            </w:pPr>
          </w:p>
        </w:tc>
        <w:tc>
          <w:tcPr>
            <w:tcW w:w="768" w:type="dxa"/>
            <w:noWrap/>
            <w:vAlign w:val="center"/>
          </w:tcPr>
          <w:p>
            <w:pPr>
              <w:widowControl/>
              <w:ind w:left="-105" w:leftChars="-50" w:right="-105" w:rightChars="-50"/>
              <w:jc w:val="center"/>
              <w:rPr>
                <w:rFonts w:cs="Times New Roman"/>
                <w:color w:val="000000"/>
                <w:kern w:val="0"/>
                <w:szCs w:val="21"/>
              </w:rPr>
            </w:pPr>
          </w:p>
        </w:tc>
        <w:tc>
          <w:tcPr>
            <w:tcW w:w="62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1218" w:type="dxa"/>
            <w:noWrap/>
            <w:vAlign w:val="center"/>
          </w:tcPr>
          <w:p>
            <w:pPr>
              <w:widowControl/>
              <w:ind w:left="-105" w:leftChars="-50" w:right="-105" w:rightChars="-50"/>
              <w:jc w:val="center"/>
              <w:rPr>
                <w:rFonts w:cs="Times New Roman"/>
                <w:color w:val="000000"/>
                <w:kern w:val="0"/>
                <w:szCs w:val="21"/>
              </w:rPr>
            </w:pPr>
          </w:p>
        </w:tc>
        <w:tc>
          <w:tcPr>
            <w:tcW w:w="631" w:type="dxa"/>
            <w:noWrap/>
            <w:vAlign w:val="center"/>
          </w:tcPr>
          <w:p>
            <w:pPr>
              <w:widowControl/>
              <w:ind w:left="-105" w:leftChars="-50" w:right="-105" w:rightChars="-50"/>
              <w:jc w:val="center"/>
              <w:rPr>
                <w:rFonts w:cs="Times New Roman"/>
                <w:color w:val="000000"/>
                <w:kern w:val="0"/>
                <w:szCs w:val="21"/>
              </w:rPr>
            </w:pPr>
          </w:p>
        </w:tc>
        <w:tc>
          <w:tcPr>
            <w:tcW w:w="735" w:type="dxa"/>
            <w:noWrap/>
            <w:vAlign w:val="center"/>
          </w:tcPr>
          <w:p>
            <w:pPr>
              <w:widowControl/>
              <w:ind w:left="-105" w:leftChars="-50" w:right="-105" w:rightChars="-50"/>
              <w:jc w:val="center"/>
              <w:rPr>
                <w:rFonts w:cs="Times New Roman"/>
                <w:color w:val="000000"/>
                <w:kern w:val="0"/>
                <w:szCs w:val="21"/>
              </w:rPr>
            </w:pPr>
          </w:p>
        </w:tc>
        <w:tc>
          <w:tcPr>
            <w:tcW w:w="811"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p>
        </w:tc>
        <w:tc>
          <w:tcPr>
            <w:tcW w:w="445" w:type="dxa"/>
            <w:noWrap/>
            <w:vAlign w:val="center"/>
          </w:tcPr>
          <w:p>
            <w:pPr>
              <w:widowControl/>
              <w:ind w:left="-105" w:leftChars="-50" w:right="-105" w:rightChars="-50"/>
              <w:jc w:val="center"/>
              <w:rPr>
                <w:rFonts w:cs="Times New Roman"/>
                <w:color w:val="000000"/>
                <w:kern w:val="0"/>
                <w:szCs w:val="21"/>
              </w:rPr>
            </w:pPr>
          </w:p>
        </w:tc>
        <w:tc>
          <w:tcPr>
            <w:tcW w:w="1278" w:type="dxa"/>
            <w:noWrap/>
            <w:vAlign w:val="center"/>
          </w:tcPr>
          <w:p>
            <w:pPr>
              <w:widowControl/>
              <w:ind w:left="-105" w:leftChars="-50" w:right="-105" w:rightChars="-50"/>
              <w:jc w:val="center"/>
              <w:rPr>
                <w:rFonts w:cs="Times New Roman"/>
                <w:color w:val="000000"/>
                <w:kern w:val="0"/>
                <w:szCs w:val="21"/>
              </w:rPr>
            </w:pPr>
          </w:p>
        </w:tc>
        <w:tc>
          <w:tcPr>
            <w:tcW w:w="798" w:type="dxa"/>
            <w:noWrap/>
            <w:vAlign w:val="center"/>
          </w:tcPr>
          <w:p>
            <w:pPr>
              <w:widowControl/>
              <w:ind w:left="-105" w:leftChars="-50" w:right="-105" w:rightChars="-50"/>
              <w:jc w:val="center"/>
              <w:rPr>
                <w:rFonts w:cs="Times New Roman"/>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12"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7</w:t>
            </w:r>
          </w:p>
        </w:tc>
        <w:tc>
          <w:tcPr>
            <w:tcW w:w="1057"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其他结构</w:t>
            </w:r>
          </w:p>
        </w:tc>
        <w:tc>
          <w:tcPr>
            <w:tcW w:w="918"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747.44</w:t>
            </w:r>
          </w:p>
        </w:tc>
        <w:tc>
          <w:tcPr>
            <w:tcW w:w="768"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68.79%</w:t>
            </w:r>
          </w:p>
        </w:tc>
        <w:tc>
          <w:tcPr>
            <w:tcW w:w="628"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p>
        </w:tc>
        <w:tc>
          <w:tcPr>
            <w:tcW w:w="631"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p>
        </w:tc>
        <w:tc>
          <w:tcPr>
            <w:tcW w:w="1218"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p>
        </w:tc>
        <w:tc>
          <w:tcPr>
            <w:tcW w:w="631"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p>
        </w:tc>
        <w:tc>
          <w:tcPr>
            <w:tcW w:w="1218"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p>
        </w:tc>
        <w:tc>
          <w:tcPr>
            <w:tcW w:w="631"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p>
        </w:tc>
        <w:tc>
          <w:tcPr>
            <w:tcW w:w="735"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747.44</w:t>
            </w:r>
          </w:p>
        </w:tc>
        <w:tc>
          <w:tcPr>
            <w:tcW w:w="811"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68.79%</w:t>
            </w:r>
          </w:p>
        </w:tc>
        <w:tc>
          <w:tcPr>
            <w:tcW w:w="1278"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p>
        </w:tc>
        <w:tc>
          <w:tcPr>
            <w:tcW w:w="445"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p>
        </w:tc>
        <w:tc>
          <w:tcPr>
            <w:tcW w:w="1278"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747.44</w:t>
            </w:r>
          </w:p>
        </w:tc>
        <w:tc>
          <w:tcPr>
            <w:tcW w:w="798" w:type="dxa"/>
            <w:tcBorders>
              <w:bottom w:val="single" w:color="auto" w:sz="12" w:space="0"/>
            </w:tcBorders>
            <w:noWrap/>
            <w:vAlign w:val="center"/>
          </w:tcPr>
          <w:p>
            <w:pPr>
              <w:widowControl/>
              <w:ind w:left="-105" w:leftChars="-50" w:right="-105" w:rightChars="-50"/>
              <w:jc w:val="center"/>
              <w:rPr>
                <w:rFonts w:cs="Times New Roman"/>
                <w:color w:val="000000"/>
                <w:kern w:val="0"/>
                <w:szCs w:val="21"/>
              </w:rPr>
            </w:pPr>
            <w:r>
              <w:rPr>
                <w:rFonts w:cs="Times New Roman"/>
                <w:color w:val="000000"/>
                <w:kern w:val="0"/>
                <w:szCs w:val="21"/>
              </w:rPr>
              <w:t>68.79%</w:t>
            </w:r>
          </w:p>
        </w:tc>
      </w:tr>
    </w:tbl>
    <w:p>
      <w:pPr>
        <w:overflowPunct w:val="0"/>
        <w:autoSpaceDE w:val="0"/>
        <w:autoSpaceDN w:val="0"/>
        <w:snapToGrid w:val="0"/>
        <w:spacing w:line="360" w:lineRule="auto"/>
        <w:ind w:firstLine="420"/>
        <w:rPr>
          <w:color w:val="000000"/>
          <w:sz w:val="24"/>
          <w:szCs w:val="24"/>
          <w:shd w:val="clear" w:color="auto" w:fill="FFFF00"/>
        </w:rPr>
        <w:sectPr>
          <w:footerReference r:id="rId44" w:type="default"/>
          <w:pgSz w:w="16838" w:h="11906" w:orient="landscape"/>
          <w:pgMar w:top="1588" w:right="1559" w:bottom="1531" w:left="1559" w:header="1134" w:footer="1247" w:gutter="0"/>
          <w:cols w:space="720" w:num="1"/>
          <w:docGrid w:linePitch="312" w:charSpace="0"/>
        </w:sectPr>
      </w:pPr>
    </w:p>
    <w:p>
      <w:pPr>
        <w:overflowPunct w:val="0"/>
        <w:autoSpaceDE w:val="0"/>
        <w:autoSpaceDN w:val="0"/>
        <w:adjustRightInd w:val="0"/>
        <w:snapToGrid w:val="0"/>
        <w:spacing w:line="480" w:lineRule="exact"/>
        <w:ind w:firstLine="480" w:firstLineChars="200"/>
        <w:rPr>
          <w:rFonts w:cs="Times New Roman"/>
          <w:color w:val="000000"/>
          <w:sz w:val="24"/>
          <w:szCs w:val="24"/>
        </w:rPr>
      </w:pPr>
      <w:r>
        <w:rPr>
          <w:rFonts w:hAnsi="宋体" w:cs="Times New Roman"/>
          <w:color w:val="000000"/>
          <w:sz w:val="24"/>
          <w:szCs w:val="24"/>
        </w:rPr>
        <w:t>根据计算结果，电站建设征地区户均房屋面积</w:t>
      </w:r>
      <w:r>
        <w:rPr>
          <w:rFonts w:cs="Times New Roman"/>
          <w:color w:val="000000"/>
          <w:sz w:val="24"/>
          <w:szCs w:val="24"/>
        </w:rPr>
        <w:t>181.11</w:t>
      </w:r>
      <w:r>
        <w:rPr>
          <w:rFonts w:hint="eastAsia" w:hAnsi="宋体" w:cs="Times New Roman"/>
          <w:color w:val="000000"/>
          <w:szCs w:val="22"/>
        </w:rPr>
        <w:t>m</w:t>
      </w:r>
      <w:r>
        <w:rPr>
          <w:rFonts w:hint="eastAsia" w:hAnsi="宋体" w:cs="Times New Roman"/>
          <w:color w:val="000000"/>
          <w:szCs w:val="22"/>
          <w:vertAlign w:val="superscript"/>
        </w:rPr>
        <w:t>2</w:t>
      </w:r>
      <w:r>
        <w:rPr>
          <w:rFonts w:cs="Times New Roman"/>
          <w:color w:val="000000"/>
          <w:sz w:val="24"/>
          <w:szCs w:val="24"/>
        </w:rPr>
        <w:t>/</w:t>
      </w:r>
      <w:r>
        <w:rPr>
          <w:rFonts w:hAnsi="宋体" w:cs="Times New Roman"/>
          <w:color w:val="000000"/>
          <w:sz w:val="24"/>
          <w:szCs w:val="24"/>
        </w:rPr>
        <w:t>户，人均房屋面积</w:t>
      </w:r>
      <w:r>
        <w:rPr>
          <w:rFonts w:cs="Times New Roman"/>
          <w:color w:val="000000"/>
          <w:sz w:val="24"/>
          <w:szCs w:val="24"/>
        </w:rPr>
        <w:t>108.66</w:t>
      </w:r>
      <w:r>
        <w:rPr>
          <w:rFonts w:hint="eastAsia" w:hAnsi="宋体" w:cs="Times New Roman"/>
          <w:color w:val="000000"/>
          <w:szCs w:val="22"/>
        </w:rPr>
        <w:t>m</w:t>
      </w:r>
      <w:r>
        <w:rPr>
          <w:rFonts w:hint="eastAsia" w:hAnsi="宋体" w:cs="Times New Roman"/>
          <w:color w:val="000000"/>
          <w:szCs w:val="22"/>
          <w:vertAlign w:val="superscript"/>
        </w:rPr>
        <w:t>2</w:t>
      </w:r>
      <w:r>
        <w:rPr>
          <w:rFonts w:cs="Times New Roman"/>
          <w:color w:val="000000"/>
          <w:sz w:val="24"/>
          <w:szCs w:val="24"/>
        </w:rPr>
        <w:t>/</w:t>
      </w:r>
      <w:r>
        <w:rPr>
          <w:rFonts w:hAnsi="宋体" w:cs="Times New Roman"/>
          <w:color w:val="000000"/>
          <w:sz w:val="24"/>
          <w:szCs w:val="24"/>
        </w:rPr>
        <w:t>人。搬迁移民住房以</w:t>
      </w:r>
      <w:r>
        <w:rPr>
          <w:rFonts w:hint="eastAsia" w:hAnsi="宋体" w:cs="Times New Roman"/>
          <w:color w:val="000000"/>
          <w:sz w:val="24"/>
          <w:szCs w:val="24"/>
        </w:rPr>
        <w:t>其他</w:t>
      </w:r>
      <w:r>
        <w:rPr>
          <w:rFonts w:hAnsi="宋体" w:cs="Times New Roman"/>
          <w:color w:val="000000"/>
          <w:sz w:val="24"/>
          <w:szCs w:val="24"/>
        </w:rPr>
        <w:t>结构、</w:t>
      </w:r>
      <w:r>
        <w:rPr>
          <w:rFonts w:hint="eastAsia" w:hAnsi="宋体" w:cs="Times New Roman"/>
          <w:color w:val="000000"/>
          <w:sz w:val="24"/>
          <w:szCs w:val="24"/>
        </w:rPr>
        <w:t>土</w:t>
      </w:r>
      <w:r>
        <w:rPr>
          <w:rFonts w:hAnsi="宋体" w:cs="Times New Roman"/>
          <w:color w:val="000000"/>
          <w:sz w:val="24"/>
          <w:szCs w:val="24"/>
        </w:rPr>
        <w:t>木结构为主，总体上工程建设征地区房屋质量良好。</w:t>
      </w:r>
    </w:p>
    <w:p>
      <w:pPr>
        <w:adjustRightInd w:val="0"/>
        <w:snapToGrid w:val="0"/>
        <w:spacing w:before="120" w:beforeLines="50" w:line="460" w:lineRule="exact"/>
        <w:jc w:val="right"/>
        <w:rPr>
          <w:rFonts w:cs="Times New Roman"/>
          <w:color w:val="000000"/>
          <w:szCs w:val="21"/>
        </w:rPr>
      </w:pPr>
      <w:r>
        <w:rPr>
          <w:rFonts w:hint="eastAsia" w:eastAsia="黑体" w:cs="Times New Roman"/>
          <w:color w:val="000000"/>
          <w:sz w:val="24"/>
          <w:szCs w:val="24"/>
        </w:rPr>
        <w:t xml:space="preserve">表9.3-2 </w:t>
      </w:r>
      <w:r>
        <w:rPr>
          <w:rFonts w:eastAsia="黑体" w:cs="Times New Roman"/>
          <w:color w:val="000000"/>
          <w:sz w:val="24"/>
          <w:szCs w:val="24"/>
        </w:rPr>
        <w:t xml:space="preserve"> </w:t>
      </w:r>
      <w:r>
        <w:rPr>
          <w:rFonts w:hint="eastAsia" w:eastAsia="黑体" w:cs="Times New Roman"/>
          <w:color w:val="000000"/>
          <w:sz w:val="24"/>
          <w:szCs w:val="24"/>
        </w:rPr>
        <w:t>陆河抽水蓄能电站建设征地涉及房屋分析表</w:t>
      </w:r>
      <w:r>
        <w:rPr>
          <w:rFonts w:eastAsia="黑体" w:cs="Times New Roman"/>
          <w:color w:val="000000"/>
          <w:sz w:val="24"/>
          <w:szCs w:val="24"/>
        </w:rPr>
        <w:t xml:space="preserve">     </w:t>
      </w:r>
      <w:r>
        <w:rPr>
          <w:rFonts w:hAnsi="宋体" w:cs="Times New Roman"/>
          <w:color w:val="000000"/>
          <w:szCs w:val="21"/>
        </w:rPr>
        <w:t>单位：</w:t>
      </w:r>
      <w:r>
        <w:rPr>
          <w:rFonts w:hint="eastAsia" w:hAnsi="宋体" w:cs="Times New Roman"/>
          <w:color w:val="000000"/>
          <w:szCs w:val="22"/>
        </w:rPr>
        <w:t>m</w:t>
      </w:r>
      <w:r>
        <w:rPr>
          <w:rFonts w:hint="eastAsia" w:hAnsi="宋体" w:cs="Times New Roman"/>
          <w:color w:val="000000"/>
          <w:szCs w:val="22"/>
          <w:vertAlign w:val="superscript"/>
        </w:rPr>
        <w:t>2</w:t>
      </w:r>
    </w:p>
    <w:tbl>
      <w:tblPr>
        <w:tblStyle w:val="79"/>
        <w:tblW w:w="88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168"/>
        <w:gridCol w:w="794"/>
        <w:gridCol w:w="967"/>
        <w:gridCol w:w="967"/>
        <w:gridCol w:w="967"/>
        <w:gridCol w:w="967"/>
        <w:gridCol w:w="967"/>
        <w:gridCol w:w="9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结构</w:t>
            </w:r>
          </w:p>
        </w:tc>
        <w:tc>
          <w:tcPr>
            <w:tcW w:w="1168"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指标</w:t>
            </w:r>
          </w:p>
        </w:tc>
        <w:tc>
          <w:tcPr>
            <w:tcW w:w="794" w:type="dxa"/>
            <w:vMerge w:val="restart"/>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总计</w:t>
            </w:r>
          </w:p>
        </w:tc>
        <w:tc>
          <w:tcPr>
            <w:tcW w:w="2901"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枢纽工程建设区</w:t>
            </w:r>
          </w:p>
        </w:tc>
        <w:tc>
          <w:tcPr>
            <w:tcW w:w="2893" w:type="dxa"/>
            <w:gridSpan w:val="3"/>
            <w:tcBorders>
              <w:top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水库淹没区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noWrap w:val="0"/>
            <w:vAlign w:val="center"/>
          </w:tcPr>
          <w:p>
            <w:pPr>
              <w:widowControl/>
              <w:jc w:val="left"/>
              <w:rPr>
                <w:rFonts w:cs="Times New Roman"/>
                <w:color w:val="000000"/>
                <w:kern w:val="0"/>
                <w:szCs w:val="21"/>
              </w:rPr>
            </w:pPr>
          </w:p>
        </w:tc>
        <w:tc>
          <w:tcPr>
            <w:tcW w:w="1168" w:type="dxa"/>
            <w:vMerge w:val="continue"/>
            <w:noWrap w:val="0"/>
            <w:vAlign w:val="center"/>
          </w:tcPr>
          <w:p>
            <w:pPr>
              <w:widowControl/>
              <w:jc w:val="left"/>
              <w:rPr>
                <w:rFonts w:cs="Times New Roman"/>
                <w:color w:val="000000"/>
                <w:kern w:val="0"/>
                <w:szCs w:val="21"/>
              </w:rPr>
            </w:pPr>
          </w:p>
        </w:tc>
        <w:tc>
          <w:tcPr>
            <w:tcW w:w="794" w:type="dxa"/>
            <w:vMerge w:val="continue"/>
            <w:noWrap w:val="0"/>
            <w:vAlign w:val="center"/>
          </w:tcPr>
          <w:p>
            <w:pPr>
              <w:widowControl/>
              <w:jc w:val="left"/>
              <w:rPr>
                <w:rFonts w:cs="Times New Roman"/>
                <w:color w:val="000000"/>
                <w:kern w:val="0"/>
                <w:szCs w:val="21"/>
              </w:rPr>
            </w:pPr>
          </w:p>
        </w:tc>
        <w:tc>
          <w:tcPr>
            <w:tcW w:w="967"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967" w:type="dxa"/>
            <w:noWrap w:val="0"/>
            <w:vAlign w:val="center"/>
          </w:tcPr>
          <w:p>
            <w:pPr>
              <w:widowControl/>
              <w:jc w:val="center"/>
              <w:rPr>
                <w:rFonts w:hint="eastAsia" w:cs="Times New Roman"/>
                <w:color w:val="000000"/>
                <w:kern w:val="0"/>
                <w:szCs w:val="21"/>
              </w:rPr>
            </w:pPr>
            <w:r>
              <w:rPr>
                <w:rFonts w:cs="Times New Roman"/>
                <w:color w:val="000000"/>
                <w:kern w:val="0"/>
                <w:szCs w:val="21"/>
              </w:rPr>
              <w:t>枢纽</w:t>
            </w:r>
          </w:p>
          <w:p>
            <w:pPr>
              <w:widowControl/>
              <w:jc w:val="center"/>
              <w:rPr>
                <w:rFonts w:cs="Times New Roman"/>
                <w:color w:val="000000"/>
                <w:kern w:val="0"/>
                <w:szCs w:val="21"/>
              </w:rPr>
            </w:pPr>
            <w:r>
              <w:rPr>
                <w:rFonts w:cs="Times New Roman"/>
                <w:color w:val="000000"/>
                <w:kern w:val="0"/>
                <w:szCs w:val="21"/>
              </w:rPr>
              <w:t>永久</w:t>
            </w:r>
          </w:p>
        </w:tc>
        <w:tc>
          <w:tcPr>
            <w:tcW w:w="967" w:type="dxa"/>
            <w:noWrap w:val="0"/>
            <w:vAlign w:val="center"/>
          </w:tcPr>
          <w:p>
            <w:pPr>
              <w:widowControl/>
              <w:jc w:val="center"/>
              <w:rPr>
                <w:rFonts w:hint="eastAsia" w:cs="Times New Roman"/>
                <w:color w:val="000000"/>
                <w:kern w:val="0"/>
                <w:szCs w:val="21"/>
              </w:rPr>
            </w:pPr>
            <w:r>
              <w:rPr>
                <w:rFonts w:cs="Times New Roman"/>
                <w:color w:val="000000"/>
                <w:kern w:val="0"/>
                <w:szCs w:val="21"/>
              </w:rPr>
              <w:t>枢纽</w:t>
            </w:r>
          </w:p>
          <w:p>
            <w:pPr>
              <w:widowControl/>
              <w:jc w:val="center"/>
              <w:rPr>
                <w:rFonts w:cs="Times New Roman"/>
                <w:color w:val="000000"/>
                <w:kern w:val="0"/>
                <w:szCs w:val="21"/>
              </w:rPr>
            </w:pPr>
            <w:r>
              <w:rPr>
                <w:rFonts w:cs="Times New Roman"/>
                <w:color w:val="000000"/>
                <w:kern w:val="0"/>
                <w:szCs w:val="21"/>
              </w:rPr>
              <w:t>临时</w:t>
            </w:r>
          </w:p>
        </w:tc>
        <w:tc>
          <w:tcPr>
            <w:tcW w:w="967" w:type="dxa"/>
            <w:noWrap w:val="0"/>
            <w:vAlign w:val="center"/>
          </w:tcPr>
          <w:p>
            <w:pPr>
              <w:widowControl/>
              <w:jc w:val="center"/>
              <w:rPr>
                <w:rFonts w:cs="Times New Roman"/>
                <w:color w:val="000000"/>
                <w:kern w:val="0"/>
                <w:szCs w:val="21"/>
              </w:rPr>
            </w:pPr>
            <w:r>
              <w:rPr>
                <w:rFonts w:cs="Times New Roman"/>
                <w:color w:val="000000"/>
                <w:kern w:val="0"/>
                <w:szCs w:val="21"/>
              </w:rPr>
              <w:t>小计</w:t>
            </w:r>
          </w:p>
        </w:tc>
        <w:tc>
          <w:tcPr>
            <w:tcW w:w="967" w:type="dxa"/>
            <w:noWrap w:val="0"/>
            <w:vAlign w:val="center"/>
          </w:tcPr>
          <w:p>
            <w:pPr>
              <w:widowControl/>
              <w:jc w:val="center"/>
              <w:rPr>
                <w:rFonts w:cs="Times New Roman"/>
                <w:color w:val="000000"/>
                <w:kern w:val="0"/>
                <w:szCs w:val="21"/>
              </w:rPr>
            </w:pPr>
            <w:r>
              <w:rPr>
                <w:rFonts w:cs="Times New Roman"/>
                <w:color w:val="000000"/>
                <w:kern w:val="0"/>
                <w:szCs w:val="21"/>
              </w:rPr>
              <w:t>上水库</w:t>
            </w:r>
          </w:p>
        </w:tc>
        <w:tc>
          <w:tcPr>
            <w:tcW w:w="959" w:type="dxa"/>
            <w:noWrap w:val="0"/>
            <w:vAlign w:val="center"/>
          </w:tcPr>
          <w:p>
            <w:pPr>
              <w:widowControl/>
              <w:jc w:val="center"/>
              <w:rPr>
                <w:rFonts w:cs="Times New Roman"/>
                <w:color w:val="000000"/>
                <w:kern w:val="0"/>
                <w:szCs w:val="21"/>
              </w:rPr>
            </w:pPr>
            <w:r>
              <w:rPr>
                <w:rFonts w:cs="Times New Roman"/>
                <w:color w:val="000000"/>
                <w:kern w:val="0"/>
                <w:szCs w:val="21"/>
              </w:rPr>
              <w:t>下水库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noWrap w:val="0"/>
            <w:vAlign w:val="center"/>
          </w:tcPr>
          <w:p>
            <w:pPr>
              <w:widowControl/>
              <w:jc w:val="center"/>
              <w:rPr>
                <w:rFonts w:cs="Times New Roman"/>
                <w:color w:val="000000"/>
                <w:kern w:val="0"/>
                <w:szCs w:val="21"/>
              </w:rPr>
            </w:pPr>
            <w:r>
              <w:rPr>
                <w:rFonts w:cs="Times New Roman"/>
                <w:color w:val="000000"/>
                <w:kern w:val="0"/>
                <w:szCs w:val="21"/>
              </w:rPr>
              <w:t>合计</w:t>
            </w: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户均面积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181.11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181.11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181.11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noWrap w:val="0"/>
            <w:vAlign w:val="center"/>
          </w:tcPr>
          <w:p>
            <w:pPr>
              <w:widowControl/>
              <w:jc w:val="left"/>
              <w:rPr>
                <w:rFonts w:cs="Times New Roman"/>
                <w:color w:val="000000"/>
                <w:kern w:val="0"/>
                <w:szCs w:val="21"/>
              </w:rPr>
            </w:pP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人均面积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108.66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108.66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108.66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noWrap/>
            <w:vAlign w:val="center"/>
          </w:tcPr>
          <w:p>
            <w:pPr>
              <w:widowControl/>
              <w:jc w:val="center"/>
              <w:rPr>
                <w:rFonts w:cs="Times New Roman"/>
                <w:color w:val="000000"/>
                <w:kern w:val="0"/>
                <w:szCs w:val="21"/>
              </w:rPr>
            </w:pPr>
            <w:r>
              <w:rPr>
                <w:rFonts w:cs="Times New Roman"/>
                <w:color w:val="000000"/>
                <w:kern w:val="0"/>
                <w:szCs w:val="21"/>
              </w:rPr>
              <w:t>框架结构</w:t>
            </w: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户均面积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noWrap w:val="0"/>
            <w:vAlign w:val="center"/>
          </w:tcPr>
          <w:p>
            <w:pPr>
              <w:widowControl/>
              <w:jc w:val="left"/>
              <w:rPr>
                <w:rFonts w:cs="Times New Roman"/>
                <w:color w:val="000000"/>
                <w:kern w:val="0"/>
                <w:szCs w:val="21"/>
              </w:rPr>
            </w:pP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人均面积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noWrap/>
            <w:vAlign w:val="center"/>
          </w:tcPr>
          <w:p>
            <w:pPr>
              <w:widowControl/>
              <w:jc w:val="center"/>
              <w:rPr>
                <w:rFonts w:cs="Times New Roman"/>
                <w:color w:val="000000"/>
                <w:kern w:val="0"/>
                <w:szCs w:val="21"/>
              </w:rPr>
            </w:pPr>
            <w:r>
              <w:rPr>
                <w:rFonts w:cs="Times New Roman"/>
                <w:color w:val="000000"/>
                <w:kern w:val="0"/>
                <w:szCs w:val="21"/>
              </w:rPr>
              <w:t>砖混结构</w:t>
            </w: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户均面积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22.24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22.24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22.24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noWrap w:val="0"/>
            <w:vAlign w:val="center"/>
          </w:tcPr>
          <w:p>
            <w:pPr>
              <w:widowControl/>
              <w:jc w:val="left"/>
              <w:rPr>
                <w:rFonts w:cs="Times New Roman"/>
                <w:color w:val="000000"/>
                <w:kern w:val="0"/>
                <w:szCs w:val="21"/>
              </w:rPr>
            </w:pP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人均面积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13.34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13.34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13.34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noWrap/>
            <w:vAlign w:val="center"/>
          </w:tcPr>
          <w:p>
            <w:pPr>
              <w:widowControl/>
              <w:jc w:val="center"/>
              <w:rPr>
                <w:rFonts w:cs="Times New Roman"/>
                <w:color w:val="000000"/>
                <w:kern w:val="0"/>
                <w:szCs w:val="21"/>
              </w:rPr>
            </w:pPr>
            <w:r>
              <w:rPr>
                <w:rFonts w:cs="Times New Roman"/>
                <w:color w:val="000000"/>
                <w:kern w:val="0"/>
                <w:szCs w:val="21"/>
              </w:rPr>
              <w:t>砖木结构</w:t>
            </w: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户均面积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0.34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0.34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0.34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noWrap w:val="0"/>
            <w:vAlign w:val="center"/>
          </w:tcPr>
          <w:p>
            <w:pPr>
              <w:widowControl/>
              <w:jc w:val="left"/>
              <w:rPr>
                <w:rFonts w:cs="Times New Roman"/>
                <w:color w:val="000000"/>
                <w:kern w:val="0"/>
                <w:szCs w:val="21"/>
              </w:rPr>
            </w:pP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人均面积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0.20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0.20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0.20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noWrap/>
            <w:vAlign w:val="center"/>
          </w:tcPr>
          <w:p>
            <w:pPr>
              <w:widowControl/>
              <w:jc w:val="center"/>
              <w:rPr>
                <w:rFonts w:cs="Times New Roman"/>
                <w:color w:val="000000"/>
                <w:kern w:val="0"/>
                <w:szCs w:val="21"/>
              </w:rPr>
            </w:pPr>
            <w:r>
              <w:rPr>
                <w:rFonts w:cs="Times New Roman"/>
                <w:color w:val="000000"/>
                <w:kern w:val="0"/>
                <w:szCs w:val="21"/>
              </w:rPr>
              <w:t>土木结构</w:t>
            </w: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户均面积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32.26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32.26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32.26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noWrap w:val="0"/>
            <w:vAlign w:val="center"/>
          </w:tcPr>
          <w:p>
            <w:pPr>
              <w:widowControl/>
              <w:jc w:val="left"/>
              <w:rPr>
                <w:rFonts w:cs="Times New Roman"/>
                <w:color w:val="000000"/>
                <w:kern w:val="0"/>
                <w:szCs w:val="21"/>
              </w:rPr>
            </w:pP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人均面积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19.35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19.35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19.35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noWrap/>
            <w:vAlign w:val="center"/>
          </w:tcPr>
          <w:p>
            <w:pPr>
              <w:widowControl/>
              <w:jc w:val="center"/>
              <w:rPr>
                <w:rFonts w:cs="Times New Roman"/>
                <w:color w:val="000000"/>
                <w:kern w:val="0"/>
                <w:szCs w:val="21"/>
              </w:rPr>
            </w:pPr>
            <w:r>
              <w:rPr>
                <w:rFonts w:cs="Times New Roman"/>
                <w:color w:val="000000"/>
                <w:kern w:val="0"/>
                <w:szCs w:val="21"/>
              </w:rPr>
              <w:t>木结构</w:t>
            </w: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户均面积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1.70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1.70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1.70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noWrap w:val="0"/>
            <w:vAlign w:val="center"/>
          </w:tcPr>
          <w:p>
            <w:pPr>
              <w:widowControl/>
              <w:jc w:val="left"/>
              <w:rPr>
                <w:rFonts w:cs="Times New Roman"/>
                <w:color w:val="000000"/>
                <w:kern w:val="0"/>
                <w:szCs w:val="21"/>
              </w:rPr>
            </w:pP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人均面积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1.02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1.02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1.02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noWrap/>
            <w:vAlign w:val="center"/>
          </w:tcPr>
          <w:p>
            <w:pPr>
              <w:widowControl/>
              <w:jc w:val="center"/>
              <w:rPr>
                <w:rFonts w:cs="Times New Roman"/>
                <w:color w:val="000000"/>
                <w:kern w:val="0"/>
                <w:szCs w:val="21"/>
              </w:rPr>
            </w:pPr>
            <w:r>
              <w:rPr>
                <w:rFonts w:cs="Times New Roman"/>
                <w:color w:val="000000"/>
                <w:kern w:val="0"/>
                <w:szCs w:val="21"/>
              </w:rPr>
              <w:t>简易结构</w:t>
            </w: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户均面积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noWrap w:val="0"/>
            <w:vAlign w:val="center"/>
          </w:tcPr>
          <w:p>
            <w:pPr>
              <w:widowControl/>
              <w:jc w:val="left"/>
              <w:rPr>
                <w:rFonts w:cs="Times New Roman"/>
                <w:color w:val="000000"/>
                <w:kern w:val="0"/>
                <w:szCs w:val="21"/>
              </w:rPr>
            </w:pP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人均面积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noWrap/>
            <w:vAlign w:val="center"/>
          </w:tcPr>
          <w:p>
            <w:pPr>
              <w:widowControl/>
              <w:jc w:val="center"/>
              <w:rPr>
                <w:rFonts w:cs="Times New Roman"/>
                <w:color w:val="000000"/>
                <w:kern w:val="0"/>
                <w:szCs w:val="21"/>
              </w:rPr>
            </w:pPr>
            <w:r>
              <w:rPr>
                <w:rFonts w:cs="Times New Roman"/>
                <w:color w:val="000000"/>
                <w:kern w:val="0"/>
                <w:szCs w:val="21"/>
              </w:rPr>
              <w:t>其他结构</w:t>
            </w:r>
          </w:p>
        </w:tc>
        <w:tc>
          <w:tcPr>
            <w:tcW w:w="1168" w:type="dxa"/>
            <w:noWrap w:val="0"/>
            <w:vAlign w:val="center"/>
          </w:tcPr>
          <w:p>
            <w:pPr>
              <w:widowControl/>
              <w:jc w:val="center"/>
              <w:rPr>
                <w:rFonts w:cs="Times New Roman"/>
                <w:color w:val="000000"/>
                <w:kern w:val="0"/>
                <w:szCs w:val="21"/>
              </w:rPr>
            </w:pPr>
            <w:r>
              <w:rPr>
                <w:rFonts w:cs="Times New Roman"/>
                <w:color w:val="000000"/>
                <w:kern w:val="0"/>
                <w:szCs w:val="21"/>
              </w:rPr>
              <w:t>户均面积</w:t>
            </w:r>
          </w:p>
        </w:tc>
        <w:tc>
          <w:tcPr>
            <w:tcW w:w="794" w:type="dxa"/>
            <w:noWrap/>
            <w:vAlign w:val="center"/>
          </w:tcPr>
          <w:p>
            <w:pPr>
              <w:widowControl/>
              <w:jc w:val="center"/>
              <w:rPr>
                <w:rFonts w:cs="Times New Roman"/>
                <w:color w:val="000000"/>
                <w:kern w:val="0"/>
                <w:szCs w:val="21"/>
              </w:rPr>
            </w:pPr>
            <w:r>
              <w:rPr>
                <w:rFonts w:cs="Times New Roman"/>
                <w:color w:val="000000"/>
                <w:kern w:val="0"/>
                <w:szCs w:val="21"/>
              </w:rPr>
              <w:t xml:space="preserve">124.57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xml:space="preserve">124.57 </w:t>
            </w:r>
          </w:p>
        </w:tc>
        <w:tc>
          <w:tcPr>
            <w:tcW w:w="967" w:type="dxa"/>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noWrap/>
            <w:vAlign w:val="center"/>
          </w:tcPr>
          <w:p>
            <w:pPr>
              <w:widowControl/>
              <w:jc w:val="center"/>
              <w:rPr>
                <w:rFonts w:cs="Times New Roman"/>
                <w:color w:val="000000"/>
                <w:kern w:val="0"/>
                <w:szCs w:val="21"/>
              </w:rPr>
            </w:pPr>
            <w:r>
              <w:rPr>
                <w:rFonts w:cs="Times New Roman"/>
                <w:color w:val="000000"/>
                <w:kern w:val="0"/>
                <w:szCs w:val="21"/>
              </w:rPr>
              <w:t xml:space="preserve">124.57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tcBorders>
              <w:bottom w:val="single" w:color="auto" w:sz="12" w:space="0"/>
            </w:tcBorders>
            <w:noWrap w:val="0"/>
            <w:vAlign w:val="center"/>
          </w:tcPr>
          <w:p>
            <w:pPr>
              <w:widowControl/>
              <w:jc w:val="left"/>
              <w:rPr>
                <w:rFonts w:cs="Times New Roman"/>
                <w:color w:val="000000"/>
                <w:kern w:val="0"/>
                <w:szCs w:val="21"/>
              </w:rPr>
            </w:pPr>
          </w:p>
        </w:tc>
        <w:tc>
          <w:tcPr>
            <w:tcW w:w="1168" w:type="dxa"/>
            <w:tcBorders>
              <w:bottom w:val="single" w:color="auto" w:sz="12" w:space="0"/>
            </w:tcBorders>
            <w:noWrap w:val="0"/>
            <w:vAlign w:val="center"/>
          </w:tcPr>
          <w:p>
            <w:pPr>
              <w:widowControl/>
              <w:jc w:val="center"/>
              <w:rPr>
                <w:rFonts w:cs="Times New Roman"/>
                <w:color w:val="000000"/>
                <w:kern w:val="0"/>
                <w:szCs w:val="21"/>
              </w:rPr>
            </w:pPr>
            <w:r>
              <w:rPr>
                <w:rFonts w:cs="Times New Roman"/>
                <w:color w:val="000000"/>
                <w:kern w:val="0"/>
                <w:szCs w:val="21"/>
              </w:rPr>
              <w:t>人均面积</w:t>
            </w:r>
          </w:p>
        </w:tc>
        <w:tc>
          <w:tcPr>
            <w:tcW w:w="794"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xml:space="preserve">74.74 </w:t>
            </w:r>
          </w:p>
        </w:tc>
        <w:tc>
          <w:tcPr>
            <w:tcW w:w="967"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967"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xml:space="preserve">74.74 </w:t>
            </w:r>
          </w:p>
        </w:tc>
        <w:tc>
          <w:tcPr>
            <w:tcW w:w="967"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w:t>
            </w:r>
          </w:p>
        </w:tc>
        <w:tc>
          <w:tcPr>
            <w:tcW w:w="959" w:type="dxa"/>
            <w:tcBorders>
              <w:bottom w:val="single" w:color="auto" w:sz="12" w:space="0"/>
            </w:tcBorders>
            <w:noWrap/>
            <w:vAlign w:val="center"/>
          </w:tcPr>
          <w:p>
            <w:pPr>
              <w:widowControl/>
              <w:jc w:val="center"/>
              <w:rPr>
                <w:rFonts w:cs="Times New Roman"/>
                <w:color w:val="000000"/>
                <w:kern w:val="0"/>
                <w:szCs w:val="21"/>
              </w:rPr>
            </w:pPr>
            <w:r>
              <w:rPr>
                <w:rFonts w:cs="Times New Roman"/>
                <w:color w:val="000000"/>
                <w:kern w:val="0"/>
                <w:szCs w:val="21"/>
              </w:rPr>
              <w:t xml:space="preserve">74.74 </w:t>
            </w:r>
          </w:p>
        </w:tc>
      </w:tr>
    </w:tbl>
    <w:p>
      <w:pPr>
        <w:widowControl w:val="0"/>
        <w:adjustRightInd w:val="0"/>
        <w:snapToGrid w:val="0"/>
        <w:spacing w:before="120" w:after="60" w:line="480" w:lineRule="exact"/>
        <w:jc w:val="left"/>
        <w:outlineLvl w:val="1"/>
        <w:rPr>
          <w:rFonts w:ascii="Times New Roman" w:hAnsi="Times New Roman" w:eastAsia="黑体" w:cs="Times New Roman"/>
          <w:bCs/>
          <w:snapToGrid w:val="0"/>
          <w:color w:val="000000"/>
          <w:kern w:val="0"/>
          <w:sz w:val="28"/>
          <w:szCs w:val="28"/>
          <w:lang w:val="en-US" w:eastAsia="zh-CN" w:bidi="ar-SA"/>
        </w:rPr>
      </w:pPr>
      <w:bookmarkStart w:id="657" w:name="_Toc86257980"/>
      <w:bookmarkStart w:id="658" w:name="_Toc90945272"/>
      <w:r>
        <w:rPr>
          <w:rFonts w:ascii="Times New Roman" w:hAnsi="Times New Roman" w:eastAsia="黑体" w:cs="Times New Roman"/>
          <w:bCs/>
          <w:snapToGrid w:val="0"/>
          <w:color w:val="000000"/>
          <w:kern w:val="0"/>
          <w:sz w:val="28"/>
          <w:szCs w:val="28"/>
          <w:lang w:val="en-US" w:eastAsia="zh-CN" w:bidi="ar-SA"/>
        </w:rPr>
        <w:t xml:space="preserve">9.4  </w:t>
      </w:r>
      <w:r>
        <w:rPr>
          <w:rFonts w:ascii="Times New Roman" w:hAnsi="宋体" w:eastAsia="黑体" w:cs="Times New Roman"/>
          <w:bCs/>
          <w:snapToGrid w:val="0"/>
          <w:color w:val="000000"/>
          <w:kern w:val="0"/>
          <w:sz w:val="28"/>
          <w:szCs w:val="28"/>
          <w:lang w:val="en-US" w:eastAsia="zh-CN" w:bidi="ar-SA"/>
        </w:rPr>
        <w:t>专业项目</w:t>
      </w:r>
      <w:bookmarkEnd w:id="657"/>
      <w:bookmarkEnd w:id="658"/>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 xml:space="preserve">9.4.1  </w:t>
      </w:r>
      <w:r>
        <w:rPr>
          <w:rFonts w:ascii="Times New Roman" w:hAnsi="宋体" w:eastAsia="黑体" w:cs="Times New Roman"/>
          <w:bCs/>
          <w:snapToGrid w:val="0"/>
          <w:color w:val="000000"/>
          <w:kern w:val="0"/>
          <w:sz w:val="24"/>
          <w:szCs w:val="24"/>
          <w:lang w:val="en-US" w:eastAsia="zh-CN" w:bidi="ar-SA"/>
        </w:rPr>
        <w:t>交通设施</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根据本阶段实物指标调查成果，工程建设征地影响</w:t>
      </w:r>
      <w:r>
        <w:rPr>
          <w:rFonts w:hint="eastAsia" w:ascii="Times New Roman" w:hAnsi="Times New Roman" w:eastAsia="宋体" w:cs="Times New Roman"/>
          <w:color w:val="000000"/>
          <w:kern w:val="2"/>
          <w:sz w:val="24"/>
          <w:szCs w:val="24"/>
          <w:shd w:val="clear" w:color="auto" w:fill="FFFFFF"/>
          <w:lang w:val="en-US" w:eastAsia="zh-CN" w:bidi="ar-SA"/>
        </w:rPr>
        <w:t>道路13.09km</w:t>
      </w:r>
      <w:r>
        <w:rPr>
          <w:rFonts w:ascii="Times New Roman" w:hAnsi="宋体" w:eastAsia="宋体" w:cs="Times New Roman"/>
          <w:color w:val="000000"/>
          <w:kern w:val="2"/>
          <w:sz w:val="24"/>
          <w:szCs w:val="24"/>
          <w:shd w:val="clear" w:color="auto" w:fill="auto"/>
          <w:lang w:val="en-US" w:eastAsia="zh-CN" w:bidi="ar-SA"/>
        </w:rPr>
        <w:t>。</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0"/>
          <w:sz w:val="24"/>
          <w:szCs w:val="24"/>
          <w:shd w:val="clear" w:color="auto" w:fill="auto"/>
          <w:lang w:val="en-US" w:eastAsia="zh-CN" w:bidi="ar-SA"/>
        </w:rPr>
      </w:pPr>
      <w:r>
        <w:rPr>
          <w:rFonts w:hint="eastAsia" w:ascii="Times New Roman" w:hAnsi="宋体" w:eastAsia="宋体" w:cs="Times New Roman"/>
          <w:color w:val="000000"/>
          <w:kern w:val="0"/>
          <w:sz w:val="24"/>
          <w:szCs w:val="24"/>
          <w:shd w:val="clear" w:color="auto" w:fill="auto"/>
          <w:lang w:val="en-US" w:eastAsia="zh-CN" w:bidi="ar-SA"/>
        </w:rPr>
        <w:t>陆河</w:t>
      </w:r>
      <w:r>
        <w:rPr>
          <w:rFonts w:ascii="Times New Roman" w:hAnsi="宋体" w:eastAsia="宋体" w:cs="Times New Roman"/>
          <w:color w:val="000000"/>
          <w:kern w:val="0"/>
          <w:sz w:val="24"/>
          <w:szCs w:val="24"/>
          <w:shd w:val="clear" w:color="auto" w:fill="auto"/>
          <w:lang w:val="en-US" w:eastAsia="zh-CN" w:bidi="ar-SA"/>
        </w:rPr>
        <w:t>抽水蓄能电站建设征地对交通设施影响程度较小，可通过复建工程满足群众生活所需。</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9.4.</w:t>
      </w:r>
      <w:r>
        <w:rPr>
          <w:rFonts w:hint="eastAsia" w:ascii="Times New Roman" w:hAnsi="Times New Roman" w:eastAsia="黑体" w:cs="Times New Roman"/>
          <w:bCs/>
          <w:snapToGrid w:val="0"/>
          <w:color w:val="000000"/>
          <w:kern w:val="0"/>
          <w:sz w:val="24"/>
          <w:szCs w:val="24"/>
          <w:lang w:val="en-US" w:eastAsia="zh-CN" w:bidi="ar-SA"/>
        </w:rPr>
        <w:t>2</w:t>
      </w:r>
      <w:r>
        <w:rPr>
          <w:rFonts w:ascii="Times New Roman" w:hAnsi="Times New Roman" w:eastAsia="黑体" w:cs="Times New Roman"/>
          <w:bCs/>
          <w:snapToGrid w:val="0"/>
          <w:color w:val="000000"/>
          <w:kern w:val="0"/>
          <w:sz w:val="24"/>
          <w:szCs w:val="24"/>
          <w:lang w:val="en-US" w:eastAsia="zh-CN" w:bidi="ar-SA"/>
        </w:rPr>
        <w:t xml:space="preserve">  </w:t>
      </w:r>
      <w:r>
        <w:rPr>
          <w:rFonts w:ascii="Times New Roman" w:hAnsi="宋体" w:eastAsia="黑体" w:cs="Times New Roman"/>
          <w:bCs/>
          <w:snapToGrid w:val="0"/>
          <w:color w:val="000000"/>
          <w:kern w:val="0"/>
          <w:sz w:val="24"/>
          <w:szCs w:val="24"/>
          <w:lang w:val="en-US" w:eastAsia="zh-CN" w:bidi="ar-SA"/>
        </w:rPr>
        <w:t>水利</w:t>
      </w:r>
      <w:r>
        <w:rPr>
          <w:rFonts w:hint="eastAsia" w:ascii="Times New Roman" w:hAnsi="宋体" w:eastAsia="黑体" w:cs="Times New Roman"/>
          <w:bCs/>
          <w:snapToGrid w:val="0"/>
          <w:color w:val="000000"/>
          <w:kern w:val="0"/>
          <w:sz w:val="24"/>
          <w:szCs w:val="24"/>
          <w:lang w:val="en-US" w:eastAsia="zh-CN" w:bidi="ar-SA"/>
        </w:rPr>
        <w:t>水电</w:t>
      </w:r>
      <w:r>
        <w:rPr>
          <w:rFonts w:ascii="Times New Roman" w:hAnsi="宋体" w:eastAsia="黑体" w:cs="Times New Roman"/>
          <w:bCs/>
          <w:snapToGrid w:val="0"/>
          <w:color w:val="000000"/>
          <w:kern w:val="0"/>
          <w:sz w:val="24"/>
          <w:szCs w:val="24"/>
          <w:lang w:val="en-US" w:eastAsia="zh-CN" w:bidi="ar-SA"/>
        </w:rPr>
        <w:t>设施</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bookmarkStart w:id="659" w:name="_Hlk85274611"/>
      <w:r>
        <w:rPr>
          <w:rFonts w:hint="eastAsia" w:ascii="Times New Roman" w:hAnsi="宋体" w:eastAsia="宋体" w:cs="Times New Roman"/>
          <w:color w:val="000000"/>
          <w:kern w:val="2"/>
          <w:sz w:val="24"/>
          <w:szCs w:val="24"/>
          <w:shd w:val="clear" w:color="auto" w:fill="auto"/>
          <w:lang w:val="en-US" w:eastAsia="zh-CN" w:bidi="ar-SA"/>
        </w:rPr>
        <w:t>水电站5座(激石溪老区水电站装机1200kW、三江口水电站装机3150kW、三坑水电站装机1580kW、大沥唇水电站装机830kW、坪田水电站装机630kW)</w:t>
      </w:r>
      <w:r>
        <w:rPr>
          <w:rFonts w:ascii="Times New Roman" w:hAnsi="宋体" w:eastAsia="宋体" w:cs="Times New Roman"/>
          <w:color w:val="000000"/>
          <w:kern w:val="2"/>
          <w:sz w:val="24"/>
          <w:szCs w:val="24"/>
          <w:shd w:val="clear" w:color="auto" w:fill="auto"/>
          <w:lang w:val="en-US" w:eastAsia="zh-CN" w:bidi="ar-SA"/>
        </w:rPr>
        <w:t>。</w:t>
      </w:r>
    </w:p>
    <w:bookmarkEnd w:id="659"/>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0"/>
          <w:sz w:val="24"/>
          <w:szCs w:val="24"/>
          <w:shd w:val="clear" w:color="auto" w:fill="auto"/>
          <w:lang w:val="en-US" w:eastAsia="zh-CN" w:bidi="ar-SA"/>
        </w:rPr>
      </w:pPr>
      <w:r>
        <w:rPr>
          <w:rFonts w:hint="eastAsia" w:ascii="Times New Roman" w:hAnsi="宋体" w:eastAsia="宋体" w:cs="Times New Roman"/>
          <w:color w:val="000000"/>
          <w:kern w:val="0"/>
          <w:sz w:val="24"/>
          <w:szCs w:val="24"/>
          <w:shd w:val="clear" w:color="auto" w:fill="auto"/>
          <w:lang w:val="en-US" w:eastAsia="zh-CN" w:bidi="ar-SA"/>
        </w:rPr>
        <w:t>陆河</w:t>
      </w:r>
      <w:r>
        <w:rPr>
          <w:rFonts w:ascii="Times New Roman" w:hAnsi="宋体" w:eastAsia="宋体" w:cs="Times New Roman"/>
          <w:color w:val="000000"/>
          <w:kern w:val="0"/>
          <w:sz w:val="24"/>
          <w:szCs w:val="24"/>
          <w:shd w:val="clear" w:color="auto" w:fill="auto"/>
          <w:lang w:val="en-US" w:eastAsia="zh-CN" w:bidi="ar-SA"/>
        </w:rPr>
        <w:t>抽水蓄能电站建设征地对水利</w:t>
      </w:r>
      <w:r>
        <w:rPr>
          <w:rFonts w:hint="eastAsia" w:ascii="Times New Roman" w:hAnsi="宋体" w:eastAsia="宋体" w:cs="Times New Roman"/>
          <w:color w:val="000000"/>
          <w:kern w:val="0"/>
          <w:sz w:val="24"/>
          <w:szCs w:val="24"/>
          <w:shd w:val="clear" w:color="auto" w:fill="auto"/>
          <w:lang w:val="en-US" w:eastAsia="zh-CN" w:bidi="ar-SA"/>
        </w:rPr>
        <w:t>水电</w:t>
      </w:r>
      <w:r>
        <w:rPr>
          <w:rFonts w:ascii="Times New Roman" w:hAnsi="宋体" w:eastAsia="宋体" w:cs="Times New Roman"/>
          <w:color w:val="000000"/>
          <w:kern w:val="0"/>
          <w:sz w:val="24"/>
          <w:szCs w:val="24"/>
          <w:shd w:val="clear" w:color="auto" w:fill="auto"/>
          <w:lang w:val="en-US" w:eastAsia="zh-CN" w:bidi="ar-SA"/>
        </w:rPr>
        <w:t>设施有一定程度影响，但可通过</w:t>
      </w:r>
      <w:r>
        <w:rPr>
          <w:rFonts w:hint="eastAsia" w:ascii="Times New Roman" w:hAnsi="宋体" w:eastAsia="宋体" w:cs="Times New Roman"/>
          <w:color w:val="000000"/>
          <w:kern w:val="0"/>
          <w:sz w:val="24"/>
          <w:szCs w:val="24"/>
          <w:shd w:val="clear" w:color="auto" w:fill="auto"/>
          <w:lang w:val="en-US" w:eastAsia="zh-CN" w:bidi="ar-SA"/>
        </w:rPr>
        <w:t>补偿方案进行处理</w:t>
      </w:r>
      <w:r>
        <w:rPr>
          <w:rFonts w:ascii="Times New Roman" w:hAnsi="宋体" w:eastAsia="宋体" w:cs="Times New Roman"/>
          <w:color w:val="000000"/>
          <w:kern w:val="0"/>
          <w:sz w:val="24"/>
          <w:szCs w:val="24"/>
          <w:shd w:val="clear" w:color="auto" w:fill="auto"/>
          <w:lang w:val="en-US" w:eastAsia="zh-CN" w:bidi="ar-SA"/>
        </w:rPr>
        <w:t>。</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9.4.</w:t>
      </w:r>
      <w:r>
        <w:rPr>
          <w:rFonts w:hint="eastAsia" w:ascii="Times New Roman" w:hAnsi="Times New Roman" w:eastAsia="黑体" w:cs="Times New Roman"/>
          <w:bCs/>
          <w:snapToGrid w:val="0"/>
          <w:color w:val="000000"/>
          <w:kern w:val="0"/>
          <w:sz w:val="24"/>
          <w:szCs w:val="24"/>
          <w:lang w:val="en-US" w:eastAsia="zh-CN" w:bidi="ar-SA"/>
        </w:rPr>
        <w:t>3</w:t>
      </w:r>
      <w:r>
        <w:rPr>
          <w:rFonts w:ascii="Times New Roman" w:hAnsi="Times New Roman" w:eastAsia="黑体" w:cs="Times New Roman"/>
          <w:bCs/>
          <w:snapToGrid w:val="0"/>
          <w:color w:val="000000"/>
          <w:kern w:val="0"/>
          <w:sz w:val="24"/>
          <w:szCs w:val="24"/>
          <w:lang w:val="en-US" w:eastAsia="zh-CN" w:bidi="ar-SA"/>
        </w:rPr>
        <w:t xml:space="preserve">  </w:t>
      </w:r>
      <w:r>
        <w:rPr>
          <w:rFonts w:ascii="Times New Roman" w:hAnsi="宋体" w:eastAsia="黑体" w:cs="Times New Roman"/>
          <w:bCs/>
          <w:snapToGrid w:val="0"/>
          <w:color w:val="000000"/>
          <w:kern w:val="0"/>
          <w:sz w:val="24"/>
          <w:szCs w:val="24"/>
          <w:lang w:val="en-US" w:eastAsia="zh-CN" w:bidi="ar-SA"/>
        </w:rPr>
        <w:t>电力设施</w:t>
      </w:r>
    </w:p>
    <w:p>
      <w:pPr>
        <w:widowControl w:val="0"/>
        <w:overflowPunct w:val="0"/>
        <w:autoSpaceDE w:val="0"/>
        <w:autoSpaceDN w:val="0"/>
        <w:adjustRightInd w:val="0"/>
        <w:snapToGrid w:val="0"/>
        <w:spacing w:line="480" w:lineRule="exact"/>
        <w:ind w:firstLine="480" w:firstLineChars="200"/>
        <w:jc w:val="both"/>
        <w:rPr>
          <w:rFonts w:ascii="Times New Roman" w:hAnsi="Times New Roman"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根据本阶段实物指标调查成果，工程建设征地</w:t>
      </w:r>
      <w:bookmarkStart w:id="660" w:name="_Hlk85274625"/>
      <w:r>
        <w:rPr>
          <w:rFonts w:hint="eastAsia" w:ascii="Times New Roman" w:hAnsi="Times New Roman" w:eastAsia="宋体" w:cs="Times New Roman"/>
          <w:color w:val="000000"/>
          <w:kern w:val="2"/>
          <w:sz w:val="24"/>
          <w:szCs w:val="24"/>
          <w:shd w:val="clear" w:color="auto" w:fill="auto"/>
          <w:lang w:val="en-US" w:eastAsia="zh-CN" w:bidi="ar-SA"/>
        </w:rPr>
        <w:t>涉及电力专项，包括</w:t>
      </w:r>
      <w:r>
        <w:rPr>
          <w:rFonts w:ascii="Times New Roman" w:hAnsi="宋体" w:eastAsia="宋体" w:cs="Times New Roman"/>
          <w:color w:val="000000"/>
          <w:kern w:val="2"/>
          <w:sz w:val="24"/>
          <w:szCs w:val="24"/>
          <w:shd w:val="clear" w:color="auto" w:fill="FFFFFF"/>
          <w:lang w:val="en-US" w:eastAsia="zh-CN" w:bidi="ar-SA"/>
        </w:rPr>
        <w:t>2</w:t>
      </w:r>
      <w:r>
        <w:rPr>
          <w:rFonts w:hint="eastAsia" w:ascii="Times New Roman" w:hAnsi="宋体" w:eastAsia="宋体" w:cs="Times New Roman"/>
          <w:color w:val="000000"/>
          <w:kern w:val="2"/>
          <w:sz w:val="24"/>
          <w:szCs w:val="24"/>
          <w:shd w:val="clear" w:color="auto" w:fill="FFFFFF"/>
          <w:lang w:val="en-US" w:eastAsia="zh-CN" w:bidi="ar-SA"/>
        </w:rPr>
        <w:t>0kVA变压器1台，0.4kV输电线路0.4km，10kV输电线路17.27km，3</w:t>
      </w:r>
      <w:r>
        <w:rPr>
          <w:rFonts w:ascii="Times New Roman" w:hAnsi="宋体" w:eastAsia="宋体" w:cs="Times New Roman"/>
          <w:color w:val="000000"/>
          <w:kern w:val="2"/>
          <w:sz w:val="24"/>
          <w:szCs w:val="24"/>
          <w:shd w:val="clear" w:color="auto" w:fill="FFFFFF"/>
          <w:lang w:val="en-US" w:eastAsia="zh-CN" w:bidi="ar-SA"/>
        </w:rPr>
        <w:t>5</w:t>
      </w:r>
      <w:r>
        <w:rPr>
          <w:rFonts w:hint="eastAsia" w:ascii="Times New Roman" w:hAnsi="宋体" w:eastAsia="宋体" w:cs="Times New Roman"/>
          <w:color w:val="000000"/>
          <w:kern w:val="2"/>
          <w:sz w:val="24"/>
          <w:szCs w:val="24"/>
          <w:shd w:val="clear" w:color="auto" w:fill="FFFFFF"/>
          <w:lang w:val="en-US" w:eastAsia="zh-CN" w:bidi="ar-SA"/>
        </w:rPr>
        <w:t>kV输电线路0</w:t>
      </w:r>
      <w:r>
        <w:rPr>
          <w:rFonts w:ascii="Times New Roman" w:hAnsi="宋体" w:eastAsia="宋体" w:cs="Times New Roman"/>
          <w:color w:val="000000"/>
          <w:kern w:val="2"/>
          <w:sz w:val="24"/>
          <w:szCs w:val="24"/>
          <w:shd w:val="clear" w:color="auto" w:fill="FFFFFF"/>
          <w:lang w:val="en-US" w:eastAsia="zh-CN" w:bidi="ar-SA"/>
        </w:rPr>
        <w:t>.80</w:t>
      </w:r>
      <w:r>
        <w:rPr>
          <w:rFonts w:hint="eastAsia" w:ascii="Times New Roman" w:hAnsi="宋体" w:eastAsia="宋体" w:cs="Times New Roman"/>
          <w:color w:val="000000"/>
          <w:kern w:val="2"/>
          <w:sz w:val="24"/>
          <w:szCs w:val="24"/>
          <w:shd w:val="clear" w:color="auto" w:fill="FFFFFF"/>
          <w:lang w:val="en-US" w:eastAsia="zh-CN" w:bidi="ar-SA"/>
        </w:rPr>
        <w:t>km，水泥杆1</w:t>
      </w:r>
      <w:r>
        <w:rPr>
          <w:rFonts w:ascii="Times New Roman" w:hAnsi="宋体" w:eastAsia="宋体" w:cs="Times New Roman"/>
          <w:color w:val="000000"/>
          <w:kern w:val="2"/>
          <w:sz w:val="24"/>
          <w:szCs w:val="24"/>
          <w:shd w:val="clear" w:color="auto" w:fill="FFFFFF"/>
          <w:lang w:val="en-US" w:eastAsia="zh-CN" w:bidi="ar-SA"/>
        </w:rPr>
        <w:t>35</w:t>
      </w:r>
      <w:r>
        <w:rPr>
          <w:rFonts w:hint="eastAsia" w:ascii="Times New Roman" w:hAnsi="宋体" w:eastAsia="宋体" w:cs="Times New Roman"/>
          <w:color w:val="000000"/>
          <w:kern w:val="2"/>
          <w:sz w:val="24"/>
          <w:szCs w:val="24"/>
          <w:shd w:val="clear" w:color="auto" w:fill="FFFFFF"/>
          <w:lang w:val="en-US" w:eastAsia="zh-CN" w:bidi="ar-SA"/>
        </w:rPr>
        <w:t>根，铁塔3座</w:t>
      </w:r>
      <w:r>
        <w:rPr>
          <w:rFonts w:ascii="Times New Roman" w:hAnsi="宋体" w:eastAsia="宋体" w:cs="Times New Roman"/>
          <w:color w:val="000000"/>
          <w:kern w:val="2"/>
          <w:sz w:val="24"/>
          <w:szCs w:val="24"/>
          <w:shd w:val="clear" w:color="auto" w:fill="auto"/>
          <w:lang w:val="en-US" w:eastAsia="zh-CN" w:bidi="ar-SA"/>
        </w:rPr>
        <w:t>。</w:t>
      </w:r>
      <w:bookmarkEnd w:id="660"/>
      <w:r>
        <w:rPr>
          <w:rFonts w:ascii="Times New Roman" w:hAnsi="宋体" w:eastAsia="宋体" w:cs="Times New Roman"/>
          <w:color w:val="000000"/>
          <w:kern w:val="2"/>
          <w:sz w:val="24"/>
          <w:szCs w:val="24"/>
          <w:shd w:val="clear" w:color="auto" w:fill="auto"/>
          <w:lang w:val="en-US" w:eastAsia="zh-CN" w:bidi="ar-SA"/>
        </w:rPr>
        <w:t>影响电力设施简单，对电力影响小。</w:t>
      </w:r>
    </w:p>
    <w:p>
      <w:pPr>
        <w:widowControl w:val="0"/>
        <w:adjustRightInd w:val="0"/>
        <w:snapToGrid w:val="0"/>
        <w:spacing w:before="60" w:after="60" w:line="480" w:lineRule="exact"/>
        <w:jc w:val="left"/>
        <w:outlineLvl w:val="2"/>
        <w:rPr>
          <w:rFonts w:ascii="Times New Roman" w:hAnsi="Times New Roman" w:eastAsia="黑体" w:cs="Times New Roman"/>
          <w:bCs/>
          <w:snapToGrid w:val="0"/>
          <w:color w:val="000000"/>
          <w:kern w:val="0"/>
          <w:sz w:val="24"/>
          <w:szCs w:val="24"/>
          <w:lang w:val="en-US" w:eastAsia="zh-CN" w:bidi="ar-SA"/>
        </w:rPr>
      </w:pPr>
      <w:r>
        <w:rPr>
          <w:rFonts w:ascii="Times New Roman" w:hAnsi="Times New Roman" w:eastAsia="黑体" w:cs="Times New Roman"/>
          <w:bCs/>
          <w:snapToGrid w:val="0"/>
          <w:color w:val="000000"/>
          <w:kern w:val="0"/>
          <w:sz w:val="24"/>
          <w:szCs w:val="24"/>
          <w:lang w:val="en-US" w:eastAsia="zh-CN" w:bidi="ar-SA"/>
        </w:rPr>
        <w:t>9.4.</w:t>
      </w:r>
      <w:r>
        <w:rPr>
          <w:rFonts w:hint="eastAsia" w:ascii="Times New Roman" w:hAnsi="Times New Roman" w:eastAsia="黑体" w:cs="Times New Roman"/>
          <w:bCs/>
          <w:snapToGrid w:val="0"/>
          <w:color w:val="000000"/>
          <w:kern w:val="0"/>
          <w:sz w:val="24"/>
          <w:szCs w:val="24"/>
          <w:lang w:val="en-US" w:eastAsia="zh-CN" w:bidi="ar-SA"/>
        </w:rPr>
        <w:t>4</w:t>
      </w:r>
      <w:r>
        <w:rPr>
          <w:rFonts w:ascii="Times New Roman" w:hAnsi="Times New Roman" w:eastAsia="黑体" w:cs="Times New Roman"/>
          <w:bCs/>
          <w:snapToGrid w:val="0"/>
          <w:color w:val="000000"/>
          <w:kern w:val="0"/>
          <w:sz w:val="24"/>
          <w:szCs w:val="24"/>
          <w:lang w:val="en-US" w:eastAsia="zh-CN" w:bidi="ar-SA"/>
        </w:rPr>
        <w:t xml:space="preserve">  </w:t>
      </w:r>
      <w:r>
        <w:rPr>
          <w:rFonts w:ascii="Times New Roman" w:hAnsi="宋体" w:eastAsia="黑体" w:cs="Times New Roman"/>
          <w:bCs/>
          <w:snapToGrid w:val="0"/>
          <w:color w:val="000000"/>
          <w:kern w:val="0"/>
          <w:sz w:val="24"/>
          <w:szCs w:val="24"/>
          <w:lang w:val="en-US" w:eastAsia="zh-CN" w:bidi="ar-SA"/>
        </w:rPr>
        <w:t>通信设施</w:t>
      </w:r>
    </w:p>
    <w:p>
      <w:pPr>
        <w:widowControl w:val="0"/>
        <w:overflowPunct w:val="0"/>
        <w:autoSpaceDE w:val="0"/>
        <w:autoSpaceDN w:val="0"/>
        <w:snapToGrid w:val="0"/>
        <w:spacing w:line="480" w:lineRule="exact"/>
        <w:ind w:firstLine="480" w:firstLineChars="200"/>
        <w:jc w:val="both"/>
        <w:rPr>
          <w:rFonts w:ascii="Times New Roman" w:hAnsi="宋体" w:eastAsia="宋体" w:cs="Times New Roman"/>
          <w:color w:val="000000"/>
          <w:kern w:val="2"/>
          <w:sz w:val="24"/>
          <w:szCs w:val="24"/>
          <w:shd w:val="clear" w:color="auto" w:fill="auto"/>
          <w:lang w:val="en-US" w:eastAsia="zh-CN" w:bidi="ar-SA"/>
        </w:rPr>
      </w:pPr>
      <w:r>
        <w:rPr>
          <w:rFonts w:ascii="Times New Roman" w:hAnsi="宋体" w:eastAsia="宋体" w:cs="Times New Roman"/>
          <w:color w:val="000000"/>
          <w:kern w:val="2"/>
          <w:sz w:val="24"/>
          <w:szCs w:val="24"/>
          <w:shd w:val="clear" w:color="auto" w:fill="auto"/>
          <w:lang w:val="en-US" w:eastAsia="zh-CN" w:bidi="ar-SA"/>
        </w:rPr>
        <w:t>根据本阶段实物指标调查成果，陆河抽水蓄能电站建设征地影响通信主要有</w:t>
      </w:r>
      <w:bookmarkStart w:id="661" w:name="_Hlk85274645"/>
      <w:r>
        <w:rPr>
          <w:rFonts w:ascii="Times New Roman" w:hAnsi="宋体" w:eastAsia="宋体" w:cs="Times New Roman"/>
          <w:color w:val="000000"/>
          <w:kern w:val="2"/>
          <w:sz w:val="24"/>
          <w:szCs w:val="24"/>
          <w:shd w:val="clear" w:color="auto" w:fill="auto"/>
          <w:lang w:val="en-US" w:eastAsia="zh-CN" w:bidi="ar-SA"/>
        </w:rPr>
        <w:t>12芯光缆线路3.00km，16芯光缆线路2.80km，24芯光缆线路2.40km，48芯光缆线路2.00km，水泥杆20根，信号基站2座</w:t>
      </w:r>
      <w:bookmarkEnd w:id="661"/>
      <w:r>
        <w:rPr>
          <w:rFonts w:ascii="Times New Roman" w:hAnsi="宋体" w:eastAsia="宋体" w:cs="Times New Roman"/>
          <w:color w:val="000000"/>
          <w:kern w:val="2"/>
          <w:sz w:val="24"/>
          <w:szCs w:val="24"/>
          <w:shd w:val="clear" w:color="auto" w:fill="auto"/>
          <w:lang w:val="en-US" w:eastAsia="zh-CN" w:bidi="ar-SA"/>
        </w:rPr>
        <w:t>影响数量较少，等级低。</w:t>
      </w:r>
    </w:p>
    <w:p>
      <w:pPr>
        <w:widowControl w:val="0"/>
        <w:adjustRightInd w:val="0"/>
        <w:snapToGrid w:val="0"/>
        <w:spacing w:before="300" w:after="120" w:line="480" w:lineRule="exact"/>
        <w:jc w:val="left"/>
        <w:outlineLvl w:val="0"/>
        <w:rPr>
          <w:rFonts w:ascii="Times New Roman" w:hAnsi="Times New Roman" w:eastAsia="黑体" w:cs="Times New Roman"/>
          <w:bCs/>
          <w:color w:val="000000"/>
          <w:kern w:val="44"/>
          <w:sz w:val="32"/>
          <w:szCs w:val="32"/>
          <w:lang w:val="en-US" w:eastAsia="zh-CN" w:bidi="ar-SA"/>
        </w:rPr>
      </w:pPr>
      <w:r>
        <w:rPr>
          <w:rFonts w:ascii="Times New Roman" w:hAnsi="Times New Roman" w:eastAsia="黑体" w:cs="Times New Roman"/>
          <w:bCs/>
          <w:color w:val="000000"/>
          <w:kern w:val="44"/>
          <w:sz w:val="32"/>
          <w:szCs w:val="32"/>
          <w:lang w:val="en-US" w:eastAsia="zh-CN" w:bidi="ar-SA"/>
        </w:rPr>
        <w:br w:type="page"/>
      </w:r>
      <w:bookmarkStart w:id="662" w:name="_Toc90945273"/>
      <w:bookmarkStart w:id="663" w:name="_Toc86257981"/>
      <w:r>
        <w:rPr>
          <w:rFonts w:ascii="Times New Roman" w:hAnsi="Times New Roman" w:eastAsia="黑体" w:cs="Times New Roman"/>
          <w:bCs/>
          <w:color w:val="000000"/>
          <w:kern w:val="44"/>
          <w:sz w:val="32"/>
          <w:szCs w:val="32"/>
          <w:lang w:val="en-US" w:eastAsia="zh-CN" w:bidi="ar-SA"/>
        </w:rPr>
        <w:t>10  建设征地区影响情况分析</w:t>
      </w:r>
      <w:bookmarkEnd w:id="662"/>
      <w:bookmarkEnd w:id="663"/>
    </w:p>
    <w:p>
      <w:pPr>
        <w:widowControl w:val="0"/>
        <w:overflowPunct w:val="0"/>
        <w:autoSpaceDE w:val="0"/>
        <w:autoSpaceDN w:val="0"/>
        <w:adjustRightInd w:val="0"/>
        <w:snapToGrid w:val="0"/>
        <w:spacing w:line="480" w:lineRule="exact"/>
        <w:ind w:firstLine="496" w:firstLineChars="200"/>
        <w:jc w:val="both"/>
        <w:rPr>
          <w:rFonts w:ascii="Times New Roman" w:hAnsi="Times New Roman" w:eastAsia="宋体" w:cs="Times New Roman"/>
          <w:color w:val="000000"/>
          <w:spacing w:val="4"/>
          <w:kern w:val="2"/>
          <w:sz w:val="24"/>
          <w:szCs w:val="24"/>
          <w:shd w:val="clear" w:color="auto" w:fill="FFFFFF"/>
          <w:lang w:val="en-US" w:eastAsia="zh-CN" w:bidi="ar-SA"/>
        </w:rPr>
      </w:pPr>
      <w:r>
        <w:rPr>
          <w:rFonts w:ascii="Times New Roman" w:hAnsi="宋体" w:eastAsia="宋体" w:cs="Times New Roman"/>
          <w:color w:val="000000"/>
          <w:spacing w:val="4"/>
          <w:kern w:val="2"/>
          <w:sz w:val="24"/>
          <w:szCs w:val="24"/>
          <w:shd w:val="clear" w:color="auto" w:fill="FFFFFF"/>
          <w:lang w:val="en-US" w:eastAsia="zh-CN" w:bidi="ar-SA"/>
        </w:rPr>
        <w:t>根据实物指标调查结果，</w:t>
      </w:r>
      <w:r>
        <w:rPr>
          <w:rFonts w:hint="eastAsia" w:ascii="Times New Roman" w:hAnsi="宋体" w:eastAsia="宋体" w:cs="Times New Roman"/>
          <w:color w:val="000000"/>
          <w:spacing w:val="4"/>
          <w:kern w:val="2"/>
          <w:sz w:val="24"/>
          <w:szCs w:val="24"/>
          <w:shd w:val="clear" w:color="auto" w:fill="FFFFFF"/>
          <w:lang w:val="en-US" w:eastAsia="zh-CN" w:bidi="ar-SA"/>
        </w:rPr>
        <w:t>陆河</w:t>
      </w:r>
      <w:r>
        <w:rPr>
          <w:rFonts w:ascii="Times New Roman" w:hAnsi="宋体" w:eastAsia="宋体" w:cs="Times New Roman"/>
          <w:color w:val="000000"/>
          <w:spacing w:val="4"/>
          <w:kern w:val="2"/>
          <w:sz w:val="24"/>
          <w:szCs w:val="24"/>
          <w:shd w:val="clear" w:color="auto" w:fill="FFFFFF"/>
          <w:lang w:val="en-US" w:eastAsia="zh-CN" w:bidi="ar-SA"/>
        </w:rPr>
        <w:t>抽水蓄能电站建设征地区影响体现在以下几个方面：</w:t>
      </w:r>
    </w:p>
    <w:p>
      <w:pPr>
        <w:widowControl w:val="0"/>
        <w:numPr>
          <w:ilvl w:val="0"/>
          <w:numId w:val="6"/>
        </w:numPr>
        <w:overflowPunct w:val="0"/>
        <w:autoSpaceDE w:val="0"/>
        <w:autoSpaceDN w:val="0"/>
        <w:spacing w:line="480" w:lineRule="exact"/>
        <w:ind w:left="0" w:firstLine="482" w:firstLineChars="0"/>
        <w:jc w:val="both"/>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对农业生产的影响</w:t>
      </w:r>
    </w:p>
    <w:p>
      <w:pPr>
        <w:overflowPunct w:val="0"/>
        <w:autoSpaceDE w:val="0"/>
        <w:autoSpaceDN w:val="0"/>
        <w:adjustRightInd w:val="0"/>
        <w:spacing w:line="480" w:lineRule="exact"/>
        <w:ind w:firstLine="480" w:firstLineChars="200"/>
        <w:rPr>
          <w:rFonts w:hint="eastAsia" w:hAnsi="宋体" w:cs="Times New Roman"/>
          <w:color w:val="000000"/>
          <w:sz w:val="24"/>
          <w:szCs w:val="22"/>
        </w:rPr>
      </w:pPr>
      <w:r>
        <w:rPr>
          <w:rFonts w:hint="eastAsia" w:hAnsi="宋体" w:cs="Times New Roman"/>
          <w:color w:val="000000"/>
          <w:sz w:val="24"/>
          <w:szCs w:val="22"/>
        </w:rPr>
        <w:t>建设征地永久征收耕地面积</w:t>
      </w:r>
      <w:r>
        <w:rPr>
          <w:rFonts w:hAnsi="宋体" w:cs="Times New Roman"/>
          <w:color w:val="000000"/>
          <w:sz w:val="24"/>
          <w:szCs w:val="22"/>
        </w:rPr>
        <w:t>500.63</w:t>
      </w:r>
      <w:r>
        <w:rPr>
          <w:rFonts w:hint="eastAsia" w:hAnsi="宋体" w:cs="Times New Roman"/>
          <w:color w:val="000000"/>
          <w:sz w:val="24"/>
          <w:szCs w:val="22"/>
        </w:rPr>
        <w:t>亩，其中水田</w:t>
      </w:r>
      <w:r>
        <w:rPr>
          <w:rFonts w:hAnsi="宋体" w:cs="Times New Roman"/>
          <w:color w:val="000000"/>
          <w:sz w:val="24"/>
          <w:szCs w:val="22"/>
        </w:rPr>
        <w:t>349.75</w:t>
      </w:r>
      <w:r>
        <w:rPr>
          <w:rFonts w:hint="eastAsia" w:hAnsi="宋体" w:cs="Times New Roman"/>
          <w:color w:val="000000"/>
          <w:sz w:val="24"/>
          <w:szCs w:val="22"/>
        </w:rPr>
        <w:t>亩、旱地</w:t>
      </w:r>
      <w:r>
        <w:rPr>
          <w:rFonts w:hAnsi="宋体" w:cs="Times New Roman"/>
          <w:color w:val="000000"/>
          <w:sz w:val="24"/>
          <w:szCs w:val="22"/>
        </w:rPr>
        <w:t>150.89</w:t>
      </w:r>
      <w:r>
        <w:rPr>
          <w:rFonts w:hint="eastAsia" w:hAnsi="宋体" w:cs="Times New Roman"/>
          <w:color w:val="000000"/>
          <w:sz w:val="24"/>
          <w:szCs w:val="22"/>
        </w:rPr>
        <w:t>亩。耕地征收面积占该相应村民小组耕地面积的比例平均值为</w:t>
      </w:r>
      <w:r>
        <w:rPr>
          <w:rFonts w:hAnsi="宋体" w:cs="Times New Roman"/>
          <w:color w:val="000000"/>
          <w:sz w:val="24"/>
          <w:szCs w:val="22"/>
        </w:rPr>
        <w:t>32.62</w:t>
      </w:r>
      <w:r>
        <w:rPr>
          <w:rFonts w:hint="eastAsia" w:hAnsi="宋体" w:cs="Times New Roman"/>
          <w:color w:val="000000"/>
          <w:sz w:val="24"/>
          <w:szCs w:val="22"/>
        </w:rPr>
        <w:t>%。生产安置所涉及的3个组中，由于建设征地影响的耕地占原耕地比例在10%以下的有1个组，</w:t>
      </w:r>
      <w:r>
        <w:rPr>
          <w:rFonts w:hAnsi="宋体" w:cs="Times New Roman"/>
          <w:color w:val="000000"/>
          <w:sz w:val="24"/>
          <w:szCs w:val="22"/>
        </w:rPr>
        <w:t>2</w:t>
      </w:r>
      <w:r>
        <w:rPr>
          <w:rFonts w:hint="eastAsia" w:hAnsi="宋体" w:cs="Times New Roman"/>
          <w:color w:val="000000"/>
          <w:sz w:val="24"/>
          <w:szCs w:val="22"/>
        </w:rPr>
        <w:t>0%~</w:t>
      </w:r>
      <w:r>
        <w:rPr>
          <w:rFonts w:hAnsi="宋体" w:cs="Times New Roman"/>
          <w:color w:val="000000"/>
          <w:sz w:val="24"/>
          <w:szCs w:val="22"/>
        </w:rPr>
        <w:t>3</w:t>
      </w:r>
      <w:r>
        <w:rPr>
          <w:rFonts w:hint="eastAsia" w:hAnsi="宋体" w:cs="Times New Roman"/>
          <w:color w:val="000000"/>
          <w:sz w:val="24"/>
          <w:szCs w:val="22"/>
        </w:rPr>
        <w:t>0%之间的有1个组，</w:t>
      </w:r>
      <w:r>
        <w:rPr>
          <w:rFonts w:hAnsi="宋体" w:cs="Times New Roman"/>
          <w:color w:val="000000"/>
          <w:sz w:val="24"/>
          <w:szCs w:val="22"/>
        </w:rPr>
        <w:t>6</w:t>
      </w:r>
      <w:r>
        <w:rPr>
          <w:rFonts w:hint="eastAsia" w:hAnsi="宋体" w:cs="Times New Roman"/>
          <w:color w:val="000000"/>
          <w:sz w:val="24"/>
          <w:szCs w:val="22"/>
        </w:rPr>
        <w:t>0%~</w:t>
      </w:r>
      <w:r>
        <w:rPr>
          <w:rFonts w:hAnsi="宋体" w:cs="Times New Roman"/>
          <w:color w:val="000000"/>
          <w:sz w:val="24"/>
          <w:szCs w:val="22"/>
        </w:rPr>
        <w:t>7</w:t>
      </w:r>
      <w:r>
        <w:rPr>
          <w:rFonts w:hint="eastAsia" w:hAnsi="宋体" w:cs="Times New Roman"/>
          <w:color w:val="000000"/>
          <w:sz w:val="24"/>
          <w:szCs w:val="22"/>
        </w:rPr>
        <w:t>0%之间的有1个组。</w:t>
      </w:r>
    </w:p>
    <w:p>
      <w:pPr>
        <w:overflowPunct w:val="0"/>
        <w:autoSpaceDE w:val="0"/>
        <w:autoSpaceDN w:val="0"/>
        <w:adjustRightInd w:val="0"/>
        <w:spacing w:line="480" w:lineRule="exact"/>
        <w:ind w:firstLine="480" w:firstLineChars="200"/>
        <w:rPr>
          <w:rFonts w:hint="eastAsia" w:cs="Times New Roman"/>
          <w:color w:val="000000"/>
          <w:sz w:val="24"/>
          <w:szCs w:val="22"/>
        </w:rPr>
      </w:pPr>
      <w:r>
        <w:rPr>
          <w:rFonts w:hint="eastAsia" w:hAnsi="宋体" w:cs="Times New Roman"/>
          <w:color w:val="000000"/>
          <w:sz w:val="24"/>
          <w:szCs w:val="22"/>
        </w:rPr>
        <w:t>根据上述数据分析，从农业生产角度来看，陆河抽水蓄能电站建设征地对陆河的农业生产影响有限。随着电站的开工建设及移民安置规划的实施，移民生产条件可以得到恢复并有所提高。电站建成后，在提高当地电力供应质量、发展地方经济，调整产业结构，提高群众生活水平等方面将发挥重要的促进作用。</w:t>
      </w:r>
    </w:p>
    <w:p>
      <w:pPr>
        <w:widowControl w:val="0"/>
        <w:numPr>
          <w:ilvl w:val="0"/>
          <w:numId w:val="6"/>
        </w:numPr>
        <w:overflowPunct w:val="0"/>
        <w:autoSpaceDE w:val="0"/>
        <w:autoSpaceDN w:val="0"/>
        <w:spacing w:line="480" w:lineRule="exact"/>
        <w:ind w:left="0" w:firstLine="482" w:firstLineChars="0"/>
        <w:jc w:val="both"/>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对基础设施的影响</w:t>
      </w:r>
    </w:p>
    <w:p>
      <w:pPr>
        <w:overflowPunct w:val="0"/>
        <w:autoSpaceDE w:val="0"/>
        <w:autoSpaceDN w:val="0"/>
        <w:adjustRightInd w:val="0"/>
        <w:spacing w:line="480" w:lineRule="exact"/>
        <w:ind w:firstLine="480" w:firstLineChars="200"/>
        <w:rPr>
          <w:rFonts w:hint="eastAsia" w:hAnsi="宋体" w:cs="Times New Roman"/>
          <w:color w:val="000000"/>
          <w:sz w:val="24"/>
          <w:szCs w:val="22"/>
        </w:rPr>
      </w:pPr>
      <w:r>
        <w:rPr>
          <w:rFonts w:hint="eastAsia" w:hAnsi="宋体" w:cs="Times New Roman"/>
          <w:color w:val="000000"/>
          <w:sz w:val="24"/>
          <w:szCs w:val="22"/>
        </w:rPr>
        <w:t>工程建设征地影响的村均有通村公路，交通条件便利；农民饮水主要以井水和引山泉水为主；电力线路到户，通信网络基本到户，移动通信网络基本覆盖。通过合理的规划，对影响的水、电、路、通信等各类基础设施可进行复(改)建处理，对建设征地区的生活生产条件基本没有影响。</w:t>
      </w:r>
    </w:p>
    <w:p>
      <w:pPr>
        <w:overflowPunct w:val="0"/>
        <w:autoSpaceDE w:val="0"/>
        <w:autoSpaceDN w:val="0"/>
        <w:adjustRightInd w:val="0"/>
        <w:spacing w:line="480" w:lineRule="exact"/>
        <w:ind w:firstLine="480" w:firstLineChars="200"/>
        <w:rPr>
          <w:rFonts w:cs="Times New Roman"/>
          <w:color w:val="000000"/>
          <w:szCs w:val="22"/>
        </w:rPr>
      </w:pPr>
      <w:r>
        <w:rPr>
          <w:rFonts w:hint="eastAsia" w:hAnsi="宋体" w:cs="Times New Roman"/>
          <w:color w:val="000000"/>
          <w:sz w:val="24"/>
          <w:szCs w:val="22"/>
        </w:rPr>
        <w:t>根据工程建设征地区实际情况，结合区域、行业建设发展规划，在研究、制定陆河抽水蓄能电站移民安置方案时，应考虑电站自然环境因素和社会环境因素，并充分考虑移民生产生活现状，在征求移民和安置区居民意愿的基础上，结合自然、社会环境和移民自身特点，尊重移民生活习惯和当地风俗，在保障甚至提高移民生活水平的前提下，拟定合适的陆河抽水蓄能电站移民安置方式。</w:t>
      </w:r>
    </w:p>
    <w:p>
      <w:pPr>
        <w:widowControl w:val="0"/>
        <w:adjustRightInd w:val="0"/>
        <w:snapToGrid w:val="0"/>
        <w:spacing w:before="120" w:after="60" w:line="480" w:lineRule="exact"/>
        <w:jc w:val="left"/>
        <w:outlineLvl w:val="1"/>
        <w:rPr>
          <w:rFonts w:hint="eastAsia" w:ascii="Times New Roman" w:hAnsi="Times New Roman" w:eastAsia="黑体" w:cs="Times New Roman"/>
          <w:bCs/>
          <w:color w:val="000000"/>
          <w:kern w:val="2"/>
          <w:sz w:val="28"/>
          <w:szCs w:val="28"/>
          <w:lang w:val="en-US" w:eastAsia="zh-CN" w:bidi="ar-SA"/>
        </w:rPr>
      </w:pPr>
      <w:r>
        <w:rPr>
          <w:rFonts w:ascii="Times New Roman" w:hAnsi="Times New Roman" w:eastAsia="黑体" w:cs="Times New Roman"/>
          <w:bCs/>
          <w:color w:val="000000"/>
          <w:kern w:val="2"/>
          <w:sz w:val="28"/>
          <w:szCs w:val="28"/>
          <w:lang w:val="en-US" w:eastAsia="zh-CN" w:bidi="ar-SA"/>
        </w:rPr>
        <w:br w:type="page"/>
      </w:r>
      <w:bookmarkStart w:id="664" w:name="_Toc90945274"/>
      <w:bookmarkStart w:id="665" w:name="_Toc86257982"/>
      <w:bookmarkStart w:id="666" w:name="_Toc86261522"/>
      <w:r>
        <w:rPr>
          <w:rFonts w:hint="eastAsia" w:ascii="Times New Roman" w:hAnsi="Times New Roman" w:eastAsia="黑体" w:cs="Times New Roman"/>
          <w:bCs/>
          <w:color w:val="000000"/>
          <w:kern w:val="2"/>
          <w:sz w:val="28"/>
          <w:szCs w:val="28"/>
          <w:lang w:val="en-US" w:eastAsia="zh-CN" w:bidi="ar-SA"/>
        </w:rPr>
        <w:t>附件：</w:t>
      </w:r>
      <w:bookmarkEnd w:id="664"/>
    </w:p>
    <w:p>
      <w:pPr>
        <w:widowControl w:val="0"/>
        <w:adjustRightInd w:val="0"/>
        <w:snapToGrid w:val="0"/>
        <w:spacing w:before="60" w:after="60" w:line="480" w:lineRule="exact"/>
        <w:jc w:val="left"/>
        <w:outlineLvl w:val="2"/>
        <w:rPr>
          <w:rFonts w:hint="eastAsia" w:ascii="Times New Roman" w:hAnsi="Times New Roman" w:eastAsia="黑体" w:cs="Times New Roman"/>
          <w:bCs/>
          <w:color w:val="000000"/>
          <w:kern w:val="2"/>
          <w:sz w:val="24"/>
          <w:szCs w:val="24"/>
          <w:lang w:val="en-US" w:eastAsia="zh-CN" w:bidi="ar-SA"/>
        </w:rPr>
      </w:pPr>
      <w:bookmarkStart w:id="667" w:name="_Toc90945275"/>
      <w:r>
        <w:rPr>
          <w:rFonts w:hint="eastAsia" w:ascii="Times New Roman" w:hAnsi="Times New Roman" w:eastAsia="黑体" w:cs="Times New Roman"/>
          <w:bCs/>
          <w:color w:val="000000"/>
          <w:kern w:val="2"/>
          <w:sz w:val="24"/>
          <w:szCs w:val="24"/>
          <w:lang w:val="en-US" w:eastAsia="zh-CN" w:bidi="ar-SA"/>
        </w:rPr>
        <w:t>1  《陆河县人民政府关于印发广东陆河抽水蓄能电站项目建设征地实物指标调查细则的通知》(陆河府函〔2021〕172 号)</w:t>
      </w:r>
      <w:bookmarkEnd w:id="667"/>
    </w:p>
    <w:p>
      <w:pPr>
        <w:jc w:val="center"/>
        <w:rPr>
          <w:rFonts w:cs="Times New Roman"/>
          <w:szCs w:val="22"/>
        </w:rPr>
      </w:pPr>
      <w:r>
        <w:rPr>
          <w:rFonts w:cs="Times New Roman"/>
          <w:szCs w:val="22"/>
        </w:rPr>
        <w:drawing>
          <wp:inline distT="0" distB="0" distL="114300" distR="114300">
            <wp:extent cx="5126990" cy="7550150"/>
            <wp:effectExtent l="0" t="0" r="1651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4"/>
                    <a:stretch>
                      <a:fillRect/>
                    </a:stretch>
                  </pic:blipFill>
                  <pic:spPr>
                    <a:xfrm>
                      <a:off x="0" y="0"/>
                      <a:ext cx="5126990" cy="7550150"/>
                    </a:xfrm>
                    <a:prstGeom prst="rect">
                      <a:avLst/>
                    </a:prstGeom>
                    <a:noFill/>
                    <a:ln>
                      <a:noFill/>
                    </a:ln>
                  </pic:spPr>
                </pic:pic>
              </a:graphicData>
            </a:graphic>
          </wp:inline>
        </w:drawing>
      </w:r>
    </w:p>
    <w:p>
      <w:pPr>
        <w:jc w:val="center"/>
        <w:rPr>
          <w:rFonts w:cs="Times New Roman"/>
          <w:szCs w:val="22"/>
        </w:rPr>
      </w:pPr>
    </w:p>
    <w:p>
      <w:pPr>
        <w:jc w:val="center"/>
        <w:rPr>
          <w:rFonts w:cs="Times New Roman"/>
          <w:szCs w:val="22"/>
        </w:rPr>
      </w:pPr>
      <w:r>
        <w:rPr>
          <w:rFonts w:cs="Times New Roman"/>
          <w:szCs w:val="22"/>
        </w:rPr>
        <w:drawing>
          <wp:inline distT="0" distB="0" distL="114300" distR="114300">
            <wp:extent cx="5706745" cy="8070215"/>
            <wp:effectExtent l="0" t="0" r="825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a:stretch>
                      <a:fillRect/>
                    </a:stretch>
                  </pic:blipFill>
                  <pic:spPr>
                    <a:xfrm>
                      <a:off x="0" y="0"/>
                      <a:ext cx="5706745" cy="8070215"/>
                    </a:xfrm>
                    <a:prstGeom prst="rect">
                      <a:avLst/>
                    </a:prstGeom>
                    <a:noFill/>
                    <a:ln>
                      <a:noFill/>
                    </a:ln>
                  </pic:spPr>
                </pic:pic>
              </a:graphicData>
            </a:graphic>
          </wp:inline>
        </w:drawing>
      </w:r>
    </w:p>
    <w:p>
      <w:pPr>
        <w:widowControl w:val="0"/>
        <w:adjustRightInd w:val="0"/>
        <w:snapToGrid w:val="0"/>
        <w:spacing w:before="60" w:after="60" w:line="480" w:lineRule="exact"/>
        <w:jc w:val="left"/>
        <w:outlineLvl w:val="2"/>
        <w:rPr>
          <w:rFonts w:hint="eastAsia" w:ascii="Times New Roman" w:hAnsi="Times New Roman" w:eastAsia="黑体" w:cs="Times New Roman"/>
          <w:bCs/>
          <w:color w:val="000000"/>
          <w:spacing w:val="-4"/>
          <w:kern w:val="2"/>
          <w:sz w:val="24"/>
          <w:szCs w:val="24"/>
          <w:shd w:val="clear" w:color="auto" w:fill="FFFF00"/>
          <w:lang w:val="en-US" w:eastAsia="zh-CN" w:bidi="ar-SA"/>
        </w:rPr>
      </w:pPr>
      <w:r>
        <w:rPr>
          <w:rFonts w:ascii="Times New Roman" w:hAnsi="Times New Roman" w:eastAsia="黑体" w:cs="Times New Roman"/>
          <w:bCs/>
          <w:snapToGrid w:val="0"/>
          <w:color w:val="000000"/>
          <w:kern w:val="0"/>
          <w:sz w:val="24"/>
          <w:szCs w:val="24"/>
          <w:lang w:val="en-US" w:eastAsia="zh-CN" w:bidi="ar-SA"/>
        </w:rPr>
        <w:br w:type="page"/>
      </w:r>
      <w:bookmarkStart w:id="668" w:name="_Toc90945276"/>
      <w:r>
        <w:rPr>
          <w:rFonts w:hint="eastAsia" w:ascii="Times New Roman" w:hAnsi="Times New Roman" w:eastAsia="黑体" w:cs="Times New Roman"/>
          <w:bCs/>
          <w:snapToGrid w:val="0"/>
          <w:color w:val="000000"/>
          <w:spacing w:val="-4"/>
          <w:kern w:val="0"/>
          <w:sz w:val="24"/>
          <w:szCs w:val="24"/>
          <w:lang w:val="en-US" w:eastAsia="zh-CN" w:bidi="ar-SA"/>
        </w:rPr>
        <w:t>2  陆河县人民政府关于确认陆河抽水蓄能电站建设征地实物指标调查成果的函</w:t>
      </w:r>
      <w:bookmarkEnd w:id="665"/>
      <w:bookmarkEnd w:id="666"/>
      <w:r>
        <w:rPr>
          <w:rFonts w:hint="eastAsia" w:ascii="Times New Roman" w:hAnsi="Times New Roman" w:eastAsia="黑体" w:cs="Times New Roman"/>
          <w:bCs/>
          <w:snapToGrid w:val="0"/>
          <w:color w:val="000000"/>
          <w:spacing w:val="-4"/>
          <w:kern w:val="0"/>
          <w:sz w:val="24"/>
          <w:szCs w:val="24"/>
          <w:lang w:val="en-US" w:eastAsia="zh-CN" w:bidi="ar-SA"/>
        </w:rPr>
        <w:t>(待办)</w:t>
      </w:r>
      <w:bookmarkEnd w:id="668"/>
    </w:p>
    <w:p>
      <w:pPr>
        <w:tabs>
          <w:tab w:val="left" w:pos="1320"/>
        </w:tabs>
        <w:snapToGrid w:val="0"/>
        <w:spacing w:before="120" w:beforeLines="50"/>
        <w:jc w:val="center"/>
        <w:rPr>
          <w:rFonts w:eastAsia="黑体" w:cs="Times New Roman"/>
          <w:color w:val="000000"/>
          <w:sz w:val="24"/>
          <w:szCs w:val="20"/>
        </w:rPr>
      </w:pPr>
    </w:p>
    <w:p>
      <w:pPr>
        <w:tabs>
          <w:tab w:val="left" w:pos="1320"/>
        </w:tabs>
        <w:snapToGrid w:val="0"/>
        <w:spacing w:before="120" w:beforeLines="50"/>
        <w:jc w:val="center"/>
        <w:rPr>
          <w:rFonts w:eastAsia="黑体" w:cs="Times New Roman"/>
          <w:color w:val="000000"/>
          <w:sz w:val="24"/>
          <w:szCs w:val="20"/>
        </w:rPr>
      </w:pPr>
    </w:p>
    <w:p>
      <w:pPr>
        <w:tabs>
          <w:tab w:val="left" w:pos="1320"/>
        </w:tabs>
        <w:snapToGrid w:val="0"/>
        <w:spacing w:before="120" w:beforeLines="50"/>
        <w:jc w:val="center"/>
        <w:rPr>
          <w:rFonts w:eastAsia="黑体" w:cs="Times New Roman"/>
          <w:color w:val="000000"/>
          <w:sz w:val="24"/>
          <w:szCs w:val="20"/>
        </w:rPr>
      </w:pPr>
    </w:p>
    <w:p>
      <w:pPr>
        <w:tabs>
          <w:tab w:val="left" w:pos="1320"/>
        </w:tabs>
        <w:snapToGrid w:val="0"/>
        <w:spacing w:before="120" w:beforeLines="50"/>
        <w:jc w:val="center"/>
        <w:rPr>
          <w:rFonts w:eastAsia="黑体" w:cs="Times New Roman"/>
          <w:color w:val="000000"/>
          <w:sz w:val="24"/>
          <w:szCs w:val="20"/>
        </w:rPr>
      </w:pPr>
    </w:p>
    <w:p>
      <w:pPr>
        <w:tabs>
          <w:tab w:val="left" w:pos="1320"/>
        </w:tabs>
        <w:snapToGrid w:val="0"/>
        <w:spacing w:before="120" w:beforeLines="50"/>
        <w:jc w:val="center"/>
        <w:rPr>
          <w:rFonts w:eastAsia="黑体" w:cs="Times New Roman"/>
          <w:color w:val="000000"/>
          <w:sz w:val="24"/>
          <w:szCs w:val="20"/>
        </w:rPr>
      </w:pPr>
    </w:p>
    <w:p>
      <w:pPr>
        <w:tabs>
          <w:tab w:val="left" w:pos="1320"/>
        </w:tabs>
        <w:snapToGrid w:val="0"/>
        <w:spacing w:before="120" w:beforeLines="50"/>
        <w:jc w:val="center"/>
        <w:rPr>
          <w:rFonts w:eastAsia="黑体" w:cs="Times New Roman"/>
          <w:color w:val="000000"/>
          <w:sz w:val="24"/>
          <w:szCs w:val="20"/>
        </w:rPr>
      </w:pPr>
    </w:p>
    <w:p>
      <w:pPr>
        <w:tabs>
          <w:tab w:val="left" w:pos="1320"/>
        </w:tabs>
        <w:snapToGrid w:val="0"/>
        <w:spacing w:before="120" w:beforeLines="50"/>
        <w:rPr>
          <w:rFonts w:hint="eastAsia" w:cs="Times New Roman"/>
          <w:szCs w:val="22"/>
          <w:shd w:val="clear" w:color="auto" w:fill="FFFF00"/>
        </w:rPr>
      </w:pPr>
    </w:p>
    <w:p>
      <w:pPr>
        <w:rPr>
          <w:rFonts w:ascii="Tahoma" w:hAnsi="Tahoma" w:cs="Tahoma"/>
          <w:sz w:val="24"/>
          <w:szCs w:val="24"/>
        </w:rPr>
      </w:pPr>
    </w:p>
    <w:p>
      <w:pPr>
        <w:rPr>
          <w:rFonts w:hint="eastAsia" w:ascii="Tahoma" w:hAnsi="Tahoma" w:eastAsia="宋体" w:cs="Tahoma"/>
          <w:sz w:val="24"/>
          <w:szCs w:val="24"/>
          <w:lang w:eastAsia="zh-CN"/>
        </w:rPr>
      </w:pPr>
      <w:r>
        <w:rPr>
          <w:rFonts w:hint="eastAsia" w:ascii="Tahoma" w:hAnsi="Tahoma" w:eastAsia="宋体" w:cs="Tahoma"/>
          <w:sz w:val="24"/>
          <w:szCs w:val="24"/>
          <w:lang w:eastAsia="zh-CN"/>
        </w:rPr>
        <w:drawing>
          <wp:inline distT="0" distB="0" distL="114300" distR="114300">
            <wp:extent cx="5570855" cy="7877175"/>
            <wp:effectExtent l="0" t="0" r="10795" b="9525"/>
            <wp:docPr id="65" name="图片 65" descr="附图1：征地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附图1：征地范围示意图"/>
                    <pic:cNvPicPr>
                      <a:picLocks noChangeAspect="1"/>
                    </pic:cNvPicPr>
                  </pic:nvPicPr>
                  <pic:blipFill>
                    <a:blip r:embed="rId86"/>
                    <a:stretch>
                      <a:fillRect/>
                    </a:stretch>
                  </pic:blipFill>
                  <pic:spPr>
                    <a:xfrm>
                      <a:off x="0" y="0"/>
                      <a:ext cx="5570855" cy="7877175"/>
                    </a:xfrm>
                    <a:prstGeom prst="rect">
                      <a:avLst/>
                    </a:prstGeom>
                  </pic:spPr>
                </pic:pic>
              </a:graphicData>
            </a:graphic>
          </wp:inline>
        </w:drawing>
      </w:r>
    </w:p>
    <w:p>
      <w:pPr>
        <w:rPr>
          <w:rFonts w:ascii="Tahoma" w:hAnsi="Tahoma" w:cs="Tahoma"/>
          <w:sz w:val="24"/>
          <w:szCs w:val="24"/>
        </w:rPr>
      </w:pPr>
    </w:p>
    <w:p>
      <w:pPr>
        <w:rPr>
          <w:rFonts w:ascii="Tahoma" w:hAnsi="Tahoma" w:cs="Tahoma"/>
          <w:sz w:val="24"/>
          <w:szCs w:val="24"/>
        </w:rPr>
        <w:sectPr>
          <w:pgSz w:w="11906" w:h="16838"/>
          <w:pgMar w:top="1588" w:right="1565" w:bottom="1531" w:left="1565" w:header="1134" w:footer="1247" w:gutter="0"/>
          <w:cols w:space="720" w:num="1"/>
          <w:docGrid w:linePitch="312" w:charSpace="0"/>
        </w:sectPr>
      </w:pPr>
    </w:p>
    <w:p>
      <w:pPr>
        <w:jc w:val="center"/>
        <w:rPr>
          <w:rFonts w:hint="eastAsia" w:ascii="Tahoma" w:hAnsi="Tahoma" w:eastAsia="宋体" w:cs="Tahoma"/>
          <w:sz w:val="24"/>
          <w:szCs w:val="24"/>
          <w:lang w:eastAsia="zh-CN"/>
        </w:rPr>
        <w:sectPr>
          <w:pgSz w:w="16838" w:h="11906" w:orient="landscape"/>
          <w:pgMar w:top="1565" w:right="1588" w:bottom="1565" w:left="1531" w:header="1134" w:footer="1247" w:gutter="0"/>
          <w:cols w:space="720" w:num="1"/>
          <w:docGrid w:linePitch="312" w:charSpace="0"/>
        </w:sectPr>
      </w:pPr>
      <w:r>
        <w:rPr>
          <w:rFonts w:hint="eastAsia" w:ascii="Tahoma" w:hAnsi="Tahoma" w:eastAsia="宋体" w:cs="Tahoma"/>
          <w:sz w:val="24"/>
          <w:szCs w:val="24"/>
          <w:lang w:eastAsia="zh-CN"/>
        </w:rPr>
        <w:drawing>
          <wp:inline distT="0" distB="0" distL="114300" distR="114300">
            <wp:extent cx="7877175" cy="5570855"/>
            <wp:effectExtent l="0" t="0" r="9525" b="10795"/>
            <wp:docPr id="66" name="图片 66" descr="附图2：陆河抽水蓄能电站移民复建道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附图2：陆河抽水蓄能电站移民复建道路规划图"/>
                    <pic:cNvPicPr>
                      <a:picLocks noChangeAspect="1"/>
                    </pic:cNvPicPr>
                  </pic:nvPicPr>
                  <pic:blipFill>
                    <a:blip r:embed="rId87"/>
                    <a:stretch>
                      <a:fillRect/>
                    </a:stretch>
                  </pic:blipFill>
                  <pic:spPr>
                    <a:xfrm>
                      <a:off x="0" y="0"/>
                      <a:ext cx="7877175" cy="5570855"/>
                    </a:xfrm>
                    <a:prstGeom prst="rect">
                      <a:avLst/>
                    </a:prstGeom>
                  </pic:spPr>
                </pic:pic>
              </a:graphicData>
            </a:graphic>
          </wp:inline>
        </w:drawing>
      </w:r>
    </w:p>
    <w:p>
      <w:pPr>
        <w:jc w:val="center"/>
        <w:rPr>
          <w:rFonts w:hint="eastAsia" w:ascii="Tahoma" w:hAnsi="Tahoma" w:eastAsia="宋体" w:cs="Tahoma"/>
          <w:sz w:val="24"/>
          <w:szCs w:val="24"/>
          <w:lang w:eastAsia="zh-CN"/>
        </w:rPr>
      </w:pPr>
    </w:p>
    <w:p>
      <w:pPr>
        <w:rPr>
          <w:rFonts w:hint="eastAsia" w:ascii="Tahoma" w:hAnsi="Tahoma" w:eastAsia="宋体" w:cs="Tahoma"/>
          <w:sz w:val="24"/>
          <w:szCs w:val="24"/>
          <w:lang w:eastAsia="zh-CN"/>
        </w:rPr>
      </w:pPr>
      <w:r>
        <w:rPr>
          <w:rFonts w:hint="eastAsia" w:ascii="Tahoma" w:hAnsi="Tahoma" w:eastAsia="宋体" w:cs="Tahoma"/>
          <w:sz w:val="24"/>
          <w:szCs w:val="24"/>
          <w:lang w:eastAsia="zh-CN"/>
        </w:rPr>
        <w:drawing>
          <wp:inline distT="0" distB="0" distL="114300" distR="114300">
            <wp:extent cx="5581650" cy="7901940"/>
            <wp:effectExtent l="0" t="0" r="0" b="3810"/>
            <wp:docPr id="67" name="图片 67" descr="附图3：陆河建设征地水利专项影响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附图3：陆河建设征地水利专项影响示意图"/>
                    <pic:cNvPicPr>
                      <a:picLocks noChangeAspect="1"/>
                    </pic:cNvPicPr>
                  </pic:nvPicPr>
                  <pic:blipFill>
                    <a:blip r:embed="rId88"/>
                    <a:stretch>
                      <a:fillRect/>
                    </a:stretch>
                  </pic:blipFill>
                  <pic:spPr>
                    <a:xfrm>
                      <a:off x="0" y="0"/>
                      <a:ext cx="5581650" cy="7901940"/>
                    </a:xfrm>
                    <a:prstGeom prst="rect">
                      <a:avLst/>
                    </a:prstGeom>
                  </pic:spPr>
                </pic:pic>
              </a:graphicData>
            </a:graphic>
          </wp:inline>
        </w:drawing>
      </w:r>
    </w:p>
    <w:p>
      <w:pPr>
        <w:rPr>
          <w:rFonts w:ascii="Tahoma" w:hAnsi="Tahoma" w:cs="Tahoma"/>
          <w:sz w:val="24"/>
          <w:szCs w:val="24"/>
        </w:rPr>
      </w:pPr>
    </w:p>
    <w:p>
      <w:pPr>
        <w:rPr>
          <w:rFonts w:ascii="Tahoma" w:hAnsi="Tahoma" w:cs="Tahoma"/>
          <w:sz w:val="24"/>
          <w:szCs w:val="24"/>
        </w:rPr>
        <w:sectPr>
          <w:pgSz w:w="11906" w:h="16838"/>
          <w:pgMar w:top="1588" w:right="1565" w:bottom="1531" w:left="1565" w:header="1134" w:footer="1247" w:gutter="0"/>
          <w:cols w:space="720" w:num="1"/>
          <w:docGrid w:linePitch="312" w:charSpace="0"/>
        </w:sectPr>
      </w:pPr>
    </w:p>
    <w:p>
      <w:pPr>
        <w:jc w:val="center"/>
        <w:rPr>
          <w:rFonts w:hint="eastAsia" w:ascii="Tahoma" w:hAnsi="Tahoma" w:eastAsia="宋体" w:cs="Tahoma"/>
          <w:sz w:val="24"/>
          <w:szCs w:val="24"/>
          <w:lang w:eastAsia="zh-CN"/>
        </w:rPr>
      </w:pPr>
      <w:r>
        <w:rPr>
          <w:rFonts w:hint="eastAsia" w:ascii="Tahoma" w:hAnsi="Tahoma" w:eastAsia="宋体" w:cs="Tahoma"/>
          <w:sz w:val="24"/>
          <w:szCs w:val="24"/>
          <w:lang w:eastAsia="zh-CN"/>
        </w:rPr>
        <w:drawing>
          <wp:inline distT="0" distB="0" distL="114300" distR="114300">
            <wp:extent cx="7880350" cy="5571490"/>
            <wp:effectExtent l="0" t="0" r="6350" b="10160"/>
            <wp:docPr id="68" name="图片 68" descr="附图4 陆河抽蓄影响电力设施复建规划路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附图4 陆河抽蓄影响电力设施复建规划路径图"/>
                    <pic:cNvPicPr>
                      <a:picLocks noChangeAspect="1"/>
                    </pic:cNvPicPr>
                  </pic:nvPicPr>
                  <pic:blipFill>
                    <a:blip r:embed="rId89"/>
                    <a:stretch>
                      <a:fillRect/>
                    </a:stretch>
                  </pic:blipFill>
                  <pic:spPr>
                    <a:xfrm>
                      <a:off x="0" y="0"/>
                      <a:ext cx="7880350" cy="5571490"/>
                    </a:xfrm>
                    <a:prstGeom prst="rect">
                      <a:avLst/>
                    </a:prstGeom>
                  </pic:spPr>
                </pic:pic>
              </a:graphicData>
            </a:graphic>
          </wp:inline>
        </w:drawing>
      </w:r>
      <w:r>
        <w:rPr>
          <w:rFonts w:hint="eastAsia" w:ascii="Tahoma" w:hAnsi="Tahoma" w:eastAsia="宋体" w:cs="Tahoma"/>
          <w:sz w:val="24"/>
          <w:szCs w:val="24"/>
          <w:lang w:eastAsia="zh-CN"/>
        </w:rPr>
        <w:drawing>
          <wp:inline distT="0" distB="0" distL="114300" distR="114300">
            <wp:extent cx="7870190" cy="5566410"/>
            <wp:effectExtent l="0" t="0" r="16510" b="15240"/>
            <wp:docPr id="69" name="图片 69" descr="附图5：陆河抽水蓄能电站临时用地复垦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附图5：陆河抽水蓄能电站临时用地复垦现状图"/>
                    <pic:cNvPicPr>
                      <a:picLocks noChangeAspect="1"/>
                    </pic:cNvPicPr>
                  </pic:nvPicPr>
                  <pic:blipFill>
                    <a:blip r:embed="rId90"/>
                    <a:stretch>
                      <a:fillRect/>
                    </a:stretch>
                  </pic:blipFill>
                  <pic:spPr>
                    <a:xfrm>
                      <a:off x="0" y="0"/>
                      <a:ext cx="7870190" cy="5566410"/>
                    </a:xfrm>
                    <a:prstGeom prst="rect">
                      <a:avLst/>
                    </a:prstGeom>
                  </pic:spPr>
                </pic:pic>
              </a:graphicData>
            </a:graphic>
          </wp:inline>
        </w:drawing>
      </w:r>
      <w:r>
        <w:rPr>
          <w:rFonts w:hint="eastAsia" w:ascii="Tahoma" w:hAnsi="Tahoma" w:eastAsia="宋体" w:cs="Tahoma"/>
          <w:sz w:val="24"/>
          <w:szCs w:val="24"/>
          <w:lang w:eastAsia="zh-CN"/>
        </w:rPr>
        <w:drawing>
          <wp:inline distT="0" distB="0" distL="114300" distR="114300">
            <wp:extent cx="7870190" cy="5566410"/>
            <wp:effectExtent l="0" t="0" r="16510" b="15240"/>
            <wp:docPr id="70" name="图片 70" descr="附图6：陆河抽水蓄能电站临时用地复垦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附图6：陆河抽水蓄能电站临时用地复垦规划图"/>
                    <pic:cNvPicPr>
                      <a:picLocks noChangeAspect="1"/>
                    </pic:cNvPicPr>
                  </pic:nvPicPr>
                  <pic:blipFill>
                    <a:blip r:embed="rId91"/>
                    <a:stretch>
                      <a:fillRect/>
                    </a:stretch>
                  </pic:blipFill>
                  <pic:spPr>
                    <a:xfrm>
                      <a:off x="0" y="0"/>
                      <a:ext cx="7870190" cy="5566410"/>
                    </a:xfrm>
                    <a:prstGeom prst="rect">
                      <a:avLst/>
                    </a:prstGeom>
                  </pic:spPr>
                </pic:pic>
              </a:graphicData>
            </a:graphic>
          </wp:inline>
        </w:drawing>
      </w:r>
    </w:p>
    <w:sectPr>
      <w:pgSz w:w="16838" w:h="11906" w:orient="landscape"/>
      <w:pgMar w:top="1565" w:right="1588" w:bottom="1565" w:left="1531" w:header="1134" w:footer="124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仿宋体">
    <w:altName w:val="宋体"/>
    <w:panose1 w:val="00000000000000000000"/>
    <w:charset w:val="86"/>
    <w:family w:val="roman"/>
    <w:pitch w:val="default"/>
    <w:sig w:usb0="00000000" w:usb1="00000000" w:usb2="00000010" w:usb3="00000000" w:csb0="00040000" w:csb1="00000000"/>
  </w:font>
  <w:font w:name="System">
    <w:altName w:val="宋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MS Shell Dlg 2">
    <w:altName w:val="Tahoma"/>
    <w:panose1 w:val="020B0604030504040204"/>
    <w:charset w:val="00"/>
    <w:family w:val="swiss"/>
    <w:pitch w:val="default"/>
    <w:sig w:usb0="00000000" w:usb1="00000000" w:usb2="00000029" w:usb3="00000000" w:csb0="000101FF" w:csb1="0000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Terminal">
    <w:altName w:val="黑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方正魏碑简体">
    <w:altName w:val="宋体"/>
    <w:panose1 w:val="00000000000000000000"/>
    <w:charset w:val="86"/>
    <w:family w:val="script"/>
    <w:pitch w:val="default"/>
    <w:sig w:usb0="00000000" w:usb1="00000000" w:usb2="00000010" w:usb3="00000000" w:csb0="00040000"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方正书宋简体">
    <w:altName w:val="宋体"/>
    <w:panose1 w:val="00000000000000000000"/>
    <w:charset w:val="86"/>
    <w:family w:val="auto"/>
    <w:pitch w:val="default"/>
    <w:sig w:usb0="00000000" w:usb1="00000000" w:usb2="00000010" w:usb3="00000000" w:csb0="00040000" w:csb1="00000000"/>
  </w:font>
  <w:font w:name="方正大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page" w:hAnchor="page" w:yAlign="center"/>
      <w:rPr>
        <w:rStyle w:val="85"/>
      </w:rPr>
    </w:pPr>
    <w:r>
      <w:rPr>
        <w:rStyle w:val="85"/>
      </w:rPr>
      <w:fldChar w:fldCharType="begin"/>
    </w:r>
    <w:r>
      <w:rPr>
        <w:rStyle w:val="85"/>
      </w:rPr>
      <w:instrText xml:space="preserve">PAGE  </w:instrText>
    </w:r>
    <w:r>
      <w:rPr>
        <w:rStyle w:val="85"/>
      </w:rPr>
      <w:fldChar w:fldCharType="end"/>
    </w:r>
  </w:p>
  <w:p>
    <w:pPr>
      <w:pStyle w:val="4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page" w:hAnchor="page" w:x="1242" w:yAlign="center"/>
      <w:rPr>
        <w:rStyle w:val="85"/>
        <w:rFonts w:ascii="Times New Roman" w:hAnsi="Times New Roman" w:cs="Times New Roman"/>
        <w:sz w:val="21"/>
        <w:szCs w:val="21"/>
      </w:rPr>
    </w:pPr>
    <w:r>
      <w:rPr>
        <w:sz w:val="21"/>
        <w:szCs w:val="21"/>
      </w:rPr>
      <w:fldChar w:fldCharType="begin"/>
    </w:r>
    <w:r>
      <w:rPr>
        <w:rStyle w:val="85"/>
        <w:rFonts w:ascii="Times New Roman" w:hAnsi="Times New Roman" w:cs="Times New Roman"/>
        <w:sz w:val="21"/>
        <w:szCs w:val="21"/>
      </w:rPr>
      <w:instrText xml:space="preserve">PAGE  </w:instrText>
    </w:r>
    <w:r>
      <w:rPr>
        <w:sz w:val="21"/>
        <w:szCs w:val="21"/>
      </w:rPr>
      <w:fldChar w:fldCharType="separate"/>
    </w:r>
    <w:r>
      <w:rPr>
        <w:rStyle w:val="85"/>
        <w:rFonts w:ascii="Times New Roman" w:hAnsi="Times New Roman" w:cs="Times New Roman"/>
        <w:sz w:val="21"/>
        <w:szCs w:val="21"/>
      </w:rPr>
      <w:t>37</w:t>
    </w:r>
    <w:r>
      <w:rPr>
        <w:sz w:val="21"/>
        <w:szCs w:val="21"/>
      </w:rPr>
      <w:fldChar w:fldCharType="end"/>
    </w:r>
  </w:p>
  <w:p>
    <w:pPr>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sz w:val="21"/>
        <w:szCs w:val="21"/>
      </w:rPr>
      <w:fldChar w:fldCharType="begin"/>
    </w:r>
    <w:r>
      <w:rPr>
        <w:rStyle w:val="85"/>
        <w:rFonts w:ascii="Times New Roman" w:hAnsi="Times New Roman" w:cs="Times New Roman"/>
        <w:sz w:val="21"/>
        <w:szCs w:val="21"/>
      </w:rPr>
      <w:instrText xml:space="preserve">PAGE  </w:instrText>
    </w:r>
    <w:r>
      <w:rPr>
        <w:sz w:val="21"/>
        <w:szCs w:val="21"/>
      </w:rPr>
      <w:fldChar w:fldCharType="separate"/>
    </w:r>
    <w:r>
      <w:rPr>
        <w:rStyle w:val="85"/>
        <w:rFonts w:ascii="Times New Roman" w:hAnsi="Times New Roman" w:cs="Times New Roman"/>
        <w:sz w:val="21"/>
        <w:szCs w:val="21"/>
      </w:rPr>
      <w:t>38</w:t>
    </w:r>
    <w:r>
      <w:rPr>
        <w:sz w:val="21"/>
        <w:szCs w:val="21"/>
      </w:rPr>
      <w:fldChar w:fldCharType="end"/>
    </w:r>
  </w:p>
  <w:p>
    <w:pPr>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sz w:val="21"/>
        <w:szCs w:val="21"/>
      </w:rPr>
      <w:fldChar w:fldCharType="begin"/>
    </w:r>
    <w:r>
      <w:rPr>
        <w:rStyle w:val="85"/>
        <w:rFonts w:ascii="Times New Roman" w:hAnsi="Times New Roman" w:cs="Times New Roman"/>
        <w:sz w:val="21"/>
        <w:szCs w:val="21"/>
      </w:rPr>
      <w:instrText xml:space="preserve">PAGE  </w:instrText>
    </w:r>
    <w:r>
      <w:rPr>
        <w:sz w:val="21"/>
        <w:szCs w:val="21"/>
      </w:rPr>
      <w:fldChar w:fldCharType="separate"/>
    </w:r>
    <w:r>
      <w:rPr>
        <w:rStyle w:val="85"/>
        <w:rFonts w:ascii="Times New Roman" w:hAnsi="Times New Roman" w:cs="Times New Roman"/>
        <w:sz w:val="21"/>
        <w:szCs w:val="21"/>
      </w:rPr>
      <w:t>49</w:t>
    </w:r>
    <w:r>
      <w:rPr>
        <w:sz w:val="21"/>
        <w:szCs w:val="21"/>
      </w:rPr>
      <w:fldChar w:fldCharType="end"/>
    </w:r>
  </w:p>
  <w:p>
    <w:pPr>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9735025"/>
      <w:docPartObj>
        <w:docPartGallery w:val="autotext"/>
      </w:docPartObj>
    </w:sdtPr>
    <w:sdtEndPr>
      <w:rPr>
        <w:sz w:val="21"/>
        <w:szCs w:val="21"/>
      </w:rPr>
    </w:sdtEndPr>
    <w:sdtContent>
      <w:p>
        <w:pPr>
          <w:pStyle w:val="4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sz w:val="21"/>
        <w:szCs w:val="21"/>
      </w:rPr>
      <w:fldChar w:fldCharType="begin"/>
    </w:r>
    <w:r>
      <w:rPr>
        <w:rStyle w:val="85"/>
        <w:rFonts w:ascii="Times New Roman" w:hAnsi="Times New Roman" w:cs="Times New Roman"/>
        <w:sz w:val="21"/>
        <w:szCs w:val="21"/>
      </w:rPr>
      <w:instrText xml:space="preserve">PAGE  </w:instrText>
    </w:r>
    <w:r>
      <w:rPr>
        <w:sz w:val="21"/>
        <w:szCs w:val="21"/>
      </w:rPr>
      <w:fldChar w:fldCharType="separate"/>
    </w:r>
    <w:r>
      <w:rPr>
        <w:rStyle w:val="85"/>
        <w:rFonts w:ascii="Times New Roman" w:hAnsi="Times New Roman" w:cs="Times New Roman"/>
        <w:sz w:val="21"/>
        <w:szCs w:val="21"/>
      </w:rPr>
      <w:t>70</w:t>
    </w:r>
    <w:r>
      <w:rPr>
        <w:sz w:val="21"/>
        <w:szCs w:val="21"/>
      </w:rPr>
      <w:fldChar w:fldCharType="end"/>
    </w:r>
  </w:p>
  <w:p>
    <w:pPr>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page" w:hAnchor="page" w:yAlign="center"/>
      <w:rPr>
        <w:rStyle w:val="85"/>
        <w:rFonts w:ascii="Times New Roman" w:hAnsi="Times New Roman" w:cs="Times New Roman"/>
        <w:sz w:val="21"/>
        <w:szCs w:val="21"/>
      </w:rPr>
    </w:pPr>
    <w:r>
      <w:rPr>
        <w:sz w:val="21"/>
        <w:szCs w:val="21"/>
      </w:rPr>
      <w:fldChar w:fldCharType="begin"/>
    </w:r>
    <w:r>
      <w:rPr>
        <w:rStyle w:val="85"/>
        <w:rFonts w:ascii="Times New Roman" w:hAnsi="Times New Roman" w:cs="Times New Roman"/>
        <w:sz w:val="21"/>
        <w:szCs w:val="21"/>
      </w:rPr>
      <w:instrText xml:space="preserve">PAGE  </w:instrText>
    </w:r>
    <w:r>
      <w:rPr>
        <w:sz w:val="21"/>
        <w:szCs w:val="21"/>
      </w:rPr>
      <w:fldChar w:fldCharType="separate"/>
    </w:r>
    <w:r>
      <w:rPr>
        <w:rStyle w:val="85"/>
        <w:rFonts w:ascii="Times New Roman" w:hAnsi="Times New Roman" w:cs="Times New Roman"/>
        <w:sz w:val="21"/>
        <w:szCs w:val="21"/>
      </w:rPr>
      <w:t>71</w:t>
    </w:r>
    <w:r>
      <w:rPr>
        <w:sz w:val="21"/>
        <w:szCs w:val="21"/>
      </w:rPr>
      <w:fldChar w:fldCharType="end"/>
    </w:r>
  </w:p>
  <w:p>
    <w:pPr>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rStyle w:val="85"/>
        <w:rFonts w:ascii="Times New Roman" w:hAnsi="Times New Roman" w:cs="Times New Roman"/>
        <w:sz w:val="21"/>
        <w:szCs w:val="21"/>
      </w:rPr>
      <w:fldChar w:fldCharType="begin"/>
    </w:r>
    <w:r>
      <w:rPr>
        <w:rStyle w:val="85"/>
        <w:rFonts w:ascii="Times New Roman" w:hAnsi="Times New Roman" w:cs="Times New Roman"/>
        <w:sz w:val="21"/>
        <w:szCs w:val="21"/>
      </w:rPr>
      <w:instrText xml:space="preserve">PAGE  </w:instrText>
    </w:r>
    <w:r>
      <w:rPr>
        <w:rStyle w:val="85"/>
        <w:rFonts w:ascii="Times New Roman" w:hAnsi="Times New Roman" w:cs="Times New Roman"/>
        <w:sz w:val="21"/>
        <w:szCs w:val="21"/>
      </w:rPr>
      <w:fldChar w:fldCharType="separate"/>
    </w:r>
    <w:r>
      <w:rPr>
        <w:rStyle w:val="85"/>
        <w:rFonts w:ascii="Times New Roman" w:hAnsi="Times New Roman" w:cs="Times New Roman"/>
        <w:sz w:val="21"/>
        <w:szCs w:val="21"/>
      </w:rPr>
      <w:t>88</w:t>
    </w:r>
    <w:r>
      <w:rPr>
        <w:rStyle w:val="85"/>
        <w:rFonts w:ascii="Times New Roman" w:hAnsi="Times New Roman" w:cs="Times New Roman"/>
        <w:sz w:val="21"/>
        <w:szCs w:val="21"/>
      </w:rPr>
      <w:fldChar w:fldCharType="end"/>
    </w:r>
  </w:p>
  <w:p>
    <w:pPr>
      <w:pStyle w:val="49"/>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page" w:hAnchor="page" w:yAlign="center"/>
      <w:rPr>
        <w:rStyle w:val="85"/>
        <w:rFonts w:ascii="Times New Roman" w:hAnsi="Times New Roman" w:cs="Times New Roman"/>
        <w:sz w:val="21"/>
        <w:szCs w:val="21"/>
      </w:rPr>
    </w:pPr>
    <w:r>
      <w:rPr>
        <w:rStyle w:val="85"/>
        <w:rFonts w:ascii="Times New Roman" w:hAnsi="Times New Roman" w:cs="Times New Roman"/>
        <w:sz w:val="21"/>
        <w:szCs w:val="21"/>
      </w:rPr>
      <w:fldChar w:fldCharType="begin"/>
    </w:r>
    <w:r>
      <w:rPr>
        <w:rStyle w:val="85"/>
        <w:rFonts w:ascii="Times New Roman" w:hAnsi="Times New Roman" w:cs="Times New Roman"/>
        <w:sz w:val="21"/>
        <w:szCs w:val="21"/>
      </w:rPr>
      <w:instrText xml:space="preserve">PAGE  </w:instrText>
    </w:r>
    <w:r>
      <w:rPr>
        <w:rStyle w:val="85"/>
        <w:rFonts w:ascii="Times New Roman" w:hAnsi="Times New Roman" w:cs="Times New Roman"/>
        <w:sz w:val="21"/>
        <w:szCs w:val="21"/>
      </w:rPr>
      <w:fldChar w:fldCharType="separate"/>
    </w:r>
    <w:r>
      <w:rPr>
        <w:rStyle w:val="85"/>
        <w:rFonts w:ascii="Times New Roman" w:hAnsi="Times New Roman" w:cs="Times New Roman"/>
        <w:sz w:val="21"/>
        <w:szCs w:val="21"/>
      </w:rPr>
      <w:t>89</w:t>
    </w:r>
    <w:r>
      <w:rPr>
        <w:rStyle w:val="85"/>
        <w:rFonts w:ascii="Times New Roman" w:hAnsi="Times New Roman" w:cs="Times New Roman"/>
        <w:sz w:val="21"/>
        <w:szCs w:val="21"/>
      </w:rPr>
      <w:fldChar w:fldCharType="end"/>
    </w:r>
  </w:p>
  <w:p>
    <w:pPr>
      <w:pStyle w:val="49"/>
      <w:ind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rStyle w:val="85"/>
        <w:rFonts w:ascii="Times New Roman" w:hAnsi="Times New Roman" w:cs="Times New Roman"/>
        <w:sz w:val="21"/>
        <w:szCs w:val="21"/>
      </w:rPr>
      <w:fldChar w:fldCharType="begin"/>
    </w:r>
    <w:r>
      <w:rPr>
        <w:rStyle w:val="85"/>
        <w:rFonts w:ascii="Times New Roman" w:hAnsi="Times New Roman" w:cs="Times New Roman"/>
        <w:sz w:val="21"/>
        <w:szCs w:val="21"/>
      </w:rPr>
      <w:instrText xml:space="preserve">PAGE  </w:instrText>
    </w:r>
    <w:r>
      <w:rPr>
        <w:rStyle w:val="85"/>
        <w:rFonts w:ascii="Times New Roman" w:hAnsi="Times New Roman" w:cs="Times New Roman"/>
        <w:sz w:val="21"/>
        <w:szCs w:val="21"/>
      </w:rPr>
      <w:fldChar w:fldCharType="separate"/>
    </w:r>
    <w:r>
      <w:rPr>
        <w:rStyle w:val="85"/>
        <w:rFonts w:ascii="Times New Roman" w:hAnsi="Times New Roman" w:cs="Times New Roman"/>
        <w:sz w:val="21"/>
        <w:szCs w:val="21"/>
      </w:rPr>
      <w:t>144</w:t>
    </w:r>
    <w:r>
      <w:rPr>
        <w:rStyle w:val="85"/>
        <w:rFonts w:ascii="Times New Roman" w:hAnsi="Times New Roman" w:cs="Times New Roman"/>
        <w:sz w:val="21"/>
        <w:szCs w:val="21"/>
      </w:rPr>
      <w:fldChar w:fldCharType="end"/>
    </w:r>
  </w:p>
  <w:p>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rStyle w:val="85"/>
        <w:rFonts w:ascii="Times New Roman" w:hAnsi="Times New Roman" w:cs="Times New Roman"/>
        <w:sz w:val="21"/>
        <w:szCs w:val="21"/>
      </w:rPr>
      <w:fldChar w:fldCharType="begin"/>
    </w:r>
    <w:r>
      <w:rPr>
        <w:rStyle w:val="85"/>
        <w:rFonts w:ascii="Times New Roman" w:hAnsi="Times New Roman" w:cs="Times New Roman"/>
        <w:sz w:val="21"/>
        <w:szCs w:val="21"/>
      </w:rPr>
      <w:instrText xml:space="preserve">PAGE  </w:instrText>
    </w:r>
    <w:r>
      <w:rPr>
        <w:rStyle w:val="85"/>
        <w:rFonts w:ascii="Times New Roman" w:hAnsi="Times New Roman" w:cs="Times New Roman"/>
        <w:sz w:val="21"/>
        <w:szCs w:val="21"/>
      </w:rPr>
      <w:fldChar w:fldCharType="separate"/>
    </w:r>
    <w:r>
      <w:rPr>
        <w:rStyle w:val="85"/>
        <w:rFonts w:ascii="Times New Roman" w:hAnsi="Times New Roman" w:cs="Times New Roman"/>
        <w:sz w:val="21"/>
        <w:szCs w:val="21"/>
      </w:rPr>
      <w:t>I</w:t>
    </w:r>
    <w:r>
      <w:rPr>
        <w:rStyle w:val="85"/>
        <w:rFonts w:ascii="Times New Roman" w:hAnsi="Times New Roman" w:cs="Times New Roman"/>
        <w:sz w:val="21"/>
        <w:szCs w:val="21"/>
      </w:rPr>
      <w:fldChar w:fldCharType="end"/>
    </w:r>
  </w:p>
  <w:p>
    <w:pPr>
      <w:pStyle w:val="4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left"/>
      <w:rPr>
        <w:rFonts w:ascii="Times New Roman" w:hAnsi="Times New Roman" w:eastAsia="宋体" w:cs="Times New Roman"/>
        <w:kern w:val="2"/>
        <w:sz w:val="21"/>
        <w:szCs w:val="21"/>
        <w:lang w:val="en-US" w:eastAsia="zh-CN" w:bidi="ar-SA"/>
      </w:rPr>
    </w:pPr>
  </w:p>
  <w:p>
    <w:pPr>
      <w:adjustRightInd w:val="0"/>
      <w:snapToGrid w:val="0"/>
      <w:ind w:firstLine="360"/>
      <w:rPr>
        <w:rFonts w:cs="Times New Roman"/>
        <w:szCs w:val="21"/>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left"/>
      <w:rPr>
        <w:rFonts w:ascii="Times New Roman" w:hAnsi="Times New Roman" w:eastAsia="宋体" w:cs="Times New Roman"/>
        <w:kern w:val="2"/>
        <w:sz w:val="21"/>
        <w:szCs w:val="21"/>
        <w:lang w:val="en-US" w:eastAsia="zh-CN" w:bidi="ar-SA"/>
      </w:rPr>
    </w:pPr>
  </w:p>
  <w:p>
    <w:pPr>
      <w:adjustRightInd w:val="0"/>
      <w:snapToGrid w:val="0"/>
      <w:ind w:firstLine="360"/>
      <w:rPr>
        <w:rFonts w:cs="Times New Roman"/>
        <w:szCs w:val="21"/>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II</w:t>
    </w:r>
    <w:r>
      <w:rPr>
        <w:rFonts w:ascii="Times New Roman" w:hAnsi="Times New Roman" w:eastAsia="宋体" w:cs="Times New Roman"/>
        <w:kern w:val="2"/>
        <w:sz w:val="21"/>
        <w:szCs w:val="21"/>
        <w:lang w:val="en-US" w:eastAsia="zh-CN" w:bidi="ar-SA"/>
      </w:rPr>
      <w:fldChar w:fldCharType="end"/>
    </w:r>
  </w:p>
  <w:p>
    <w:pPr>
      <w:adjustRightInd w:val="0"/>
      <w:snapToGrid w:val="0"/>
      <w:rPr>
        <w:rFonts w:cs="Times New Roman"/>
        <w:szCs w:val="21"/>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 MERGEFORMAT</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zh-CN" w:eastAsia="zh-CN" w:bidi="ar-SA"/>
      </w:rPr>
      <w:t>2</w:t>
    </w:r>
    <w:r>
      <w:rPr>
        <w:rFonts w:ascii="Times New Roman" w:hAnsi="Times New Roman" w:eastAsia="宋体" w:cs="Times New Roman"/>
        <w:kern w:val="2"/>
        <w:sz w:val="21"/>
        <w:szCs w:val="21"/>
        <w:lang w:val="en-US" w:eastAsia="zh-CN" w:bidi="ar-SA"/>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x="1292" w:yAlign="center"/>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20</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center"/>
      <w:rPr>
        <w:rFonts w:ascii="Times New Roman" w:hAnsi="Times New Roman" w:eastAsia="宋体" w:cs="Times New Roman"/>
        <w:kern w:val="2"/>
        <w:sz w:val="21"/>
        <w:szCs w:val="21"/>
        <w:lang w:val="en-US" w:eastAsia="zh-CN" w:bidi="ar-SA"/>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 MERGEFORMAT</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zh-CN" w:eastAsia="zh-CN" w:bidi="ar-SA"/>
      </w:rPr>
      <w:t>22</w:t>
    </w:r>
    <w:r>
      <w:rPr>
        <w:rFonts w:ascii="Times New Roman" w:hAnsi="Times New Roman" w:eastAsia="宋体" w:cs="Times New Roman"/>
        <w:kern w:val="2"/>
        <w:sz w:val="21"/>
        <w:szCs w:val="21"/>
        <w:lang w:val="en-US" w:eastAsia="zh-CN" w:bidi="ar-SA"/>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yAlign="center"/>
      <w:widowControl w:val="0"/>
      <w:snapToGrid w:val="0"/>
      <w:spacing w:before="120" w:beforeLines="5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26</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center"/>
      <w:rPr>
        <w:rFonts w:ascii="Times New Roman" w:hAnsi="Times New Roman" w:eastAsia="宋体" w:cs="Times New Roman"/>
        <w:kern w:val="2"/>
        <w:sz w:val="21"/>
        <w:szCs w:val="21"/>
        <w:lang w:val="en-US" w:eastAsia="zh-CN" w:bidi="ar-SA"/>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 MERGEFORMAT</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zh-CN" w:eastAsia="zh-CN" w:bidi="ar-SA"/>
      </w:rPr>
      <w:t>36</w:t>
    </w:r>
    <w:r>
      <w:rPr>
        <w:rFonts w:ascii="Times New Roman" w:hAnsi="Times New Roman" w:eastAsia="宋体" w:cs="Times New Roman"/>
        <w:kern w:val="2"/>
        <w:sz w:val="21"/>
        <w:szCs w:val="21"/>
        <w:lang w:val="en-US" w:eastAsia="zh-CN" w:bidi="ar-SA"/>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x="1156" w:yAlign="center"/>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49</w:t>
    </w:r>
    <w:r>
      <w:rPr>
        <w:rFonts w:ascii="Times New Roman" w:hAnsi="Times New Roman" w:eastAsia="宋体" w:cs="Times New Roman"/>
        <w:kern w:val="2"/>
        <w:sz w:val="21"/>
        <w:szCs w:val="21"/>
        <w:lang w:val="en-US" w:eastAsia="zh-CN" w:bidi="ar-SA"/>
      </w:rPr>
      <w:fldChar w:fldCharType="end"/>
    </w:r>
  </w:p>
  <w:p>
    <w:pPr>
      <w:widowControl w:val="0"/>
      <w:snapToGrid w:val="0"/>
      <w:jc w:val="left"/>
      <w:rPr>
        <w:rFonts w:ascii="Times New Roman" w:hAnsi="Times New Roman" w:eastAsia="宋体" w:cs="Times New Roman"/>
        <w:kern w:val="2"/>
        <w:sz w:val="18"/>
        <w:szCs w:val="21"/>
        <w:lang w:val="en-US" w:eastAsia="zh-CN" w:bidi="ar-SA"/>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 MERGEFORMAT</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zh-CN" w:eastAsia="zh-CN" w:bidi="ar-SA"/>
      </w:rPr>
      <w:t>50</w:t>
    </w:r>
    <w:r>
      <w:rPr>
        <w:rFonts w:ascii="Times New Roman" w:hAnsi="Times New Roman" w:eastAsia="宋体" w:cs="Times New Roman"/>
        <w:kern w:val="2"/>
        <w:sz w:val="21"/>
        <w:szCs w:val="21"/>
        <w:lang w:val="en-US" w:eastAsia="zh-CN" w:bidi="ar-S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x="1216" w:y="5836"/>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52</w:t>
    </w:r>
    <w:r>
      <w:rPr>
        <w:rFonts w:ascii="Times New Roman" w:hAnsi="Times New Roman" w:eastAsia="宋体" w:cs="Times New Roman"/>
        <w:kern w:val="2"/>
        <w:sz w:val="21"/>
        <w:szCs w:val="21"/>
        <w:lang w:val="en-US" w:eastAsia="zh-CN" w:bidi="ar-SA"/>
      </w:rPr>
      <w:fldChar w:fldCharType="end"/>
    </w:r>
  </w:p>
  <w:p>
    <w:pPr>
      <w:widowControl w:val="0"/>
      <w:snapToGrid w:val="0"/>
      <w:jc w:val="left"/>
      <w:rPr>
        <w:rFonts w:ascii="Times New Roman" w:hAnsi="Times New Roman" w:eastAsia="宋体" w:cs="Times New Roman"/>
        <w:kern w:val="2"/>
        <w:sz w:val="18"/>
        <w:szCs w:val="21"/>
        <w:lang w:val="en-US" w:eastAsia="zh-CN" w:bidi="ar-SA"/>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60</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x="1237" w:y="5830"/>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62</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63</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yAlign="center"/>
      <w:widowControl w:val="0"/>
      <w:snapToGrid w:val="0"/>
      <w:spacing w:before="120" w:beforeLines="5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64</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65</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yAlign="center"/>
      <w:widowControl w:val="0"/>
      <w:snapToGrid w:val="0"/>
      <w:spacing w:before="120" w:beforeLines="5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66</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68</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yAlign="center"/>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70</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71</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page" w:hAnchor="page" w:x="1206" w:y="5811"/>
      <w:widowControl w:val="0"/>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72</w:t>
    </w:r>
    <w:r>
      <w:rPr>
        <w:rFonts w:ascii="Times New Roman" w:hAnsi="Times New Roman" w:eastAsia="宋体" w:cs="Times New Roman"/>
        <w:kern w:val="2"/>
        <w:sz w:val="21"/>
        <w:szCs w:val="21"/>
        <w:lang w:val="en-US" w:eastAsia="zh-CN" w:bidi="ar-SA"/>
      </w:rPr>
      <w:fldChar w:fldCharType="end"/>
    </w:r>
  </w:p>
  <w:p>
    <w:pPr>
      <w:widowControl w:val="0"/>
      <w:snapToGrid w:val="0"/>
      <w:ind w:firstLine="360"/>
      <w:jc w:val="left"/>
      <w:rPr>
        <w:rFonts w:ascii="Times New Roman" w:hAnsi="Times New Roman" w:eastAsia="宋体" w:cs="Times New Roman"/>
        <w:kern w:val="2"/>
        <w:sz w:val="18"/>
        <w:szCs w:val="21"/>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sz w:val="21"/>
        <w:szCs w:val="21"/>
      </w:rPr>
      <w:fldChar w:fldCharType="begin"/>
    </w:r>
    <w:r>
      <w:rPr>
        <w:rStyle w:val="85"/>
        <w:rFonts w:ascii="Times New Roman" w:hAnsi="Times New Roman" w:cs="Times New Roman"/>
        <w:sz w:val="21"/>
        <w:szCs w:val="21"/>
      </w:rPr>
      <w:instrText xml:space="preserve">PAGE  </w:instrText>
    </w:r>
    <w:r>
      <w:rPr>
        <w:sz w:val="21"/>
        <w:szCs w:val="21"/>
      </w:rPr>
      <w:fldChar w:fldCharType="separate"/>
    </w:r>
    <w:r>
      <w:rPr>
        <w:rStyle w:val="85"/>
        <w:rFonts w:ascii="Times New Roman" w:hAnsi="Times New Roman" w:cs="Times New Roman"/>
        <w:sz w:val="21"/>
        <w:szCs w:val="21"/>
      </w:rPr>
      <w:t>12</w:t>
    </w:r>
    <w:r>
      <w:rPr>
        <w:sz w:val="21"/>
        <w:szCs w:val="21"/>
      </w:rPr>
      <w:fldChar w:fldCharType="end"/>
    </w:r>
  </w:p>
  <w:p>
    <w:pPr>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sz w:val="21"/>
        <w:szCs w:val="21"/>
      </w:rPr>
      <w:fldChar w:fldCharType="begin"/>
    </w:r>
    <w:r>
      <w:rPr>
        <w:rStyle w:val="85"/>
        <w:rFonts w:ascii="Times New Roman" w:hAnsi="Times New Roman" w:cs="Times New Roman"/>
        <w:sz w:val="21"/>
        <w:szCs w:val="21"/>
      </w:rPr>
      <w:instrText xml:space="preserve">PAGE  </w:instrText>
    </w:r>
    <w:r>
      <w:rPr>
        <w:sz w:val="21"/>
        <w:szCs w:val="21"/>
      </w:rPr>
      <w:fldChar w:fldCharType="separate"/>
    </w:r>
    <w:r>
      <w:rPr>
        <w:rStyle w:val="85"/>
        <w:rFonts w:ascii="Times New Roman" w:hAnsi="Times New Roman" w:cs="Times New Roman"/>
        <w:sz w:val="21"/>
        <w:szCs w:val="21"/>
      </w:rPr>
      <w:t>18</w:t>
    </w:r>
    <w:r>
      <w:rPr>
        <w:sz w:val="21"/>
        <w:szCs w:val="21"/>
      </w:rPr>
      <w:fldChar w:fldCharType="end"/>
    </w:r>
  </w:p>
  <w:p>
    <w:pPr>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framePr w:wrap="around" w:vAnchor="text" w:hAnchor="margin" w:xAlign="center" w:y="1"/>
      <w:rPr>
        <w:rStyle w:val="85"/>
        <w:rFonts w:ascii="Times New Roman" w:hAnsi="Times New Roman" w:cs="Times New Roman"/>
        <w:sz w:val="21"/>
        <w:szCs w:val="21"/>
      </w:rPr>
    </w:pPr>
    <w:r>
      <w:rPr>
        <w:sz w:val="21"/>
        <w:szCs w:val="21"/>
      </w:rPr>
      <w:fldChar w:fldCharType="begin"/>
    </w:r>
    <w:r>
      <w:rPr>
        <w:rStyle w:val="85"/>
        <w:rFonts w:ascii="Times New Roman" w:hAnsi="Times New Roman" w:cs="Times New Roman"/>
        <w:sz w:val="21"/>
        <w:szCs w:val="21"/>
      </w:rPr>
      <w:instrText xml:space="preserve">PAGE  </w:instrText>
    </w:r>
    <w:r>
      <w:rPr>
        <w:sz w:val="21"/>
        <w:szCs w:val="21"/>
      </w:rPr>
      <w:fldChar w:fldCharType="separate"/>
    </w:r>
    <w:r>
      <w:rPr>
        <w:rStyle w:val="85"/>
        <w:rFonts w:ascii="Times New Roman" w:hAnsi="Times New Roman" w:cs="Times New Roman"/>
        <w:sz w:val="21"/>
        <w:szCs w:val="21"/>
      </w:rPr>
      <w:t>24</w:t>
    </w:r>
    <w:r>
      <w:rPr>
        <w:sz w:val="21"/>
        <w:szCs w:val="21"/>
      </w:rPr>
      <w:fldChar w:fldCharType="end"/>
    </w:r>
  </w:p>
  <w:p>
    <w:pPr>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ahoma" w:hAnsi="Tahoma" w:cs="Tahoma"/>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72191"/>
    <w:multiLevelType w:val="multilevel"/>
    <w:tmpl w:val="01F72191"/>
    <w:lvl w:ilvl="0" w:tentative="0">
      <w:start w:val="1"/>
      <w:numFmt w:val="lowerLetter"/>
      <w:suff w:val="nothing"/>
      <w:lvlText w:val="%1)"/>
      <w:lvlJc w:val="left"/>
      <w:pPr>
        <w:ind w:left="420" w:hanging="420"/>
      </w:pPr>
      <w:rPr>
        <w:rFonts w:hint="default" w:ascii="Times New Roman" w:hAnsi="Times New Roman" w:eastAsia="宋体" w:cs="Times New Roman"/>
        <w:bCs/>
        <w:sz w:val="24"/>
        <w:szCs w:val="24"/>
      </w:rPr>
    </w:lvl>
    <w:lvl w:ilvl="1" w:tentative="0">
      <w:start w:val="0"/>
      <w:numFmt w:val="none"/>
      <w:lvlText w:val=""/>
      <w:lvlJc w:val="left"/>
      <w:pPr>
        <w:tabs>
          <w:tab w:val="left" w:pos="360"/>
        </w:tabs>
        <w:ind w:left="0" w:firstLine="0"/>
      </w:pPr>
      <w:rPr>
        <w:rFonts w:hint="eastAsia"/>
      </w:rPr>
    </w:lvl>
    <w:lvl w:ilvl="2" w:tentative="0">
      <w:start w:val="1"/>
      <w:numFmt w:val="lowerRoman"/>
      <w:lvlText w:val="%3."/>
      <w:lvlJc w:val="left"/>
      <w:pPr>
        <w:tabs>
          <w:tab w:val="left" w:pos="0"/>
        </w:tabs>
        <w:ind w:left="1260" w:hanging="420"/>
      </w:pPr>
      <w:rPr>
        <w:rFonts w:hint="default" w:ascii="宋体" w:hAnsi="宋体" w:eastAsia="宋体"/>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ascii="Times New Roman" w:hAnsi="宋体" w:eastAsia="宋体" w:cs="Times New Roman"/>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1">
    <w:nsid w:val="04F255FF"/>
    <w:multiLevelType w:val="multilevel"/>
    <w:tmpl w:val="04F255FF"/>
    <w:lvl w:ilvl="0" w:tentative="0">
      <w:start w:val="1"/>
      <w:numFmt w:val="decimal"/>
      <w:lvlText w:val="%1)"/>
      <w:lvlJc w:val="left"/>
      <w:pPr>
        <w:ind w:left="420" w:hanging="420"/>
      </w:pPr>
      <w:rPr>
        <w:rFonts w:hint="default" w:ascii="Times New Roman" w:hAnsi="Times New Roman" w:eastAsia="宋体" w:cs="Times New Roman"/>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2">
    <w:nsid w:val="0C5676A1"/>
    <w:multiLevelType w:val="multilevel"/>
    <w:tmpl w:val="0C5676A1"/>
    <w:lvl w:ilvl="0" w:tentative="0">
      <w:start w:val="1"/>
      <w:numFmt w:val="lowerLetter"/>
      <w:suff w:val="nothing"/>
      <w:lvlText w:val="%1)"/>
      <w:lvlJc w:val="left"/>
      <w:pPr>
        <w:ind w:left="420" w:hanging="420"/>
      </w:pPr>
      <w:rPr>
        <w:rFonts w:hint="default" w:ascii="Times New Roman" w:hAnsi="Times New Roman" w:eastAsia="宋体" w:cs="Times New Roman"/>
        <w:bCs/>
      </w:rPr>
    </w:lvl>
    <w:lvl w:ilvl="1" w:tentative="0">
      <w:start w:val="1"/>
      <w:numFmt w:val="lowerLetter"/>
      <w:lvlText w:val="%2)"/>
      <w:lvlJc w:val="left"/>
      <w:pPr>
        <w:tabs>
          <w:tab w:val="left" w:pos="0"/>
        </w:tabs>
        <w:ind w:left="840" w:hanging="420"/>
      </w:pPr>
      <w:rPr>
        <w:rFonts w:hint="default" w:ascii="宋体" w:hAnsi="宋体" w:eastAsia="宋体"/>
        <w:bCs/>
      </w:rPr>
    </w:lvl>
    <w:lvl w:ilvl="2" w:tentative="0">
      <w:start w:val="1"/>
      <w:numFmt w:val="lowerRoman"/>
      <w:lvlText w:val="%3."/>
      <w:lvlJc w:val="left"/>
      <w:pPr>
        <w:tabs>
          <w:tab w:val="left" w:pos="0"/>
        </w:tabs>
        <w:ind w:left="1260" w:hanging="420"/>
      </w:pPr>
      <w:rPr>
        <w:rFonts w:hint="default" w:ascii="宋体" w:hAnsi="宋体" w:eastAsia="宋体"/>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hint="default" w:ascii="宋体" w:hAnsi="宋体" w:eastAsia="宋体"/>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3">
    <w:nsid w:val="11AF15AB"/>
    <w:multiLevelType w:val="multilevel"/>
    <w:tmpl w:val="11AF15AB"/>
    <w:lvl w:ilvl="0" w:tentative="0">
      <w:start w:val="1"/>
      <w:numFmt w:val="low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4">
    <w:nsid w:val="188739EE"/>
    <w:multiLevelType w:val="multilevel"/>
    <w:tmpl w:val="188739EE"/>
    <w:lvl w:ilvl="0" w:tentative="0">
      <w:start w:val="1"/>
      <w:numFmt w:val="low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5">
    <w:nsid w:val="199A65E5"/>
    <w:multiLevelType w:val="multilevel"/>
    <w:tmpl w:val="199A65E5"/>
    <w:lvl w:ilvl="0" w:tentative="0">
      <w:start w:val="1"/>
      <w:numFmt w:val="decimal"/>
      <w:lvlText w:val="%1)"/>
      <w:lvlJc w:val="left"/>
      <w:pPr>
        <w:ind w:left="420" w:hanging="420"/>
      </w:pPr>
      <w:rPr>
        <w:rFonts w:hint="default" w:ascii="宋体" w:hAnsi="宋体" w:eastAsia="宋体"/>
        <w:bCs/>
      </w:rPr>
    </w:lvl>
    <w:lvl w:ilvl="1" w:tentative="0">
      <w:start w:val="1"/>
      <w:numFmt w:val="decimal"/>
      <w:lvlText w:val="%2)"/>
      <w:lvlJc w:val="left"/>
      <w:pPr>
        <w:ind w:left="840" w:hanging="420"/>
      </w:pPr>
      <w:rPr>
        <w:rFonts w:hint="default" w:ascii="Times New Roman" w:hAnsi="Times New Roman" w:eastAsia="宋体" w:cs="Times New Roman"/>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6">
    <w:nsid w:val="1D4C32B0"/>
    <w:multiLevelType w:val="multilevel"/>
    <w:tmpl w:val="1D4C32B0"/>
    <w:lvl w:ilvl="0" w:tentative="0">
      <w:start w:val="1"/>
      <w:numFmt w:val="decimal"/>
      <w:suff w:val="nothing"/>
      <w:lvlText w:val="%1)"/>
      <w:lvlJc w:val="left"/>
      <w:pPr>
        <w:ind w:left="420" w:hanging="420"/>
      </w:pPr>
      <w:rPr>
        <w:rFonts w:hint="eastAsia"/>
        <w:bCs/>
      </w:rPr>
    </w:lvl>
    <w:lvl w:ilvl="1" w:tentative="0">
      <w:start w:val="1"/>
      <w:numFmt w:val="lowerLetter"/>
      <w:lvlText w:val="%2)"/>
      <w:lvlJc w:val="left"/>
      <w:pPr>
        <w:tabs>
          <w:tab w:val="left" w:pos="0"/>
        </w:tabs>
        <w:ind w:left="840" w:hanging="420"/>
      </w:pPr>
      <w:rPr>
        <w:rFonts w:hint="default" w:ascii="宋体" w:hAnsi="宋体" w:eastAsia="宋体"/>
        <w:bCs/>
      </w:rPr>
    </w:lvl>
    <w:lvl w:ilvl="2" w:tentative="0">
      <w:start w:val="1"/>
      <w:numFmt w:val="lowerRoman"/>
      <w:lvlText w:val="%3."/>
      <w:lvlJc w:val="left"/>
      <w:pPr>
        <w:tabs>
          <w:tab w:val="left" w:pos="0"/>
        </w:tabs>
        <w:ind w:left="1260" w:hanging="420"/>
      </w:pPr>
      <w:rPr>
        <w:rFonts w:hint="default" w:ascii="宋体" w:hAnsi="宋体" w:eastAsia="宋体"/>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hint="default" w:ascii="宋体" w:hAnsi="宋体" w:eastAsia="宋体"/>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7">
    <w:nsid w:val="1E277968"/>
    <w:multiLevelType w:val="multilevel"/>
    <w:tmpl w:val="1E277968"/>
    <w:lvl w:ilvl="0" w:tentative="0">
      <w:start w:val="1"/>
      <w:numFmt w:val="decimal"/>
      <w:lvlText w:val="%1"/>
      <w:lvlJc w:val="left"/>
      <w:pPr>
        <w:ind w:left="432" w:hanging="432"/>
      </w:pPr>
    </w:lvl>
    <w:lvl w:ilvl="1" w:tentative="0">
      <w:start w:val="1"/>
      <w:numFmt w:val="decimal"/>
      <w:lvlText w:val="%1.%2"/>
      <w:lvlJc w:val="left"/>
      <w:pPr>
        <w:ind w:left="576" w:hanging="576"/>
      </w:pPr>
      <w:rPr>
        <w:rFonts w:hint="default" w:ascii="Times New Roman" w:hAnsi="Times New Roman" w:cs="Times New Roman"/>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pStyle w:val="10"/>
      <w:lvlText w:val="%1.%2.%3.%4.%5.%6.%7.%8.%9"/>
      <w:lvlJc w:val="left"/>
      <w:pPr>
        <w:ind w:left="1584" w:hanging="1584"/>
      </w:pPr>
    </w:lvl>
  </w:abstractNum>
  <w:abstractNum w:abstractNumId="8">
    <w:nsid w:val="223166A5"/>
    <w:multiLevelType w:val="multilevel"/>
    <w:tmpl w:val="223166A5"/>
    <w:lvl w:ilvl="0" w:tentative="0">
      <w:start w:val="1"/>
      <w:numFmt w:val="decimal"/>
      <w:lvlText w:val="%1)"/>
      <w:lvlJc w:val="left"/>
      <w:pPr>
        <w:ind w:left="420" w:hanging="420"/>
      </w:pPr>
      <w:rPr>
        <w:rFonts w:hint="default" w:ascii="宋体" w:hAnsi="宋体" w:eastAsia="宋体"/>
        <w:bCs/>
      </w:rPr>
    </w:lvl>
    <w:lvl w:ilvl="1" w:tentative="0">
      <w:start w:val="1"/>
      <w:numFmt w:val="decimal"/>
      <w:lvlText w:val="%2)"/>
      <w:lvlJc w:val="left"/>
      <w:pPr>
        <w:ind w:left="840" w:hanging="420"/>
      </w:pPr>
      <w:rPr>
        <w:rFonts w:hint="default" w:ascii="Times New Roman" w:hAnsi="Times New Roman" w:eastAsia="宋体" w:cs="Times New Roman"/>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9">
    <w:nsid w:val="27F50D83"/>
    <w:multiLevelType w:val="multilevel"/>
    <w:tmpl w:val="27F50D83"/>
    <w:lvl w:ilvl="0" w:tentative="0">
      <w:start w:val="1"/>
      <w:numFmt w:val="decimal"/>
      <w:suff w:val="nothing"/>
      <w:lvlText w:val="%1)"/>
      <w:lvlJc w:val="left"/>
      <w:pPr>
        <w:ind w:left="420" w:hanging="420"/>
      </w:pPr>
      <w:rPr>
        <w:rFonts w:hint="default" w:ascii="Times New Roman" w:hAnsi="Times New Roman" w:eastAsia="宋体" w:cs="Times New Roman"/>
        <w:bCs/>
      </w:rPr>
    </w:lvl>
    <w:lvl w:ilvl="1" w:tentative="0">
      <w:start w:val="1"/>
      <w:numFmt w:val="lowerLetter"/>
      <w:lvlText w:val="%2)"/>
      <w:lvlJc w:val="left"/>
      <w:pPr>
        <w:tabs>
          <w:tab w:val="left" w:pos="0"/>
        </w:tabs>
        <w:ind w:left="840" w:hanging="420"/>
      </w:pPr>
      <w:rPr>
        <w:rFonts w:hint="default" w:ascii="宋体" w:hAnsi="宋体" w:eastAsia="宋体"/>
        <w:bCs/>
      </w:rPr>
    </w:lvl>
    <w:lvl w:ilvl="2" w:tentative="0">
      <w:start w:val="1"/>
      <w:numFmt w:val="lowerRoman"/>
      <w:lvlText w:val="%3."/>
      <w:lvlJc w:val="left"/>
      <w:pPr>
        <w:tabs>
          <w:tab w:val="left" w:pos="0"/>
        </w:tabs>
        <w:ind w:left="1260" w:hanging="420"/>
      </w:pPr>
      <w:rPr>
        <w:rFonts w:hint="default" w:ascii="宋体" w:hAnsi="宋体" w:eastAsia="宋体"/>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hint="default" w:ascii="宋体" w:hAnsi="宋体" w:eastAsia="宋体"/>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10">
    <w:nsid w:val="2C213068"/>
    <w:multiLevelType w:val="multilevel"/>
    <w:tmpl w:val="2C213068"/>
    <w:lvl w:ilvl="0" w:tentative="0">
      <w:start w:val="1"/>
      <w:numFmt w:val="lowerLetter"/>
      <w:lvlText w:val="%1)"/>
      <w:lvlJc w:val="left"/>
      <w:pPr>
        <w:tabs>
          <w:tab w:val="left" w:pos="0"/>
        </w:tabs>
        <w:ind w:left="846" w:hanging="420"/>
      </w:pPr>
      <w:rPr>
        <w:rFonts w:hint="eastAsia"/>
      </w:rPr>
    </w:lvl>
    <w:lvl w:ilvl="1" w:tentative="0">
      <w:start w:val="1"/>
      <w:numFmt w:val="lowerLetter"/>
      <w:lvlText w:val="%2)"/>
      <w:lvlJc w:val="left"/>
      <w:pPr>
        <w:tabs>
          <w:tab w:val="left" w:pos="0"/>
        </w:tabs>
        <w:ind w:left="1266" w:hanging="420"/>
      </w:pPr>
      <w:rPr>
        <w:rFonts w:hint="eastAsia"/>
      </w:rPr>
    </w:lvl>
    <w:lvl w:ilvl="2" w:tentative="0">
      <w:start w:val="1"/>
      <w:numFmt w:val="lowerRoman"/>
      <w:lvlText w:val="%3."/>
      <w:lvlJc w:val="right"/>
      <w:pPr>
        <w:tabs>
          <w:tab w:val="left" w:pos="0"/>
        </w:tabs>
        <w:ind w:left="1686" w:hanging="420"/>
      </w:pPr>
      <w:rPr>
        <w:rFonts w:hint="eastAsia"/>
      </w:rPr>
    </w:lvl>
    <w:lvl w:ilvl="3" w:tentative="0">
      <w:start w:val="1"/>
      <w:numFmt w:val="decimal"/>
      <w:lvlText w:val="%4."/>
      <w:lvlJc w:val="left"/>
      <w:pPr>
        <w:tabs>
          <w:tab w:val="left" w:pos="0"/>
        </w:tabs>
        <w:ind w:left="2106" w:hanging="420"/>
      </w:pPr>
      <w:rPr>
        <w:rFonts w:hint="eastAsia"/>
      </w:rPr>
    </w:lvl>
    <w:lvl w:ilvl="4" w:tentative="0">
      <w:start w:val="1"/>
      <w:numFmt w:val="lowerLetter"/>
      <w:lvlText w:val="%5)"/>
      <w:lvlJc w:val="left"/>
      <w:pPr>
        <w:tabs>
          <w:tab w:val="left" w:pos="0"/>
        </w:tabs>
        <w:ind w:left="2526" w:hanging="420"/>
      </w:pPr>
      <w:rPr>
        <w:rFonts w:hint="eastAsia"/>
      </w:rPr>
    </w:lvl>
    <w:lvl w:ilvl="5" w:tentative="0">
      <w:start w:val="1"/>
      <w:numFmt w:val="lowerRoman"/>
      <w:lvlText w:val="%6."/>
      <w:lvlJc w:val="right"/>
      <w:pPr>
        <w:tabs>
          <w:tab w:val="left" w:pos="0"/>
        </w:tabs>
        <w:ind w:left="2946" w:hanging="420"/>
      </w:pPr>
      <w:rPr>
        <w:rFonts w:hint="eastAsia"/>
      </w:rPr>
    </w:lvl>
    <w:lvl w:ilvl="6" w:tentative="0">
      <w:start w:val="1"/>
      <w:numFmt w:val="decimal"/>
      <w:lvlText w:val="%7."/>
      <w:lvlJc w:val="left"/>
      <w:pPr>
        <w:tabs>
          <w:tab w:val="left" w:pos="0"/>
        </w:tabs>
        <w:ind w:left="3366" w:hanging="420"/>
      </w:pPr>
      <w:rPr>
        <w:rFonts w:hint="eastAsia"/>
      </w:rPr>
    </w:lvl>
    <w:lvl w:ilvl="7" w:tentative="0">
      <w:start w:val="1"/>
      <w:numFmt w:val="lowerLetter"/>
      <w:lvlText w:val="%8)"/>
      <w:lvlJc w:val="left"/>
      <w:pPr>
        <w:tabs>
          <w:tab w:val="left" w:pos="0"/>
        </w:tabs>
        <w:ind w:left="3786" w:hanging="420"/>
      </w:pPr>
      <w:rPr>
        <w:rFonts w:hint="eastAsia"/>
      </w:rPr>
    </w:lvl>
    <w:lvl w:ilvl="8" w:tentative="0">
      <w:start w:val="1"/>
      <w:numFmt w:val="lowerRoman"/>
      <w:lvlText w:val="%9."/>
      <w:lvlJc w:val="right"/>
      <w:pPr>
        <w:tabs>
          <w:tab w:val="left" w:pos="0"/>
        </w:tabs>
        <w:ind w:left="4206" w:hanging="420"/>
      </w:pPr>
      <w:rPr>
        <w:rFonts w:hint="eastAsia"/>
      </w:rPr>
    </w:lvl>
  </w:abstractNum>
  <w:abstractNum w:abstractNumId="11">
    <w:nsid w:val="2E2C7A3F"/>
    <w:multiLevelType w:val="multilevel"/>
    <w:tmpl w:val="2E2C7A3F"/>
    <w:lvl w:ilvl="0" w:tentative="0">
      <w:start w:val="1"/>
      <w:numFmt w:val="decimal"/>
      <w:suff w:val="nothing"/>
      <w:lvlText w:val="%1)"/>
      <w:lvlJc w:val="left"/>
      <w:pPr>
        <w:ind w:left="420" w:hanging="420"/>
      </w:pPr>
      <w:rPr>
        <w:rFonts w:hint="eastAsia"/>
        <w:bCs/>
      </w:rPr>
    </w:lvl>
    <w:lvl w:ilvl="1" w:tentative="0">
      <w:start w:val="1"/>
      <w:numFmt w:val="lowerLetter"/>
      <w:lvlText w:val="%2)"/>
      <w:lvlJc w:val="left"/>
      <w:pPr>
        <w:tabs>
          <w:tab w:val="left" w:pos="0"/>
        </w:tabs>
        <w:ind w:left="840" w:hanging="420"/>
      </w:pPr>
      <w:rPr>
        <w:rFonts w:hint="default" w:ascii="宋体" w:hAnsi="宋体" w:eastAsia="宋体"/>
        <w:bCs/>
      </w:rPr>
    </w:lvl>
    <w:lvl w:ilvl="2" w:tentative="0">
      <w:start w:val="1"/>
      <w:numFmt w:val="lowerRoman"/>
      <w:lvlText w:val="%3."/>
      <w:lvlJc w:val="left"/>
      <w:pPr>
        <w:tabs>
          <w:tab w:val="left" w:pos="0"/>
        </w:tabs>
        <w:ind w:left="1260" w:hanging="420"/>
      </w:pPr>
      <w:rPr>
        <w:rFonts w:hint="default" w:ascii="宋体" w:hAnsi="宋体" w:eastAsia="宋体"/>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hint="default" w:ascii="宋体" w:hAnsi="宋体" w:eastAsia="宋体"/>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12">
    <w:nsid w:val="2F422142"/>
    <w:multiLevelType w:val="multilevel"/>
    <w:tmpl w:val="2F422142"/>
    <w:lvl w:ilvl="0" w:tentative="0">
      <w:start w:val="1"/>
      <w:numFmt w:val="lowerLetter"/>
      <w:suff w:val="nothing"/>
      <w:lvlText w:val="%1)"/>
      <w:lvlJc w:val="left"/>
      <w:pPr>
        <w:ind w:left="420" w:hanging="420"/>
      </w:pPr>
      <w:rPr>
        <w:rFonts w:hint="default" w:ascii="Times New Roman" w:hAnsi="Times New Roman" w:eastAsia="宋体" w:cs="Times New Roman"/>
        <w:bCs/>
      </w:rPr>
    </w:lvl>
    <w:lvl w:ilvl="1" w:tentative="0">
      <w:start w:val="1"/>
      <w:numFmt w:val="lowerLetter"/>
      <w:lvlText w:val="%2)"/>
      <w:lvlJc w:val="left"/>
      <w:pPr>
        <w:tabs>
          <w:tab w:val="left" w:pos="0"/>
        </w:tabs>
        <w:ind w:left="840" w:hanging="420"/>
      </w:pPr>
      <w:rPr>
        <w:rFonts w:hint="default" w:ascii="宋体" w:hAnsi="宋体" w:eastAsia="宋体"/>
        <w:bCs/>
      </w:rPr>
    </w:lvl>
    <w:lvl w:ilvl="2" w:tentative="0">
      <w:start w:val="1"/>
      <w:numFmt w:val="lowerRoman"/>
      <w:lvlText w:val="%3."/>
      <w:lvlJc w:val="left"/>
      <w:pPr>
        <w:tabs>
          <w:tab w:val="left" w:pos="0"/>
        </w:tabs>
        <w:ind w:left="1260" w:hanging="420"/>
      </w:pPr>
      <w:rPr>
        <w:rFonts w:hint="default" w:ascii="宋体" w:hAnsi="宋体" w:eastAsia="宋体"/>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hint="default" w:ascii="宋体" w:hAnsi="宋体" w:eastAsia="宋体"/>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13">
    <w:nsid w:val="355A769C"/>
    <w:multiLevelType w:val="multilevel"/>
    <w:tmpl w:val="355A769C"/>
    <w:lvl w:ilvl="0" w:tentative="0">
      <w:start w:val="1"/>
      <w:numFmt w:val="low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14">
    <w:nsid w:val="3A6857DB"/>
    <w:multiLevelType w:val="multilevel"/>
    <w:tmpl w:val="3A6857DB"/>
    <w:lvl w:ilvl="0" w:tentative="0">
      <w:start w:val="1"/>
      <w:numFmt w:val="lowerLetter"/>
      <w:suff w:val="nothing"/>
      <w:lvlText w:val="%1)"/>
      <w:lvlJc w:val="left"/>
      <w:pPr>
        <w:ind w:left="900" w:hanging="420"/>
      </w:pPr>
      <w:rPr>
        <w:rFonts w:hint="eastAsia"/>
      </w:rPr>
    </w:lvl>
    <w:lvl w:ilvl="1" w:tentative="0">
      <w:start w:val="1"/>
      <w:numFmt w:val="lowerLetter"/>
      <w:lvlText w:val="%2)"/>
      <w:lvlJc w:val="left"/>
      <w:pPr>
        <w:tabs>
          <w:tab w:val="left" w:pos="0"/>
        </w:tabs>
        <w:ind w:left="1320" w:hanging="420"/>
      </w:pPr>
      <w:rPr>
        <w:rFonts w:hint="eastAsia"/>
      </w:rPr>
    </w:lvl>
    <w:lvl w:ilvl="2" w:tentative="0">
      <w:start w:val="1"/>
      <w:numFmt w:val="lowerRoman"/>
      <w:lvlText w:val="%3."/>
      <w:lvlJc w:val="right"/>
      <w:pPr>
        <w:tabs>
          <w:tab w:val="left" w:pos="0"/>
        </w:tabs>
        <w:ind w:left="1740" w:hanging="420"/>
      </w:pPr>
      <w:rPr>
        <w:rFonts w:hint="eastAsia"/>
      </w:rPr>
    </w:lvl>
    <w:lvl w:ilvl="3" w:tentative="0">
      <w:start w:val="1"/>
      <w:numFmt w:val="decimal"/>
      <w:lvlText w:val="%4."/>
      <w:lvlJc w:val="left"/>
      <w:pPr>
        <w:tabs>
          <w:tab w:val="left" w:pos="0"/>
        </w:tabs>
        <w:ind w:left="2160" w:hanging="420"/>
      </w:pPr>
      <w:rPr>
        <w:rFonts w:hint="eastAsia"/>
      </w:rPr>
    </w:lvl>
    <w:lvl w:ilvl="4" w:tentative="0">
      <w:start w:val="1"/>
      <w:numFmt w:val="lowerLetter"/>
      <w:lvlText w:val="%5)"/>
      <w:lvlJc w:val="left"/>
      <w:pPr>
        <w:tabs>
          <w:tab w:val="left" w:pos="0"/>
        </w:tabs>
        <w:ind w:left="2580" w:hanging="420"/>
      </w:pPr>
      <w:rPr>
        <w:rFonts w:hint="eastAsia"/>
      </w:rPr>
    </w:lvl>
    <w:lvl w:ilvl="5" w:tentative="0">
      <w:start w:val="1"/>
      <w:numFmt w:val="lowerRoman"/>
      <w:lvlText w:val="%6."/>
      <w:lvlJc w:val="right"/>
      <w:pPr>
        <w:tabs>
          <w:tab w:val="left" w:pos="0"/>
        </w:tabs>
        <w:ind w:left="3000" w:hanging="420"/>
      </w:pPr>
      <w:rPr>
        <w:rFonts w:hint="eastAsia"/>
      </w:rPr>
    </w:lvl>
    <w:lvl w:ilvl="6" w:tentative="0">
      <w:start w:val="1"/>
      <w:numFmt w:val="decimal"/>
      <w:lvlText w:val="%7."/>
      <w:lvlJc w:val="left"/>
      <w:pPr>
        <w:tabs>
          <w:tab w:val="left" w:pos="0"/>
        </w:tabs>
        <w:ind w:left="3420" w:hanging="420"/>
      </w:pPr>
      <w:rPr>
        <w:rFonts w:hint="eastAsia"/>
      </w:rPr>
    </w:lvl>
    <w:lvl w:ilvl="7" w:tentative="0">
      <w:start w:val="1"/>
      <w:numFmt w:val="lowerLetter"/>
      <w:lvlText w:val="%8)"/>
      <w:lvlJc w:val="left"/>
      <w:pPr>
        <w:tabs>
          <w:tab w:val="left" w:pos="0"/>
        </w:tabs>
        <w:ind w:left="3840" w:hanging="420"/>
      </w:pPr>
      <w:rPr>
        <w:rFonts w:hint="eastAsia"/>
      </w:rPr>
    </w:lvl>
    <w:lvl w:ilvl="8" w:tentative="0">
      <w:start w:val="1"/>
      <w:numFmt w:val="lowerRoman"/>
      <w:lvlText w:val="%9."/>
      <w:lvlJc w:val="right"/>
      <w:pPr>
        <w:tabs>
          <w:tab w:val="left" w:pos="0"/>
        </w:tabs>
        <w:ind w:left="4260" w:hanging="420"/>
      </w:pPr>
      <w:rPr>
        <w:rFonts w:hint="eastAsia"/>
      </w:rPr>
    </w:lvl>
  </w:abstractNum>
  <w:abstractNum w:abstractNumId="15">
    <w:nsid w:val="463B7E1E"/>
    <w:multiLevelType w:val="multilevel"/>
    <w:tmpl w:val="463B7E1E"/>
    <w:lvl w:ilvl="0" w:tentative="0">
      <w:start w:val="1"/>
      <w:numFmt w:val="decimal"/>
      <w:lvlText w:val="%1)"/>
      <w:lvlJc w:val="left"/>
      <w:pPr>
        <w:ind w:left="420" w:hanging="420"/>
      </w:pPr>
      <w:rPr>
        <w:rFonts w:hint="eastAsia"/>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16">
    <w:nsid w:val="4BAC4465"/>
    <w:multiLevelType w:val="multilevel"/>
    <w:tmpl w:val="4BAC4465"/>
    <w:lvl w:ilvl="0" w:tentative="0">
      <w:start w:val="1"/>
      <w:numFmt w:val="decimal"/>
      <w:lvlText w:val="%1)"/>
      <w:lvlJc w:val="left"/>
      <w:pPr>
        <w:ind w:left="420" w:hanging="420"/>
      </w:pPr>
      <w:rPr>
        <w:rFonts w:hint="eastAsia"/>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17">
    <w:nsid w:val="5A0D70DF"/>
    <w:multiLevelType w:val="multilevel"/>
    <w:tmpl w:val="5A0D70D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651C1FEE"/>
    <w:multiLevelType w:val="multilevel"/>
    <w:tmpl w:val="651C1FEE"/>
    <w:lvl w:ilvl="0" w:tentative="0">
      <w:start w:val="1"/>
      <w:numFmt w:val="low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19">
    <w:nsid w:val="65E30E83"/>
    <w:multiLevelType w:val="multilevel"/>
    <w:tmpl w:val="65E30E83"/>
    <w:lvl w:ilvl="0" w:tentative="0">
      <w:start w:val="1"/>
      <w:numFmt w:val="lowerLetter"/>
      <w:lvlText w:val="%1)"/>
      <w:lvlJc w:val="left"/>
      <w:pPr>
        <w:ind w:left="72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66260B9C"/>
    <w:multiLevelType w:val="multilevel"/>
    <w:tmpl w:val="66260B9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69D84EC9"/>
    <w:multiLevelType w:val="multilevel"/>
    <w:tmpl w:val="69D84EC9"/>
    <w:lvl w:ilvl="0" w:tentative="0">
      <w:start w:val="1"/>
      <w:numFmt w:val="decimal"/>
      <w:lvlText w:val="%1)"/>
      <w:lvlJc w:val="left"/>
      <w:pPr>
        <w:tabs>
          <w:tab w:val="left" w:pos="0"/>
        </w:tabs>
        <w:ind w:left="420" w:hanging="420"/>
      </w:pPr>
      <w:rPr>
        <w:rFonts w:hint="default" w:ascii="宋体" w:hAnsi="宋体" w:eastAsia="宋体"/>
        <w:bCs/>
      </w:rPr>
    </w:lvl>
    <w:lvl w:ilvl="1" w:tentative="0">
      <w:start w:val="1"/>
      <w:numFmt w:val="lowerLetter"/>
      <w:lvlText w:val="%2)"/>
      <w:lvlJc w:val="left"/>
      <w:pPr>
        <w:tabs>
          <w:tab w:val="left" w:pos="0"/>
        </w:tabs>
        <w:ind w:left="840" w:hanging="420"/>
      </w:pPr>
      <w:rPr>
        <w:rFonts w:hint="default" w:ascii="宋体" w:hAnsi="宋体" w:eastAsia="宋体"/>
        <w:bCs/>
      </w:rPr>
    </w:lvl>
    <w:lvl w:ilvl="2" w:tentative="0">
      <w:start w:val="1"/>
      <w:numFmt w:val="decimal"/>
      <w:suff w:val="nothing"/>
      <w:lvlText w:val="%3)"/>
      <w:lvlJc w:val="left"/>
      <w:pPr>
        <w:ind w:left="1260" w:hanging="420"/>
      </w:pPr>
      <w:rPr>
        <w:rFonts w:hint="eastAsia"/>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hint="default" w:ascii="宋体" w:hAnsi="宋体" w:eastAsia="宋体"/>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22">
    <w:nsid w:val="6B451697"/>
    <w:multiLevelType w:val="multilevel"/>
    <w:tmpl w:val="6B451697"/>
    <w:lvl w:ilvl="0" w:tentative="0">
      <w:start w:val="1"/>
      <w:numFmt w:val="decimal"/>
      <w:suff w:val="nothing"/>
      <w:lvlText w:val="%1)"/>
      <w:lvlJc w:val="left"/>
      <w:pPr>
        <w:ind w:left="420" w:hanging="420"/>
      </w:pPr>
      <w:rPr>
        <w:rFonts w:hint="default" w:ascii="Times New Roman" w:hAnsi="Times New Roman" w:eastAsia="宋体" w:cs="Times New Roman"/>
        <w:bCs/>
      </w:rPr>
    </w:lvl>
    <w:lvl w:ilvl="1" w:tentative="0">
      <w:start w:val="1"/>
      <w:numFmt w:val="lowerLetter"/>
      <w:lvlText w:val="%2)"/>
      <w:lvlJc w:val="left"/>
      <w:pPr>
        <w:tabs>
          <w:tab w:val="left" w:pos="0"/>
        </w:tabs>
        <w:ind w:left="840" w:hanging="420"/>
      </w:pPr>
      <w:rPr>
        <w:rFonts w:hint="default" w:ascii="宋体" w:hAnsi="宋体" w:eastAsia="宋体"/>
        <w:bCs/>
      </w:rPr>
    </w:lvl>
    <w:lvl w:ilvl="2" w:tentative="0">
      <w:start w:val="1"/>
      <w:numFmt w:val="lowerRoman"/>
      <w:lvlText w:val="%3."/>
      <w:lvlJc w:val="left"/>
      <w:pPr>
        <w:tabs>
          <w:tab w:val="left" w:pos="0"/>
        </w:tabs>
        <w:ind w:left="1260" w:hanging="420"/>
      </w:pPr>
      <w:rPr>
        <w:rFonts w:hint="default" w:ascii="宋体" w:hAnsi="宋体" w:eastAsia="宋体"/>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hint="default" w:ascii="宋体" w:hAnsi="宋体" w:eastAsia="宋体"/>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23">
    <w:nsid w:val="74EE233D"/>
    <w:multiLevelType w:val="multilevel"/>
    <w:tmpl w:val="74EE233D"/>
    <w:lvl w:ilvl="0" w:tentative="0">
      <w:start w:val="1"/>
      <w:numFmt w:val="decimal"/>
      <w:lvlText w:val="%1)"/>
      <w:lvlJc w:val="left"/>
      <w:pPr>
        <w:tabs>
          <w:tab w:val="left" w:pos="0"/>
        </w:tabs>
        <w:ind w:left="420" w:hanging="420"/>
      </w:pPr>
      <w:rPr>
        <w:rFonts w:hint="default" w:ascii="宋体" w:hAnsi="宋体" w:eastAsia="宋体"/>
        <w:bCs/>
      </w:rPr>
    </w:lvl>
    <w:lvl w:ilvl="1" w:tentative="0">
      <w:start w:val="1"/>
      <w:numFmt w:val="decimal"/>
      <w:suff w:val="nothing"/>
      <w:lvlText w:val="%2)"/>
      <w:lvlJc w:val="left"/>
      <w:pPr>
        <w:ind w:left="1072" w:hanging="420"/>
      </w:pPr>
      <w:rPr>
        <w:rFonts w:hint="default" w:ascii="Times New Roman" w:hAnsi="Times New Roman" w:eastAsia="宋体" w:cs="Times New Roman"/>
        <w:bCs/>
      </w:rPr>
    </w:lvl>
    <w:lvl w:ilvl="2" w:tentative="0">
      <w:start w:val="1"/>
      <w:numFmt w:val="lowerRoman"/>
      <w:lvlText w:val="%3."/>
      <w:lvlJc w:val="left"/>
      <w:pPr>
        <w:tabs>
          <w:tab w:val="left" w:pos="0"/>
        </w:tabs>
        <w:ind w:left="1260" w:hanging="420"/>
      </w:pPr>
      <w:rPr>
        <w:rFonts w:hint="default" w:ascii="宋体" w:hAnsi="宋体" w:eastAsia="宋体"/>
        <w:bCs/>
      </w:rPr>
    </w:lvl>
    <w:lvl w:ilvl="3" w:tentative="0">
      <w:start w:val="1"/>
      <w:numFmt w:val="decimal"/>
      <w:lvlText w:val="%4."/>
      <w:lvlJc w:val="left"/>
      <w:pPr>
        <w:tabs>
          <w:tab w:val="left" w:pos="0"/>
        </w:tabs>
        <w:ind w:left="1680" w:hanging="420"/>
      </w:pPr>
      <w:rPr>
        <w:rFonts w:hint="default" w:ascii="宋体" w:hAnsi="宋体" w:eastAsia="宋体"/>
        <w:bCs/>
      </w:rPr>
    </w:lvl>
    <w:lvl w:ilvl="4" w:tentative="0">
      <w:start w:val="1"/>
      <w:numFmt w:val="lowerLetter"/>
      <w:lvlText w:val="%5)"/>
      <w:lvlJc w:val="left"/>
      <w:pPr>
        <w:tabs>
          <w:tab w:val="left" w:pos="0"/>
        </w:tabs>
        <w:ind w:left="2100" w:hanging="420"/>
      </w:pPr>
      <w:rPr>
        <w:rFonts w:hint="default" w:ascii="宋体" w:hAnsi="宋体" w:eastAsia="宋体"/>
        <w:bCs/>
      </w:rPr>
    </w:lvl>
    <w:lvl w:ilvl="5" w:tentative="0">
      <w:start w:val="1"/>
      <w:numFmt w:val="lowerRoman"/>
      <w:lvlText w:val="%6."/>
      <w:lvlJc w:val="left"/>
      <w:pPr>
        <w:tabs>
          <w:tab w:val="left" w:pos="0"/>
        </w:tabs>
        <w:ind w:left="2520" w:hanging="420"/>
      </w:pPr>
      <w:rPr>
        <w:rFonts w:hint="default" w:ascii="宋体" w:hAnsi="宋体" w:eastAsia="宋体"/>
        <w:bCs/>
      </w:rPr>
    </w:lvl>
    <w:lvl w:ilvl="6" w:tentative="0">
      <w:start w:val="1"/>
      <w:numFmt w:val="decimal"/>
      <w:lvlText w:val="%7."/>
      <w:lvlJc w:val="left"/>
      <w:pPr>
        <w:tabs>
          <w:tab w:val="left" w:pos="0"/>
        </w:tabs>
        <w:ind w:left="2940" w:hanging="420"/>
      </w:pPr>
      <w:rPr>
        <w:rFonts w:hint="default" w:ascii="宋体" w:hAnsi="宋体" w:eastAsia="宋体"/>
        <w:bCs/>
      </w:rPr>
    </w:lvl>
    <w:lvl w:ilvl="7" w:tentative="0">
      <w:start w:val="1"/>
      <w:numFmt w:val="lowerLetter"/>
      <w:lvlText w:val="%8)"/>
      <w:lvlJc w:val="left"/>
      <w:pPr>
        <w:tabs>
          <w:tab w:val="left" w:pos="0"/>
        </w:tabs>
        <w:ind w:left="3360" w:hanging="420"/>
      </w:pPr>
      <w:rPr>
        <w:rFonts w:hint="default" w:ascii="宋体" w:hAnsi="宋体" w:eastAsia="宋体"/>
        <w:bCs/>
      </w:rPr>
    </w:lvl>
    <w:lvl w:ilvl="8" w:tentative="0">
      <w:start w:val="1"/>
      <w:numFmt w:val="lowerRoman"/>
      <w:lvlText w:val="%9."/>
      <w:lvlJc w:val="left"/>
      <w:pPr>
        <w:tabs>
          <w:tab w:val="left" w:pos="0"/>
        </w:tabs>
        <w:ind w:left="3780" w:hanging="420"/>
      </w:pPr>
      <w:rPr>
        <w:rFonts w:hint="default" w:ascii="宋体" w:hAnsi="宋体" w:eastAsia="宋体"/>
        <w:bCs/>
      </w:rPr>
    </w:lvl>
  </w:abstractNum>
  <w:abstractNum w:abstractNumId="24">
    <w:nsid w:val="7AB137E6"/>
    <w:multiLevelType w:val="multilevel"/>
    <w:tmpl w:val="7AB137E6"/>
    <w:lvl w:ilvl="0" w:tentative="0">
      <w:start w:val="1"/>
      <w:numFmt w:val="lowerLetter"/>
      <w:lvlText w:val="%1)"/>
      <w:lvlJc w:val="left"/>
      <w:pPr>
        <w:ind w:left="420" w:hanging="420"/>
      </w:pPr>
      <w:rPr>
        <w:rFonts w:hint="default" w:ascii="Times New Roman" w:hAnsi="Times New Roman" w:eastAsia="宋体" w:cs="Times New Roman"/>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num w:numId="1">
    <w:abstractNumId w:val="7"/>
  </w:num>
  <w:num w:numId="2">
    <w:abstractNumId w:val="6"/>
  </w:num>
  <w:num w:numId="3">
    <w:abstractNumId w:val="11"/>
  </w:num>
  <w:num w:numId="4">
    <w:abstractNumId w:val="12"/>
  </w:num>
  <w:num w:numId="5">
    <w:abstractNumId w:val="0"/>
  </w:num>
  <w:num w:numId="6">
    <w:abstractNumId w:val="19"/>
  </w:num>
  <w:num w:numId="7">
    <w:abstractNumId w:val="21"/>
  </w:num>
  <w:num w:numId="8">
    <w:abstractNumId w:val="17"/>
  </w:num>
  <w:num w:numId="9">
    <w:abstractNumId w:val="15"/>
  </w:num>
  <w:num w:numId="10">
    <w:abstractNumId w:val="22"/>
  </w:num>
  <w:num w:numId="11">
    <w:abstractNumId w:val="23"/>
  </w:num>
  <w:num w:numId="12">
    <w:abstractNumId w:val="9"/>
  </w:num>
  <w:num w:numId="13">
    <w:abstractNumId w:val="4"/>
  </w:num>
  <w:num w:numId="14">
    <w:abstractNumId w:val="3"/>
  </w:num>
  <w:num w:numId="15">
    <w:abstractNumId w:val="18"/>
  </w:num>
  <w:num w:numId="16">
    <w:abstractNumId w:val="14"/>
  </w:num>
  <w:num w:numId="17">
    <w:abstractNumId w:val="10"/>
  </w:num>
  <w:num w:numId="18">
    <w:abstractNumId w:val="2"/>
  </w:num>
  <w:num w:numId="19">
    <w:abstractNumId w:val="16"/>
  </w:num>
  <w:num w:numId="20">
    <w:abstractNumId w:val="24"/>
  </w:num>
  <w:num w:numId="21">
    <w:abstractNumId w:val="1"/>
  </w:num>
  <w:num w:numId="22">
    <w:abstractNumId w:val="5"/>
  </w:num>
  <w:num w:numId="23">
    <w:abstractNumId w:val="13"/>
  </w:num>
  <w:num w:numId="24">
    <w:abstractNumId w:val="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nforcement="0"/>
  <w:defaultTabStop w:val="420"/>
  <w:drawingGridHorizontalSpacing w:val="2"/>
  <w:drawingGridVerticalSpacing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04"/>
    <w:rsid w:val="0000035C"/>
    <w:rsid w:val="000003CB"/>
    <w:rsid w:val="000004D4"/>
    <w:rsid w:val="00000562"/>
    <w:rsid w:val="0000085F"/>
    <w:rsid w:val="00001045"/>
    <w:rsid w:val="000015E4"/>
    <w:rsid w:val="000019D6"/>
    <w:rsid w:val="00001D68"/>
    <w:rsid w:val="0000228C"/>
    <w:rsid w:val="00003275"/>
    <w:rsid w:val="0000363E"/>
    <w:rsid w:val="00004225"/>
    <w:rsid w:val="000044B7"/>
    <w:rsid w:val="00004CD2"/>
    <w:rsid w:val="00004F46"/>
    <w:rsid w:val="00005F11"/>
    <w:rsid w:val="00006122"/>
    <w:rsid w:val="0000614A"/>
    <w:rsid w:val="00006AFB"/>
    <w:rsid w:val="00006CC5"/>
    <w:rsid w:val="00006F09"/>
    <w:rsid w:val="00007527"/>
    <w:rsid w:val="00007AE8"/>
    <w:rsid w:val="00007CC4"/>
    <w:rsid w:val="000104B0"/>
    <w:rsid w:val="000110E2"/>
    <w:rsid w:val="00011539"/>
    <w:rsid w:val="0001229E"/>
    <w:rsid w:val="0001265D"/>
    <w:rsid w:val="000128D5"/>
    <w:rsid w:val="000135ED"/>
    <w:rsid w:val="00013888"/>
    <w:rsid w:val="000146E5"/>
    <w:rsid w:val="0001494E"/>
    <w:rsid w:val="00014D8A"/>
    <w:rsid w:val="00015086"/>
    <w:rsid w:val="000153CE"/>
    <w:rsid w:val="00016630"/>
    <w:rsid w:val="000170EE"/>
    <w:rsid w:val="000175AB"/>
    <w:rsid w:val="0001786B"/>
    <w:rsid w:val="00017A24"/>
    <w:rsid w:val="00017A94"/>
    <w:rsid w:val="00017E06"/>
    <w:rsid w:val="00020ECF"/>
    <w:rsid w:val="00021178"/>
    <w:rsid w:val="00021275"/>
    <w:rsid w:val="000214D9"/>
    <w:rsid w:val="00021990"/>
    <w:rsid w:val="000219DC"/>
    <w:rsid w:val="00021A80"/>
    <w:rsid w:val="00021B90"/>
    <w:rsid w:val="00021E46"/>
    <w:rsid w:val="00021F27"/>
    <w:rsid w:val="0002237E"/>
    <w:rsid w:val="000252F7"/>
    <w:rsid w:val="00025820"/>
    <w:rsid w:val="00025F6D"/>
    <w:rsid w:val="000270A8"/>
    <w:rsid w:val="00027A03"/>
    <w:rsid w:val="00027A89"/>
    <w:rsid w:val="00027F49"/>
    <w:rsid w:val="0003087D"/>
    <w:rsid w:val="000308CB"/>
    <w:rsid w:val="00031721"/>
    <w:rsid w:val="0003240D"/>
    <w:rsid w:val="000329BF"/>
    <w:rsid w:val="00032D9B"/>
    <w:rsid w:val="00032E09"/>
    <w:rsid w:val="00033020"/>
    <w:rsid w:val="00033E6B"/>
    <w:rsid w:val="0003458E"/>
    <w:rsid w:val="00034D1F"/>
    <w:rsid w:val="000352F5"/>
    <w:rsid w:val="00035331"/>
    <w:rsid w:val="000359BF"/>
    <w:rsid w:val="00035B38"/>
    <w:rsid w:val="000366F4"/>
    <w:rsid w:val="00037942"/>
    <w:rsid w:val="0004027E"/>
    <w:rsid w:val="000402A0"/>
    <w:rsid w:val="00040403"/>
    <w:rsid w:val="00040416"/>
    <w:rsid w:val="00040C98"/>
    <w:rsid w:val="00041606"/>
    <w:rsid w:val="0004163C"/>
    <w:rsid w:val="00041731"/>
    <w:rsid w:val="00042A79"/>
    <w:rsid w:val="00042DB0"/>
    <w:rsid w:val="00042DDE"/>
    <w:rsid w:val="00042DE3"/>
    <w:rsid w:val="0004305C"/>
    <w:rsid w:val="000431FE"/>
    <w:rsid w:val="0004332F"/>
    <w:rsid w:val="000434BD"/>
    <w:rsid w:val="000435AD"/>
    <w:rsid w:val="00044300"/>
    <w:rsid w:val="000446F6"/>
    <w:rsid w:val="000447C4"/>
    <w:rsid w:val="0004538C"/>
    <w:rsid w:val="000457A3"/>
    <w:rsid w:val="000457E2"/>
    <w:rsid w:val="000468CB"/>
    <w:rsid w:val="00046A6B"/>
    <w:rsid w:val="00047F29"/>
    <w:rsid w:val="00047FD6"/>
    <w:rsid w:val="0005016A"/>
    <w:rsid w:val="00050346"/>
    <w:rsid w:val="00050BCD"/>
    <w:rsid w:val="00050C03"/>
    <w:rsid w:val="000511F2"/>
    <w:rsid w:val="000518B0"/>
    <w:rsid w:val="00051A4B"/>
    <w:rsid w:val="00051A54"/>
    <w:rsid w:val="00051C9A"/>
    <w:rsid w:val="00051E9B"/>
    <w:rsid w:val="00051F63"/>
    <w:rsid w:val="0005317F"/>
    <w:rsid w:val="00053884"/>
    <w:rsid w:val="00053940"/>
    <w:rsid w:val="000539A0"/>
    <w:rsid w:val="0005508E"/>
    <w:rsid w:val="00055928"/>
    <w:rsid w:val="000568F9"/>
    <w:rsid w:val="00056C7A"/>
    <w:rsid w:val="00057478"/>
    <w:rsid w:val="00060260"/>
    <w:rsid w:val="00060D54"/>
    <w:rsid w:val="00061463"/>
    <w:rsid w:val="000614F1"/>
    <w:rsid w:val="00061687"/>
    <w:rsid w:val="00063323"/>
    <w:rsid w:val="0006388D"/>
    <w:rsid w:val="00063BC2"/>
    <w:rsid w:val="00063FC1"/>
    <w:rsid w:val="00064054"/>
    <w:rsid w:val="0006460B"/>
    <w:rsid w:val="0006526A"/>
    <w:rsid w:val="00065354"/>
    <w:rsid w:val="00066048"/>
    <w:rsid w:val="000662CF"/>
    <w:rsid w:val="00066323"/>
    <w:rsid w:val="00066542"/>
    <w:rsid w:val="000665F6"/>
    <w:rsid w:val="000666AE"/>
    <w:rsid w:val="000667E8"/>
    <w:rsid w:val="00067AC5"/>
    <w:rsid w:val="00067BC4"/>
    <w:rsid w:val="00067EA8"/>
    <w:rsid w:val="0007137C"/>
    <w:rsid w:val="000714A8"/>
    <w:rsid w:val="0007183C"/>
    <w:rsid w:val="00071AB0"/>
    <w:rsid w:val="000729B8"/>
    <w:rsid w:val="000730EE"/>
    <w:rsid w:val="000733A8"/>
    <w:rsid w:val="000734DC"/>
    <w:rsid w:val="000734F3"/>
    <w:rsid w:val="0007355A"/>
    <w:rsid w:val="00073E33"/>
    <w:rsid w:val="00074764"/>
    <w:rsid w:val="00075738"/>
    <w:rsid w:val="000758C2"/>
    <w:rsid w:val="00075A9A"/>
    <w:rsid w:val="00075EEB"/>
    <w:rsid w:val="000761C9"/>
    <w:rsid w:val="00076608"/>
    <w:rsid w:val="00076F21"/>
    <w:rsid w:val="00076F5F"/>
    <w:rsid w:val="0007783D"/>
    <w:rsid w:val="00077880"/>
    <w:rsid w:val="000778B1"/>
    <w:rsid w:val="00077B59"/>
    <w:rsid w:val="00077B71"/>
    <w:rsid w:val="00077C8C"/>
    <w:rsid w:val="00077E59"/>
    <w:rsid w:val="00080765"/>
    <w:rsid w:val="00081784"/>
    <w:rsid w:val="00081BE9"/>
    <w:rsid w:val="00081D32"/>
    <w:rsid w:val="00082318"/>
    <w:rsid w:val="00082338"/>
    <w:rsid w:val="00082554"/>
    <w:rsid w:val="00082E50"/>
    <w:rsid w:val="00082FE8"/>
    <w:rsid w:val="00083080"/>
    <w:rsid w:val="0008323E"/>
    <w:rsid w:val="000833AD"/>
    <w:rsid w:val="000833E3"/>
    <w:rsid w:val="00083A25"/>
    <w:rsid w:val="000844E8"/>
    <w:rsid w:val="00084548"/>
    <w:rsid w:val="00084AFF"/>
    <w:rsid w:val="00084C6C"/>
    <w:rsid w:val="000856EF"/>
    <w:rsid w:val="00085829"/>
    <w:rsid w:val="00085A9C"/>
    <w:rsid w:val="0008628C"/>
    <w:rsid w:val="000872B8"/>
    <w:rsid w:val="00087B44"/>
    <w:rsid w:val="00090275"/>
    <w:rsid w:val="00090DCC"/>
    <w:rsid w:val="00091400"/>
    <w:rsid w:val="0009194A"/>
    <w:rsid w:val="00092175"/>
    <w:rsid w:val="000921B9"/>
    <w:rsid w:val="0009222B"/>
    <w:rsid w:val="000922A6"/>
    <w:rsid w:val="000927FD"/>
    <w:rsid w:val="00092A88"/>
    <w:rsid w:val="00093590"/>
    <w:rsid w:val="00093B96"/>
    <w:rsid w:val="00094CAE"/>
    <w:rsid w:val="00095A0C"/>
    <w:rsid w:val="000962D0"/>
    <w:rsid w:val="00096B2D"/>
    <w:rsid w:val="00096EF7"/>
    <w:rsid w:val="00097CB3"/>
    <w:rsid w:val="00097F40"/>
    <w:rsid w:val="000A0014"/>
    <w:rsid w:val="000A00C8"/>
    <w:rsid w:val="000A1628"/>
    <w:rsid w:val="000A2183"/>
    <w:rsid w:val="000A2463"/>
    <w:rsid w:val="000A2590"/>
    <w:rsid w:val="000A35F9"/>
    <w:rsid w:val="000A3608"/>
    <w:rsid w:val="000A37EE"/>
    <w:rsid w:val="000A3C09"/>
    <w:rsid w:val="000A44EB"/>
    <w:rsid w:val="000A4676"/>
    <w:rsid w:val="000A4C25"/>
    <w:rsid w:val="000A5B3C"/>
    <w:rsid w:val="000A5F97"/>
    <w:rsid w:val="000A5FCB"/>
    <w:rsid w:val="000A6571"/>
    <w:rsid w:val="000A6A4F"/>
    <w:rsid w:val="000A7A7C"/>
    <w:rsid w:val="000B05F0"/>
    <w:rsid w:val="000B0A45"/>
    <w:rsid w:val="000B0ABC"/>
    <w:rsid w:val="000B0BF2"/>
    <w:rsid w:val="000B0D4C"/>
    <w:rsid w:val="000B1A27"/>
    <w:rsid w:val="000B2D4A"/>
    <w:rsid w:val="000B2F08"/>
    <w:rsid w:val="000B394B"/>
    <w:rsid w:val="000B3D4B"/>
    <w:rsid w:val="000B4788"/>
    <w:rsid w:val="000B4812"/>
    <w:rsid w:val="000B52C5"/>
    <w:rsid w:val="000B5AA7"/>
    <w:rsid w:val="000B5E0C"/>
    <w:rsid w:val="000B5F0A"/>
    <w:rsid w:val="000B6F55"/>
    <w:rsid w:val="000B7550"/>
    <w:rsid w:val="000B7957"/>
    <w:rsid w:val="000C0850"/>
    <w:rsid w:val="000C1340"/>
    <w:rsid w:val="000C1E8D"/>
    <w:rsid w:val="000C2FB2"/>
    <w:rsid w:val="000C30F6"/>
    <w:rsid w:val="000C3A17"/>
    <w:rsid w:val="000C3FFB"/>
    <w:rsid w:val="000C4673"/>
    <w:rsid w:val="000C560F"/>
    <w:rsid w:val="000C57E4"/>
    <w:rsid w:val="000C5CA1"/>
    <w:rsid w:val="000C6971"/>
    <w:rsid w:val="000C75DF"/>
    <w:rsid w:val="000D06D7"/>
    <w:rsid w:val="000D0720"/>
    <w:rsid w:val="000D18EC"/>
    <w:rsid w:val="000D1CBF"/>
    <w:rsid w:val="000D1DD4"/>
    <w:rsid w:val="000D1ED1"/>
    <w:rsid w:val="000D230D"/>
    <w:rsid w:val="000D23DB"/>
    <w:rsid w:val="000D2469"/>
    <w:rsid w:val="000D3E04"/>
    <w:rsid w:val="000D4151"/>
    <w:rsid w:val="000D48E8"/>
    <w:rsid w:val="000D4EFE"/>
    <w:rsid w:val="000D4F3B"/>
    <w:rsid w:val="000D56C2"/>
    <w:rsid w:val="000D5EA5"/>
    <w:rsid w:val="000D6424"/>
    <w:rsid w:val="000D7019"/>
    <w:rsid w:val="000E0111"/>
    <w:rsid w:val="000E097C"/>
    <w:rsid w:val="000E0C08"/>
    <w:rsid w:val="000E0D99"/>
    <w:rsid w:val="000E1E83"/>
    <w:rsid w:val="000E25E2"/>
    <w:rsid w:val="000E2997"/>
    <w:rsid w:val="000E2BB9"/>
    <w:rsid w:val="000E2EE5"/>
    <w:rsid w:val="000E32D2"/>
    <w:rsid w:val="000E3A86"/>
    <w:rsid w:val="000E40F5"/>
    <w:rsid w:val="000E4DCE"/>
    <w:rsid w:val="000E4E98"/>
    <w:rsid w:val="000E5C9D"/>
    <w:rsid w:val="000E60F8"/>
    <w:rsid w:val="000E6B98"/>
    <w:rsid w:val="000E724F"/>
    <w:rsid w:val="000E7730"/>
    <w:rsid w:val="000E7D7F"/>
    <w:rsid w:val="000F0202"/>
    <w:rsid w:val="000F0426"/>
    <w:rsid w:val="000F144B"/>
    <w:rsid w:val="000F1624"/>
    <w:rsid w:val="000F2500"/>
    <w:rsid w:val="000F2A74"/>
    <w:rsid w:val="000F2D95"/>
    <w:rsid w:val="000F4985"/>
    <w:rsid w:val="000F5032"/>
    <w:rsid w:val="000F536C"/>
    <w:rsid w:val="000F546D"/>
    <w:rsid w:val="000F5896"/>
    <w:rsid w:val="000F5927"/>
    <w:rsid w:val="000F6438"/>
    <w:rsid w:val="000F727E"/>
    <w:rsid w:val="000F75BE"/>
    <w:rsid w:val="001007CA"/>
    <w:rsid w:val="0010087E"/>
    <w:rsid w:val="00100E60"/>
    <w:rsid w:val="00101734"/>
    <w:rsid w:val="00101F9F"/>
    <w:rsid w:val="0010203A"/>
    <w:rsid w:val="00102CC6"/>
    <w:rsid w:val="00103963"/>
    <w:rsid w:val="00103EBF"/>
    <w:rsid w:val="00106554"/>
    <w:rsid w:val="0010655A"/>
    <w:rsid w:val="00106690"/>
    <w:rsid w:val="0010710C"/>
    <w:rsid w:val="001074FB"/>
    <w:rsid w:val="0010783D"/>
    <w:rsid w:val="0011087A"/>
    <w:rsid w:val="00110B10"/>
    <w:rsid w:val="00111088"/>
    <w:rsid w:val="00111C2D"/>
    <w:rsid w:val="0011302D"/>
    <w:rsid w:val="001130ED"/>
    <w:rsid w:val="001131CA"/>
    <w:rsid w:val="00113C62"/>
    <w:rsid w:val="00115D65"/>
    <w:rsid w:val="00115D78"/>
    <w:rsid w:val="00116155"/>
    <w:rsid w:val="0011671C"/>
    <w:rsid w:val="0011696B"/>
    <w:rsid w:val="001170C1"/>
    <w:rsid w:val="0011787F"/>
    <w:rsid w:val="00117D88"/>
    <w:rsid w:val="0012022B"/>
    <w:rsid w:val="001202CC"/>
    <w:rsid w:val="00120D02"/>
    <w:rsid w:val="00120F5F"/>
    <w:rsid w:val="0012101D"/>
    <w:rsid w:val="001217A6"/>
    <w:rsid w:val="00123FB4"/>
    <w:rsid w:val="001240C4"/>
    <w:rsid w:val="001246F2"/>
    <w:rsid w:val="00124711"/>
    <w:rsid w:val="00124774"/>
    <w:rsid w:val="00124803"/>
    <w:rsid w:val="0012607C"/>
    <w:rsid w:val="00126CC5"/>
    <w:rsid w:val="00126D64"/>
    <w:rsid w:val="0012701B"/>
    <w:rsid w:val="00127195"/>
    <w:rsid w:val="001273A6"/>
    <w:rsid w:val="00127DDF"/>
    <w:rsid w:val="0013021E"/>
    <w:rsid w:val="0013066B"/>
    <w:rsid w:val="001313BF"/>
    <w:rsid w:val="0013188E"/>
    <w:rsid w:val="00131C3B"/>
    <w:rsid w:val="0013247E"/>
    <w:rsid w:val="001329C6"/>
    <w:rsid w:val="00133157"/>
    <w:rsid w:val="00134067"/>
    <w:rsid w:val="0013488B"/>
    <w:rsid w:val="00134AAC"/>
    <w:rsid w:val="00134D99"/>
    <w:rsid w:val="00134E9F"/>
    <w:rsid w:val="00135A54"/>
    <w:rsid w:val="00136171"/>
    <w:rsid w:val="001361AC"/>
    <w:rsid w:val="0013696E"/>
    <w:rsid w:val="00137132"/>
    <w:rsid w:val="0013751E"/>
    <w:rsid w:val="00137C08"/>
    <w:rsid w:val="00140759"/>
    <w:rsid w:val="001407FB"/>
    <w:rsid w:val="0014091D"/>
    <w:rsid w:val="00140BAA"/>
    <w:rsid w:val="00140C75"/>
    <w:rsid w:val="001411C6"/>
    <w:rsid w:val="001414CA"/>
    <w:rsid w:val="00142400"/>
    <w:rsid w:val="001430D8"/>
    <w:rsid w:val="0014393C"/>
    <w:rsid w:val="001448A4"/>
    <w:rsid w:val="00144995"/>
    <w:rsid w:val="00145385"/>
    <w:rsid w:val="00145ADE"/>
    <w:rsid w:val="00146041"/>
    <w:rsid w:val="00146367"/>
    <w:rsid w:val="00146490"/>
    <w:rsid w:val="001464FE"/>
    <w:rsid w:val="0014667F"/>
    <w:rsid w:val="0014688A"/>
    <w:rsid w:val="00146FE5"/>
    <w:rsid w:val="0015005B"/>
    <w:rsid w:val="0015050D"/>
    <w:rsid w:val="00150573"/>
    <w:rsid w:val="0015086E"/>
    <w:rsid w:val="0015091A"/>
    <w:rsid w:val="001513D3"/>
    <w:rsid w:val="001514A7"/>
    <w:rsid w:val="001514F8"/>
    <w:rsid w:val="001519A5"/>
    <w:rsid w:val="001526F7"/>
    <w:rsid w:val="00152915"/>
    <w:rsid w:val="001530EB"/>
    <w:rsid w:val="001535E4"/>
    <w:rsid w:val="0015383A"/>
    <w:rsid w:val="00153E48"/>
    <w:rsid w:val="00153F75"/>
    <w:rsid w:val="00154114"/>
    <w:rsid w:val="001542AB"/>
    <w:rsid w:val="001544E2"/>
    <w:rsid w:val="001545F9"/>
    <w:rsid w:val="00154986"/>
    <w:rsid w:val="00155957"/>
    <w:rsid w:val="00155C98"/>
    <w:rsid w:val="00155D53"/>
    <w:rsid w:val="00156930"/>
    <w:rsid w:val="00157F51"/>
    <w:rsid w:val="00160D44"/>
    <w:rsid w:val="001615F5"/>
    <w:rsid w:val="00161A63"/>
    <w:rsid w:val="00161CAB"/>
    <w:rsid w:val="00161FC5"/>
    <w:rsid w:val="00162420"/>
    <w:rsid w:val="0016255C"/>
    <w:rsid w:val="00162F59"/>
    <w:rsid w:val="00163321"/>
    <w:rsid w:val="00163488"/>
    <w:rsid w:val="00163507"/>
    <w:rsid w:val="00163BD2"/>
    <w:rsid w:val="0016424A"/>
    <w:rsid w:val="00164C2C"/>
    <w:rsid w:val="00164D9D"/>
    <w:rsid w:val="001658DA"/>
    <w:rsid w:val="0016592E"/>
    <w:rsid w:val="00165D3C"/>
    <w:rsid w:val="00165DC9"/>
    <w:rsid w:val="00165E3E"/>
    <w:rsid w:val="00165FCA"/>
    <w:rsid w:val="00167232"/>
    <w:rsid w:val="0016779E"/>
    <w:rsid w:val="00167AA6"/>
    <w:rsid w:val="00170769"/>
    <w:rsid w:val="00171698"/>
    <w:rsid w:val="00171ADF"/>
    <w:rsid w:val="00172758"/>
    <w:rsid w:val="00172A27"/>
    <w:rsid w:val="00172BB2"/>
    <w:rsid w:val="00173534"/>
    <w:rsid w:val="00173594"/>
    <w:rsid w:val="0017399F"/>
    <w:rsid w:val="00173D95"/>
    <w:rsid w:val="00174D7A"/>
    <w:rsid w:val="00175667"/>
    <w:rsid w:val="00175FBA"/>
    <w:rsid w:val="001763D0"/>
    <w:rsid w:val="00176A40"/>
    <w:rsid w:val="00176B07"/>
    <w:rsid w:val="00176D25"/>
    <w:rsid w:val="00177B21"/>
    <w:rsid w:val="001808A6"/>
    <w:rsid w:val="00180D77"/>
    <w:rsid w:val="00181C86"/>
    <w:rsid w:val="00181D72"/>
    <w:rsid w:val="00182288"/>
    <w:rsid w:val="001826F4"/>
    <w:rsid w:val="00183183"/>
    <w:rsid w:val="00183A1F"/>
    <w:rsid w:val="00183FBC"/>
    <w:rsid w:val="0018488F"/>
    <w:rsid w:val="001859A7"/>
    <w:rsid w:val="001859B3"/>
    <w:rsid w:val="00186477"/>
    <w:rsid w:val="0018683E"/>
    <w:rsid w:val="00186905"/>
    <w:rsid w:val="00187488"/>
    <w:rsid w:val="00187BAE"/>
    <w:rsid w:val="00187BCA"/>
    <w:rsid w:val="00190636"/>
    <w:rsid w:val="00191093"/>
    <w:rsid w:val="0019158B"/>
    <w:rsid w:val="0019165F"/>
    <w:rsid w:val="00191D9E"/>
    <w:rsid w:val="00191E5C"/>
    <w:rsid w:val="0019236F"/>
    <w:rsid w:val="0019256E"/>
    <w:rsid w:val="00192C66"/>
    <w:rsid w:val="00193114"/>
    <w:rsid w:val="00193256"/>
    <w:rsid w:val="00193C52"/>
    <w:rsid w:val="00194470"/>
    <w:rsid w:val="00194585"/>
    <w:rsid w:val="00194619"/>
    <w:rsid w:val="00194636"/>
    <w:rsid w:val="00195B81"/>
    <w:rsid w:val="00195EEF"/>
    <w:rsid w:val="00196618"/>
    <w:rsid w:val="00196CA6"/>
    <w:rsid w:val="00197A62"/>
    <w:rsid w:val="00197FC4"/>
    <w:rsid w:val="001A05D9"/>
    <w:rsid w:val="001A0B63"/>
    <w:rsid w:val="001A0D61"/>
    <w:rsid w:val="001A14FC"/>
    <w:rsid w:val="001A214A"/>
    <w:rsid w:val="001A23BF"/>
    <w:rsid w:val="001A2606"/>
    <w:rsid w:val="001A28C2"/>
    <w:rsid w:val="001A2DA7"/>
    <w:rsid w:val="001A4ACF"/>
    <w:rsid w:val="001A67FA"/>
    <w:rsid w:val="001A698C"/>
    <w:rsid w:val="001A6BDF"/>
    <w:rsid w:val="001A7AF1"/>
    <w:rsid w:val="001A7E11"/>
    <w:rsid w:val="001B0D7E"/>
    <w:rsid w:val="001B0EA1"/>
    <w:rsid w:val="001B1889"/>
    <w:rsid w:val="001B2076"/>
    <w:rsid w:val="001B21C4"/>
    <w:rsid w:val="001B2398"/>
    <w:rsid w:val="001B2DAF"/>
    <w:rsid w:val="001B34A3"/>
    <w:rsid w:val="001B34D5"/>
    <w:rsid w:val="001B474C"/>
    <w:rsid w:val="001B4AEE"/>
    <w:rsid w:val="001B4E3C"/>
    <w:rsid w:val="001B6FC5"/>
    <w:rsid w:val="001B7281"/>
    <w:rsid w:val="001B73ED"/>
    <w:rsid w:val="001B7890"/>
    <w:rsid w:val="001B7993"/>
    <w:rsid w:val="001B7D02"/>
    <w:rsid w:val="001C03DE"/>
    <w:rsid w:val="001C0660"/>
    <w:rsid w:val="001C0834"/>
    <w:rsid w:val="001C0C49"/>
    <w:rsid w:val="001C0C9C"/>
    <w:rsid w:val="001C0D9B"/>
    <w:rsid w:val="001C194C"/>
    <w:rsid w:val="001C1E3A"/>
    <w:rsid w:val="001C1EF9"/>
    <w:rsid w:val="001C2223"/>
    <w:rsid w:val="001C22E8"/>
    <w:rsid w:val="001C332B"/>
    <w:rsid w:val="001C3439"/>
    <w:rsid w:val="001C4392"/>
    <w:rsid w:val="001C4647"/>
    <w:rsid w:val="001C49CB"/>
    <w:rsid w:val="001C4CF7"/>
    <w:rsid w:val="001C557B"/>
    <w:rsid w:val="001C55CC"/>
    <w:rsid w:val="001C616F"/>
    <w:rsid w:val="001C6F82"/>
    <w:rsid w:val="001C6FD7"/>
    <w:rsid w:val="001C7832"/>
    <w:rsid w:val="001D0294"/>
    <w:rsid w:val="001D0D05"/>
    <w:rsid w:val="001D0F45"/>
    <w:rsid w:val="001D16C2"/>
    <w:rsid w:val="001D1C18"/>
    <w:rsid w:val="001D22F1"/>
    <w:rsid w:val="001D2999"/>
    <w:rsid w:val="001D3105"/>
    <w:rsid w:val="001D310D"/>
    <w:rsid w:val="001D33E0"/>
    <w:rsid w:val="001D3640"/>
    <w:rsid w:val="001D396E"/>
    <w:rsid w:val="001D399F"/>
    <w:rsid w:val="001D40E8"/>
    <w:rsid w:val="001D4391"/>
    <w:rsid w:val="001D4519"/>
    <w:rsid w:val="001D4B22"/>
    <w:rsid w:val="001D505B"/>
    <w:rsid w:val="001D5178"/>
    <w:rsid w:val="001D51B7"/>
    <w:rsid w:val="001D6B97"/>
    <w:rsid w:val="001D705F"/>
    <w:rsid w:val="001D7620"/>
    <w:rsid w:val="001D792E"/>
    <w:rsid w:val="001D7A83"/>
    <w:rsid w:val="001E032D"/>
    <w:rsid w:val="001E0583"/>
    <w:rsid w:val="001E0900"/>
    <w:rsid w:val="001E0A35"/>
    <w:rsid w:val="001E0D45"/>
    <w:rsid w:val="001E1FE9"/>
    <w:rsid w:val="001E26DA"/>
    <w:rsid w:val="001E2E2E"/>
    <w:rsid w:val="001E40C7"/>
    <w:rsid w:val="001E464A"/>
    <w:rsid w:val="001E4CF2"/>
    <w:rsid w:val="001E5D58"/>
    <w:rsid w:val="001E6E6B"/>
    <w:rsid w:val="001E77DE"/>
    <w:rsid w:val="001E7E52"/>
    <w:rsid w:val="001F024C"/>
    <w:rsid w:val="001F0EAD"/>
    <w:rsid w:val="001F11FF"/>
    <w:rsid w:val="001F1354"/>
    <w:rsid w:val="001F2021"/>
    <w:rsid w:val="001F253F"/>
    <w:rsid w:val="001F2D49"/>
    <w:rsid w:val="001F2E24"/>
    <w:rsid w:val="001F2E44"/>
    <w:rsid w:val="001F2F8E"/>
    <w:rsid w:val="001F32D1"/>
    <w:rsid w:val="001F38CF"/>
    <w:rsid w:val="001F4BFC"/>
    <w:rsid w:val="001F5582"/>
    <w:rsid w:val="001F560B"/>
    <w:rsid w:val="001F5618"/>
    <w:rsid w:val="001F62D4"/>
    <w:rsid w:val="001F6DC6"/>
    <w:rsid w:val="001F73A9"/>
    <w:rsid w:val="001F7DAA"/>
    <w:rsid w:val="002002AE"/>
    <w:rsid w:val="00200667"/>
    <w:rsid w:val="00200C15"/>
    <w:rsid w:val="002014AB"/>
    <w:rsid w:val="00202568"/>
    <w:rsid w:val="00202A3E"/>
    <w:rsid w:val="00202D7C"/>
    <w:rsid w:val="00203C9D"/>
    <w:rsid w:val="00204084"/>
    <w:rsid w:val="0020434C"/>
    <w:rsid w:val="00204935"/>
    <w:rsid w:val="002055EF"/>
    <w:rsid w:val="00205EE0"/>
    <w:rsid w:val="00206619"/>
    <w:rsid w:val="0021009A"/>
    <w:rsid w:val="00210AFF"/>
    <w:rsid w:val="0021176C"/>
    <w:rsid w:val="00211A30"/>
    <w:rsid w:val="00212066"/>
    <w:rsid w:val="00212893"/>
    <w:rsid w:val="00212A11"/>
    <w:rsid w:val="00212C81"/>
    <w:rsid w:val="00212F40"/>
    <w:rsid w:val="002137E6"/>
    <w:rsid w:val="00213946"/>
    <w:rsid w:val="002140E1"/>
    <w:rsid w:val="00214261"/>
    <w:rsid w:val="0021427E"/>
    <w:rsid w:val="002147E1"/>
    <w:rsid w:val="00214C99"/>
    <w:rsid w:val="002155D7"/>
    <w:rsid w:val="00215642"/>
    <w:rsid w:val="002158DB"/>
    <w:rsid w:val="00215D34"/>
    <w:rsid w:val="002162DF"/>
    <w:rsid w:val="002162EA"/>
    <w:rsid w:val="0021644E"/>
    <w:rsid w:val="002171D0"/>
    <w:rsid w:val="00217695"/>
    <w:rsid w:val="00217B7C"/>
    <w:rsid w:val="00217DBD"/>
    <w:rsid w:val="00220DB8"/>
    <w:rsid w:val="00220DFB"/>
    <w:rsid w:val="00220F02"/>
    <w:rsid w:val="002215F1"/>
    <w:rsid w:val="002219B7"/>
    <w:rsid w:val="00221BB3"/>
    <w:rsid w:val="00221E6C"/>
    <w:rsid w:val="00223113"/>
    <w:rsid w:val="00223175"/>
    <w:rsid w:val="002237AA"/>
    <w:rsid w:val="00224ACF"/>
    <w:rsid w:val="0022540B"/>
    <w:rsid w:val="00225AD9"/>
    <w:rsid w:val="00225F81"/>
    <w:rsid w:val="002261D1"/>
    <w:rsid w:val="002274E5"/>
    <w:rsid w:val="00230D63"/>
    <w:rsid w:val="00230DBA"/>
    <w:rsid w:val="00231302"/>
    <w:rsid w:val="0023214E"/>
    <w:rsid w:val="00232BE3"/>
    <w:rsid w:val="00233098"/>
    <w:rsid w:val="0023360A"/>
    <w:rsid w:val="00234399"/>
    <w:rsid w:val="00234847"/>
    <w:rsid w:val="0023655C"/>
    <w:rsid w:val="002365FC"/>
    <w:rsid w:val="0023699A"/>
    <w:rsid w:val="00236E86"/>
    <w:rsid w:val="002377EF"/>
    <w:rsid w:val="00237CF5"/>
    <w:rsid w:val="00237DFE"/>
    <w:rsid w:val="00237EAD"/>
    <w:rsid w:val="00240E82"/>
    <w:rsid w:val="002411A7"/>
    <w:rsid w:val="002418EC"/>
    <w:rsid w:val="002420A0"/>
    <w:rsid w:val="0024285D"/>
    <w:rsid w:val="0024302C"/>
    <w:rsid w:val="002436B5"/>
    <w:rsid w:val="0024471F"/>
    <w:rsid w:val="00245064"/>
    <w:rsid w:val="002450FE"/>
    <w:rsid w:val="00245114"/>
    <w:rsid w:val="00245CCD"/>
    <w:rsid w:val="0024763C"/>
    <w:rsid w:val="0024768C"/>
    <w:rsid w:val="00247700"/>
    <w:rsid w:val="00247D94"/>
    <w:rsid w:val="0025005F"/>
    <w:rsid w:val="00250097"/>
    <w:rsid w:val="00250C8B"/>
    <w:rsid w:val="00251092"/>
    <w:rsid w:val="00251384"/>
    <w:rsid w:val="002515F6"/>
    <w:rsid w:val="002521DB"/>
    <w:rsid w:val="0025231D"/>
    <w:rsid w:val="002524CE"/>
    <w:rsid w:val="00252865"/>
    <w:rsid w:val="002532C4"/>
    <w:rsid w:val="00253343"/>
    <w:rsid w:val="00253C5F"/>
    <w:rsid w:val="00253E64"/>
    <w:rsid w:val="0025525C"/>
    <w:rsid w:val="002557B8"/>
    <w:rsid w:val="00255FF0"/>
    <w:rsid w:val="002578C0"/>
    <w:rsid w:val="00257D40"/>
    <w:rsid w:val="00260131"/>
    <w:rsid w:val="0026013D"/>
    <w:rsid w:val="00260464"/>
    <w:rsid w:val="002606A0"/>
    <w:rsid w:val="00260B44"/>
    <w:rsid w:val="00260C25"/>
    <w:rsid w:val="00261206"/>
    <w:rsid w:val="00261289"/>
    <w:rsid w:val="00261B25"/>
    <w:rsid w:val="002620BF"/>
    <w:rsid w:val="002620E6"/>
    <w:rsid w:val="00262243"/>
    <w:rsid w:val="00262978"/>
    <w:rsid w:val="00263217"/>
    <w:rsid w:val="0026343A"/>
    <w:rsid w:val="002638D4"/>
    <w:rsid w:val="0026410F"/>
    <w:rsid w:val="002647B5"/>
    <w:rsid w:val="00264FBC"/>
    <w:rsid w:val="0026554C"/>
    <w:rsid w:val="00265573"/>
    <w:rsid w:val="00265C6D"/>
    <w:rsid w:val="00265F51"/>
    <w:rsid w:val="002661BC"/>
    <w:rsid w:val="002667E3"/>
    <w:rsid w:val="002708D9"/>
    <w:rsid w:val="0027225D"/>
    <w:rsid w:val="00272C73"/>
    <w:rsid w:val="002730F6"/>
    <w:rsid w:val="0027317F"/>
    <w:rsid w:val="00273454"/>
    <w:rsid w:val="00273760"/>
    <w:rsid w:val="00274060"/>
    <w:rsid w:val="0027422B"/>
    <w:rsid w:val="0027506B"/>
    <w:rsid w:val="00275F53"/>
    <w:rsid w:val="0027610F"/>
    <w:rsid w:val="00276223"/>
    <w:rsid w:val="0027627C"/>
    <w:rsid w:val="00276390"/>
    <w:rsid w:val="002764F8"/>
    <w:rsid w:val="00276A65"/>
    <w:rsid w:val="00276E3F"/>
    <w:rsid w:val="00277078"/>
    <w:rsid w:val="0027734C"/>
    <w:rsid w:val="002776FC"/>
    <w:rsid w:val="0028063A"/>
    <w:rsid w:val="0028106E"/>
    <w:rsid w:val="0028183A"/>
    <w:rsid w:val="00282300"/>
    <w:rsid w:val="00282367"/>
    <w:rsid w:val="002825B5"/>
    <w:rsid w:val="00283682"/>
    <w:rsid w:val="00283FD7"/>
    <w:rsid w:val="00284492"/>
    <w:rsid w:val="00284539"/>
    <w:rsid w:val="00284FE0"/>
    <w:rsid w:val="002853FF"/>
    <w:rsid w:val="002856DD"/>
    <w:rsid w:val="002860FE"/>
    <w:rsid w:val="00286329"/>
    <w:rsid w:val="00286976"/>
    <w:rsid w:val="00287613"/>
    <w:rsid w:val="0028779F"/>
    <w:rsid w:val="00287B94"/>
    <w:rsid w:val="002900EE"/>
    <w:rsid w:val="002911CF"/>
    <w:rsid w:val="0029264C"/>
    <w:rsid w:val="00292C68"/>
    <w:rsid w:val="0029379D"/>
    <w:rsid w:val="00293B48"/>
    <w:rsid w:val="00293B4E"/>
    <w:rsid w:val="002955AA"/>
    <w:rsid w:val="002957BF"/>
    <w:rsid w:val="00296B35"/>
    <w:rsid w:val="002977CD"/>
    <w:rsid w:val="002978A0"/>
    <w:rsid w:val="002A0CD9"/>
    <w:rsid w:val="002A202C"/>
    <w:rsid w:val="002A2D40"/>
    <w:rsid w:val="002A34F9"/>
    <w:rsid w:val="002A35C3"/>
    <w:rsid w:val="002A373F"/>
    <w:rsid w:val="002A3B87"/>
    <w:rsid w:val="002A47CB"/>
    <w:rsid w:val="002A481A"/>
    <w:rsid w:val="002A51C2"/>
    <w:rsid w:val="002A580B"/>
    <w:rsid w:val="002A5C8D"/>
    <w:rsid w:val="002A5E90"/>
    <w:rsid w:val="002A60F2"/>
    <w:rsid w:val="002A69F1"/>
    <w:rsid w:val="002A6FBE"/>
    <w:rsid w:val="002A7D76"/>
    <w:rsid w:val="002B0290"/>
    <w:rsid w:val="002B16C1"/>
    <w:rsid w:val="002B463B"/>
    <w:rsid w:val="002B5176"/>
    <w:rsid w:val="002B5FD5"/>
    <w:rsid w:val="002B62A4"/>
    <w:rsid w:val="002B654D"/>
    <w:rsid w:val="002B6788"/>
    <w:rsid w:val="002B6C53"/>
    <w:rsid w:val="002B7E87"/>
    <w:rsid w:val="002C0932"/>
    <w:rsid w:val="002C1148"/>
    <w:rsid w:val="002C12DC"/>
    <w:rsid w:val="002C13B9"/>
    <w:rsid w:val="002C14E8"/>
    <w:rsid w:val="002C16AF"/>
    <w:rsid w:val="002C1BA3"/>
    <w:rsid w:val="002C2657"/>
    <w:rsid w:val="002C2D26"/>
    <w:rsid w:val="002C2F57"/>
    <w:rsid w:val="002C3371"/>
    <w:rsid w:val="002C3427"/>
    <w:rsid w:val="002C4047"/>
    <w:rsid w:val="002C4864"/>
    <w:rsid w:val="002C4B08"/>
    <w:rsid w:val="002C5217"/>
    <w:rsid w:val="002C57CB"/>
    <w:rsid w:val="002C5C3F"/>
    <w:rsid w:val="002C6BF1"/>
    <w:rsid w:val="002C7108"/>
    <w:rsid w:val="002D00CF"/>
    <w:rsid w:val="002D05F4"/>
    <w:rsid w:val="002D0711"/>
    <w:rsid w:val="002D0A1E"/>
    <w:rsid w:val="002D1233"/>
    <w:rsid w:val="002D14B7"/>
    <w:rsid w:val="002D1981"/>
    <w:rsid w:val="002D1D98"/>
    <w:rsid w:val="002D21C1"/>
    <w:rsid w:val="002D2990"/>
    <w:rsid w:val="002D2ECF"/>
    <w:rsid w:val="002D3164"/>
    <w:rsid w:val="002D32EA"/>
    <w:rsid w:val="002D5057"/>
    <w:rsid w:val="002D5A74"/>
    <w:rsid w:val="002D5D38"/>
    <w:rsid w:val="002D6B3C"/>
    <w:rsid w:val="002D7944"/>
    <w:rsid w:val="002E12EB"/>
    <w:rsid w:val="002E1357"/>
    <w:rsid w:val="002E1807"/>
    <w:rsid w:val="002E1ECE"/>
    <w:rsid w:val="002E21FE"/>
    <w:rsid w:val="002E2AEA"/>
    <w:rsid w:val="002E3DA1"/>
    <w:rsid w:val="002E3F61"/>
    <w:rsid w:val="002E4269"/>
    <w:rsid w:val="002E4B2A"/>
    <w:rsid w:val="002E4DBD"/>
    <w:rsid w:val="002E5602"/>
    <w:rsid w:val="002E7205"/>
    <w:rsid w:val="002E7A66"/>
    <w:rsid w:val="002E7E80"/>
    <w:rsid w:val="002F0186"/>
    <w:rsid w:val="002F0AEA"/>
    <w:rsid w:val="002F116B"/>
    <w:rsid w:val="002F38E0"/>
    <w:rsid w:val="002F3D8A"/>
    <w:rsid w:val="002F45CA"/>
    <w:rsid w:val="002F47C9"/>
    <w:rsid w:val="002F539F"/>
    <w:rsid w:val="002F5999"/>
    <w:rsid w:val="002F5B13"/>
    <w:rsid w:val="002F6014"/>
    <w:rsid w:val="002F6417"/>
    <w:rsid w:val="002F6E62"/>
    <w:rsid w:val="002F6F86"/>
    <w:rsid w:val="002F77B7"/>
    <w:rsid w:val="002F7D25"/>
    <w:rsid w:val="00301D2D"/>
    <w:rsid w:val="0030224A"/>
    <w:rsid w:val="0030312D"/>
    <w:rsid w:val="00303870"/>
    <w:rsid w:val="003038E5"/>
    <w:rsid w:val="00303F97"/>
    <w:rsid w:val="00304B7A"/>
    <w:rsid w:val="00305B03"/>
    <w:rsid w:val="003060B3"/>
    <w:rsid w:val="003069E4"/>
    <w:rsid w:val="003076CA"/>
    <w:rsid w:val="00307B8F"/>
    <w:rsid w:val="00307D4F"/>
    <w:rsid w:val="0031014E"/>
    <w:rsid w:val="00310FFA"/>
    <w:rsid w:val="003112A7"/>
    <w:rsid w:val="00311C78"/>
    <w:rsid w:val="00311F88"/>
    <w:rsid w:val="003126B0"/>
    <w:rsid w:val="00312BDD"/>
    <w:rsid w:val="00313191"/>
    <w:rsid w:val="0031319A"/>
    <w:rsid w:val="00313208"/>
    <w:rsid w:val="00313704"/>
    <w:rsid w:val="00313E37"/>
    <w:rsid w:val="0031424D"/>
    <w:rsid w:val="0031427E"/>
    <w:rsid w:val="00314FB7"/>
    <w:rsid w:val="003157EF"/>
    <w:rsid w:val="00316B02"/>
    <w:rsid w:val="00316BAF"/>
    <w:rsid w:val="0032135F"/>
    <w:rsid w:val="00321976"/>
    <w:rsid w:val="003222CC"/>
    <w:rsid w:val="003225FF"/>
    <w:rsid w:val="003236F0"/>
    <w:rsid w:val="00324A85"/>
    <w:rsid w:val="00325539"/>
    <w:rsid w:val="00326465"/>
    <w:rsid w:val="00326D81"/>
    <w:rsid w:val="003270F6"/>
    <w:rsid w:val="00327845"/>
    <w:rsid w:val="003304F1"/>
    <w:rsid w:val="003309B1"/>
    <w:rsid w:val="00330A14"/>
    <w:rsid w:val="00330B66"/>
    <w:rsid w:val="00330C3F"/>
    <w:rsid w:val="00331321"/>
    <w:rsid w:val="00331F55"/>
    <w:rsid w:val="00332AA2"/>
    <w:rsid w:val="0033327C"/>
    <w:rsid w:val="003339CC"/>
    <w:rsid w:val="00333C07"/>
    <w:rsid w:val="003346B4"/>
    <w:rsid w:val="00334A0F"/>
    <w:rsid w:val="00334BB1"/>
    <w:rsid w:val="00334F20"/>
    <w:rsid w:val="003358B7"/>
    <w:rsid w:val="00335AD0"/>
    <w:rsid w:val="003360DD"/>
    <w:rsid w:val="003360F2"/>
    <w:rsid w:val="0033658C"/>
    <w:rsid w:val="003368C0"/>
    <w:rsid w:val="0033716D"/>
    <w:rsid w:val="00337495"/>
    <w:rsid w:val="003377D7"/>
    <w:rsid w:val="0034063A"/>
    <w:rsid w:val="00340A19"/>
    <w:rsid w:val="00340FC3"/>
    <w:rsid w:val="00341D31"/>
    <w:rsid w:val="00341E31"/>
    <w:rsid w:val="00342427"/>
    <w:rsid w:val="00342831"/>
    <w:rsid w:val="00342BC4"/>
    <w:rsid w:val="00342C69"/>
    <w:rsid w:val="0034305B"/>
    <w:rsid w:val="00343518"/>
    <w:rsid w:val="003435F3"/>
    <w:rsid w:val="0034373F"/>
    <w:rsid w:val="00344FAB"/>
    <w:rsid w:val="003451CE"/>
    <w:rsid w:val="00345754"/>
    <w:rsid w:val="00345781"/>
    <w:rsid w:val="00345C88"/>
    <w:rsid w:val="003461EE"/>
    <w:rsid w:val="003477A1"/>
    <w:rsid w:val="00347F63"/>
    <w:rsid w:val="00350A3F"/>
    <w:rsid w:val="00350B10"/>
    <w:rsid w:val="00351038"/>
    <w:rsid w:val="0035189C"/>
    <w:rsid w:val="00352859"/>
    <w:rsid w:val="003529E1"/>
    <w:rsid w:val="00352DF5"/>
    <w:rsid w:val="00352FBB"/>
    <w:rsid w:val="00353759"/>
    <w:rsid w:val="00353E0B"/>
    <w:rsid w:val="00354448"/>
    <w:rsid w:val="0035457C"/>
    <w:rsid w:val="0035468F"/>
    <w:rsid w:val="0035521A"/>
    <w:rsid w:val="003552B9"/>
    <w:rsid w:val="00355833"/>
    <w:rsid w:val="00356272"/>
    <w:rsid w:val="00356EB3"/>
    <w:rsid w:val="00356FC5"/>
    <w:rsid w:val="00357299"/>
    <w:rsid w:val="00357C1C"/>
    <w:rsid w:val="00357E35"/>
    <w:rsid w:val="00360162"/>
    <w:rsid w:val="00360B4E"/>
    <w:rsid w:val="0036131C"/>
    <w:rsid w:val="003615D1"/>
    <w:rsid w:val="00361F67"/>
    <w:rsid w:val="003627FF"/>
    <w:rsid w:val="00362A62"/>
    <w:rsid w:val="00362E97"/>
    <w:rsid w:val="003636B0"/>
    <w:rsid w:val="0036370A"/>
    <w:rsid w:val="00363CC3"/>
    <w:rsid w:val="00364142"/>
    <w:rsid w:val="00364916"/>
    <w:rsid w:val="00364DD0"/>
    <w:rsid w:val="00365AD0"/>
    <w:rsid w:val="00365EF9"/>
    <w:rsid w:val="0037010C"/>
    <w:rsid w:val="003704F1"/>
    <w:rsid w:val="00370682"/>
    <w:rsid w:val="00370B9E"/>
    <w:rsid w:val="00370CD4"/>
    <w:rsid w:val="00371164"/>
    <w:rsid w:val="00371D37"/>
    <w:rsid w:val="00371D73"/>
    <w:rsid w:val="00371E0A"/>
    <w:rsid w:val="0037249A"/>
    <w:rsid w:val="0037278D"/>
    <w:rsid w:val="00372F98"/>
    <w:rsid w:val="0037397A"/>
    <w:rsid w:val="00374AAB"/>
    <w:rsid w:val="00375149"/>
    <w:rsid w:val="003759B5"/>
    <w:rsid w:val="0037633E"/>
    <w:rsid w:val="003770E1"/>
    <w:rsid w:val="0037725A"/>
    <w:rsid w:val="00380C36"/>
    <w:rsid w:val="00380CA6"/>
    <w:rsid w:val="00380E89"/>
    <w:rsid w:val="003812C7"/>
    <w:rsid w:val="003813AA"/>
    <w:rsid w:val="003821F4"/>
    <w:rsid w:val="00382838"/>
    <w:rsid w:val="00383770"/>
    <w:rsid w:val="00383BB3"/>
    <w:rsid w:val="0038412E"/>
    <w:rsid w:val="003845E2"/>
    <w:rsid w:val="003847EE"/>
    <w:rsid w:val="00384DC9"/>
    <w:rsid w:val="003856E2"/>
    <w:rsid w:val="00385DF1"/>
    <w:rsid w:val="00385EBD"/>
    <w:rsid w:val="00386422"/>
    <w:rsid w:val="00386D1D"/>
    <w:rsid w:val="00386D5E"/>
    <w:rsid w:val="00386D63"/>
    <w:rsid w:val="00387134"/>
    <w:rsid w:val="003877D7"/>
    <w:rsid w:val="00387CBD"/>
    <w:rsid w:val="00387F46"/>
    <w:rsid w:val="00390BC5"/>
    <w:rsid w:val="00390D82"/>
    <w:rsid w:val="003916B8"/>
    <w:rsid w:val="00392658"/>
    <w:rsid w:val="0039295D"/>
    <w:rsid w:val="00392D7E"/>
    <w:rsid w:val="00393238"/>
    <w:rsid w:val="00393E2C"/>
    <w:rsid w:val="0039403E"/>
    <w:rsid w:val="0039433E"/>
    <w:rsid w:val="00394450"/>
    <w:rsid w:val="003945E1"/>
    <w:rsid w:val="003955DC"/>
    <w:rsid w:val="00395B22"/>
    <w:rsid w:val="003A06CA"/>
    <w:rsid w:val="003A0DAE"/>
    <w:rsid w:val="003A1730"/>
    <w:rsid w:val="003A1858"/>
    <w:rsid w:val="003A1EAD"/>
    <w:rsid w:val="003A2182"/>
    <w:rsid w:val="003A251A"/>
    <w:rsid w:val="003A3665"/>
    <w:rsid w:val="003A3672"/>
    <w:rsid w:val="003A4FBE"/>
    <w:rsid w:val="003A5DC5"/>
    <w:rsid w:val="003A6C30"/>
    <w:rsid w:val="003A6E9E"/>
    <w:rsid w:val="003A7196"/>
    <w:rsid w:val="003A730C"/>
    <w:rsid w:val="003A76F2"/>
    <w:rsid w:val="003B020C"/>
    <w:rsid w:val="003B1FC9"/>
    <w:rsid w:val="003B2B9F"/>
    <w:rsid w:val="003B2C78"/>
    <w:rsid w:val="003B4286"/>
    <w:rsid w:val="003B48BD"/>
    <w:rsid w:val="003B4A4D"/>
    <w:rsid w:val="003B54CD"/>
    <w:rsid w:val="003B5632"/>
    <w:rsid w:val="003B661F"/>
    <w:rsid w:val="003B6CC7"/>
    <w:rsid w:val="003B76C0"/>
    <w:rsid w:val="003B7CD0"/>
    <w:rsid w:val="003B7D46"/>
    <w:rsid w:val="003B7F5F"/>
    <w:rsid w:val="003C0038"/>
    <w:rsid w:val="003C0357"/>
    <w:rsid w:val="003C0D4E"/>
    <w:rsid w:val="003C235E"/>
    <w:rsid w:val="003C2448"/>
    <w:rsid w:val="003C289A"/>
    <w:rsid w:val="003C2AE5"/>
    <w:rsid w:val="003C2C0E"/>
    <w:rsid w:val="003C36A9"/>
    <w:rsid w:val="003C3C73"/>
    <w:rsid w:val="003C4D19"/>
    <w:rsid w:val="003C4E75"/>
    <w:rsid w:val="003C5590"/>
    <w:rsid w:val="003C56A5"/>
    <w:rsid w:val="003C59C5"/>
    <w:rsid w:val="003C602C"/>
    <w:rsid w:val="003C6163"/>
    <w:rsid w:val="003C6549"/>
    <w:rsid w:val="003C6864"/>
    <w:rsid w:val="003C7287"/>
    <w:rsid w:val="003C7879"/>
    <w:rsid w:val="003C7EC4"/>
    <w:rsid w:val="003D0A4D"/>
    <w:rsid w:val="003D14FE"/>
    <w:rsid w:val="003D1729"/>
    <w:rsid w:val="003D2F2A"/>
    <w:rsid w:val="003D3AD2"/>
    <w:rsid w:val="003D40B0"/>
    <w:rsid w:val="003D4280"/>
    <w:rsid w:val="003D44A4"/>
    <w:rsid w:val="003D4C42"/>
    <w:rsid w:val="003D5C87"/>
    <w:rsid w:val="003D5DC1"/>
    <w:rsid w:val="003D6C9C"/>
    <w:rsid w:val="003D7017"/>
    <w:rsid w:val="003E02A1"/>
    <w:rsid w:val="003E08AB"/>
    <w:rsid w:val="003E1854"/>
    <w:rsid w:val="003E3158"/>
    <w:rsid w:val="003E35B7"/>
    <w:rsid w:val="003E40AF"/>
    <w:rsid w:val="003E41ED"/>
    <w:rsid w:val="003E4361"/>
    <w:rsid w:val="003E4494"/>
    <w:rsid w:val="003E5B7D"/>
    <w:rsid w:val="003E6C33"/>
    <w:rsid w:val="003E6E64"/>
    <w:rsid w:val="003E7064"/>
    <w:rsid w:val="003E72E7"/>
    <w:rsid w:val="003E774F"/>
    <w:rsid w:val="003E7C5C"/>
    <w:rsid w:val="003F0793"/>
    <w:rsid w:val="003F218E"/>
    <w:rsid w:val="003F28DF"/>
    <w:rsid w:val="003F28ED"/>
    <w:rsid w:val="003F3758"/>
    <w:rsid w:val="003F4DC4"/>
    <w:rsid w:val="003F5849"/>
    <w:rsid w:val="003F599E"/>
    <w:rsid w:val="003F693F"/>
    <w:rsid w:val="003F6CE0"/>
    <w:rsid w:val="003F717E"/>
    <w:rsid w:val="003F766C"/>
    <w:rsid w:val="003F767A"/>
    <w:rsid w:val="003F76EF"/>
    <w:rsid w:val="003F7D84"/>
    <w:rsid w:val="004009A0"/>
    <w:rsid w:val="004012FA"/>
    <w:rsid w:val="00401320"/>
    <w:rsid w:val="0040142E"/>
    <w:rsid w:val="004021B8"/>
    <w:rsid w:val="00402A1D"/>
    <w:rsid w:val="004041F9"/>
    <w:rsid w:val="0040438F"/>
    <w:rsid w:val="004047AF"/>
    <w:rsid w:val="00404CD4"/>
    <w:rsid w:val="00405049"/>
    <w:rsid w:val="00405070"/>
    <w:rsid w:val="0040552D"/>
    <w:rsid w:val="0040559C"/>
    <w:rsid w:val="004055E0"/>
    <w:rsid w:val="00406D83"/>
    <w:rsid w:val="00410186"/>
    <w:rsid w:val="004104BF"/>
    <w:rsid w:val="00410723"/>
    <w:rsid w:val="00410E4D"/>
    <w:rsid w:val="004112DB"/>
    <w:rsid w:val="00411641"/>
    <w:rsid w:val="00411A7D"/>
    <w:rsid w:val="00411B74"/>
    <w:rsid w:val="0041291F"/>
    <w:rsid w:val="00412F92"/>
    <w:rsid w:val="0041315A"/>
    <w:rsid w:val="004135B9"/>
    <w:rsid w:val="0041393A"/>
    <w:rsid w:val="00414780"/>
    <w:rsid w:val="00414AC0"/>
    <w:rsid w:val="0041500E"/>
    <w:rsid w:val="00415327"/>
    <w:rsid w:val="00415D87"/>
    <w:rsid w:val="004166C9"/>
    <w:rsid w:val="00417008"/>
    <w:rsid w:val="0041783D"/>
    <w:rsid w:val="0041790A"/>
    <w:rsid w:val="00417CBA"/>
    <w:rsid w:val="004201AB"/>
    <w:rsid w:val="004202FB"/>
    <w:rsid w:val="004203E9"/>
    <w:rsid w:val="00420608"/>
    <w:rsid w:val="004207DE"/>
    <w:rsid w:val="00420D6D"/>
    <w:rsid w:val="004222D0"/>
    <w:rsid w:val="00422467"/>
    <w:rsid w:val="00423394"/>
    <w:rsid w:val="004235E8"/>
    <w:rsid w:val="00423D1D"/>
    <w:rsid w:val="00423D45"/>
    <w:rsid w:val="0042565E"/>
    <w:rsid w:val="004259FB"/>
    <w:rsid w:val="0042619A"/>
    <w:rsid w:val="00426E89"/>
    <w:rsid w:val="00427644"/>
    <w:rsid w:val="0042769C"/>
    <w:rsid w:val="004278F8"/>
    <w:rsid w:val="00430903"/>
    <w:rsid w:val="0043163C"/>
    <w:rsid w:val="004322CC"/>
    <w:rsid w:val="00432794"/>
    <w:rsid w:val="0043279A"/>
    <w:rsid w:val="00432DA5"/>
    <w:rsid w:val="0043330D"/>
    <w:rsid w:val="00434225"/>
    <w:rsid w:val="00434810"/>
    <w:rsid w:val="004352A2"/>
    <w:rsid w:val="00435598"/>
    <w:rsid w:val="00436796"/>
    <w:rsid w:val="00436BFA"/>
    <w:rsid w:val="00436D5A"/>
    <w:rsid w:val="00440408"/>
    <w:rsid w:val="004418E7"/>
    <w:rsid w:val="004420D5"/>
    <w:rsid w:val="004427AD"/>
    <w:rsid w:val="00442C9F"/>
    <w:rsid w:val="004433A6"/>
    <w:rsid w:val="004439FA"/>
    <w:rsid w:val="00443BC5"/>
    <w:rsid w:val="004441D1"/>
    <w:rsid w:val="004446AA"/>
    <w:rsid w:val="00444977"/>
    <w:rsid w:val="004449CF"/>
    <w:rsid w:val="00444A99"/>
    <w:rsid w:val="00444AD6"/>
    <w:rsid w:val="00444B05"/>
    <w:rsid w:val="0044554A"/>
    <w:rsid w:val="00445557"/>
    <w:rsid w:val="004459C8"/>
    <w:rsid w:val="00446A30"/>
    <w:rsid w:val="00446B3E"/>
    <w:rsid w:val="00446CBA"/>
    <w:rsid w:val="00446DF2"/>
    <w:rsid w:val="00447314"/>
    <w:rsid w:val="0044735A"/>
    <w:rsid w:val="004477FA"/>
    <w:rsid w:val="00447C42"/>
    <w:rsid w:val="004509F9"/>
    <w:rsid w:val="00450CAF"/>
    <w:rsid w:val="00450DBD"/>
    <w:rsid w:val="00451098"/>
    <w:rsid w:val="00451713"/>
    <w:rsid w:val="00451877"/>
    <w:rsid w:val="00452A0A"/>
    <w:rsid w:val="004530F3"/>
    <w:rsid w:val="00453664"/>
    <w:rsid w:val="004538DA"/>
    <w:rsid w:val="004541B0"/>
    <w:rsid w:val="00454876"/>
    <w:rsid w:val="00455826"/>
    <w:rsid w:val="00455A39"/>
    <w:rsid w:val="004561BC"/>
    <w:rsid w:val="00456411"/>
    <w:rsid w:val="00457B17"/>
    <w:rsid w:val="00460607"/>
    <w:rsid w:val="004607A5"/>
    <w:rsid w:val="0046081C"/>
    <w:rsid w:val="00460D3A"/>
    <w:rsid w:val="00460E1A"/>
    <w:rsid w:val="0046116F"/>
    <w:rsid w:val="00461399"/>
    <w:rsid w:val="00462424"/>
    <w:rsid w:val="004636D3"/>
    <w:rsid w:val="00463903"/>
    <w:rsid w:val="00464818"/>
    <w:rsid w:val="0046567A"/>
    <w:rsid w:val="00465691"/>
    <w:rsid w:val="004657E3"/>
    <w:rsid w:val="00466126"/>
    <w:rsid w:val="004661DA"/>
    <w:rsid w:val="0046684D"/>
    <w:rsid w:val="0046725E"/>
    <w:rsid w:val="0046742C"/>
    <w:rsid w:val="004701A0"/>
    <w:rsid w:val="0047038D"/>
    <w:rsid w:val="00470993"/>
    <w:rsid w:val="00471F7A"/>
    <w:rsid w:val="00471F98"/>
    <w:rsid w:val="00472943"/>
    <w:rsid w:val="00473673"/>
    <w:rsid w:val="00473E8A"/>
    <w:rsid w:val="004745BE"/>
    <w:rsid w:val="004747C6"/>
    <w:rsid w:val="00475432"/>
    <w:rsid w:val="00475D59"/>
    <w:rsid w:val="00476062"/>
    <w:rsid w:val="004761E3"/>
    <w:rsid w:val="00476B77"/>
    <w:rsid w:val="00476EC0"/>
    <w:rsid w:val="00477993"/>
    <w:rsid w:val="00477EE1"/>
    <w:rsid w:val="00480964"/>
    <w:rsid w:val="0048098F"/>
    <w:rsid w:val="00480BA2"/>
    <w:rsid w:val="00481203"/>
    <w:rsid w:val="004812F2"/>
    <w:rsid w:val="004813BC"/>
    <w:rsid w:val="00481F88"/>
    <w:rsid w:val="0048217B"/>
    <w:rsid w:val="00482846"/>
    <w:rsid w:val="004829AE"/>
    <w:rsid w:val="00483212"/>
    <w:rsid w:val="004842AD"/>
    <w:rsid w:val="004843B9"/>
    <w:rsid w:val="00484515"/>
    <w:rsid w:val="0048486D"/>
    <w:rsid w:val="00484E5E"/>
    <w:rsid w:val="0048545F"/>
    <w:rsid w:val="00485816"/>
    <w:rsid w:val="00485839"/>
    <w:rsid w:val="00485841"/>
    <w:rsid w:val="00485A9F"/>
    <w:rsid w:val="00485CC2"/>
    <w:rsid w:val="00485D61"/>
    <w:rsid w:val="0048626D"/>
    <w:rsid w:val="00486798"/>
    <w:rsid w:val="004869A2"/>
    <w:rsid w:val="00487816"/>
    <w:rsid w:val="00487D96"/>
    <w:rsid w:val="00490359"/>
    <w:rsid w:val="00490463"/>
    <w:rsid w:val="004905D1"/>
    <w:rsid w:val="00490F2D"/>
    <w:rsid w:val="00491DD5"/>
    <w:rsid w:val="00491FDF"/>
    <w:rsid w:val="00492EEF"/>
    <w:rsid w:val="004932B3"/>
    <w:rsid w:val="00493F9E"/>
    <w:rsid w:val="004945DC"/>
    <w:rsid w:val="00494B19"/>
    <w:rsid w:val="004953AA"/>
    <w:rsid w:val="00495686"/>
    <w:rsid w:val="00495BEF"/>
    <w:rsid w:val="004966CA"/>
    <w:rsid w:val="00496981"/>
    <w:rsid w:val="004975F2"/>
    <w:rsid w:val="00497B34"/>
    <w:rsid w:val="00497CDF"/>
    <w:rsid w:val="004A04F6"/>
    <w:rsid w:val="004A0F29"/>
    <w:rsid w:val="004A0FD8"/>
    <w:rsid w:val="004A1013"/>
    <w:rsid w:val="004A1093"/>
    <w:rsid w:val="004A19BA"/>
    <w:rsid w:val="004A1AE5"/>
    <w:rsid w:val="004A1D60"/>
    <w:rsid w:val="004A21D1"/>
    <w:rsid w:val="004A2BF5"/>
    <w:rsid w:val="004A2E36"/>
    <w:rsid w:val="004A32F3"/>
    <w:rsid w:val="004A3971"/>
    <w:rsid w:val="004A416E"/>
    <w:rsid w:val="004A432E"/>
    <w:rsid w:val="004A4413"/>
    <w:rsid w:val="004A4FD9"/>
    <w:rsid w:val="004A5A90"/>
    <w:rsid w:val="004A5B0B"/>
    <w:rsid w:val="004A6287"/>
    <w:rsid w:val="004A63DC"/>
    <w:rsid w:val="004B0EDC"/>
    <w:rsid w:val="004B1B36"/>
    <w:rsid w:val="004B1E17"/>
    <w:rsid w:val="004B1FA4"/>
    <w:rsid w:val="004B2243"/>
    <w:rsid w:val="004B26AD"/>
    <w:rsid w:val="004B2A9B"/>
    <w:rsid w:val="004B2F0E"/>
    <w:rsid w:val="004B3B25"/>
    <w:rsid w:val="004B3C53"/>
    <w:rsid w:val="004B3D4B"/>
    <w:rsid w:val="004B4C0D"/>
    <w:rsid w:val="004B4D78"/>
    <w:rsid w:val="004B556F"/>
    <w:rsid w:val="004B5AAA"/>
    <w:rsid w:val="004B6A67"/>
    <w:rsid w:val="004B6C41"/>
    <w:rsid w:val="004C05E6"/>
    <w:rsid w:val="004C092D"/>
    <w:rsid w:val="004C0B73"/>
    <w:rsid w:val="004C131F"/>
    <w:rsid w:val="004C17FB"/>
    <w:rsid w:val="004C2364"/>
    <w:rsid w:val="004C296A"/>
    <w:rsid w:val="004C2ED2"/>
    <w:rsid w:val="004C32DF"/>
    <w:rsid w:val="004C39E0"/>
    <w:rsid w:val="004C3DE9"/>
    <w:rsid w:val="004C41AE"/>
    <w:rsid w:val="004C46F8"/>
    <w:rsid w:val="004C5E3A"/>
    <w:rsid w:val="004C61A4"/>
    <w:rsid w:val="004C636B"/>
    <w:rsid w:val="004C6F7E"/>
    <w:rsid w:val="004C7EA5"/>
    <w:rsid w:val="004D008A"/>
    <w:rsid w:val="004D017F"/>
    <w:rsid w:val="004D0997"/>
    <w:rsid w:val="004D0C34"/>
    <w:rsid w:val="004D0FC8"/>
    <w:rsid w:val="004D150B"/>
    <w:rsid w:val="004D1DB0"/>
    <w:rsid w:val="004D23D6"/>
    <w:rsid w:val="004D2ACF"/>
    <w:rsid w:val="004D3161"/>
    <w:rsid w:val="004D33EB"/>
    <w:rsid w:val="004D3977"/>
    <w:rsid w:val="004D5515"/>
    <w:rsid w:val="004D5A1F"/>
    <w:rsid w:val="004D5E23"/>
    <w:rsid w:val="004D6230"/>
    <w:rsid w:val="004D693A"/>
    <w:rsid w:val="004D6C76"/>
    <w:rsid w:val="004D70C6"/>
    <w:rsid w:val="004D7195"/>
    <w:rsid w:val="004D78D4"/>
    <w:rsid w:val="004D7B95"/>
    <w:rsid w:val="004E087E"/>
    <w:rsid w:val="004E091C"/>
    <w:rsid w:val="004E0A7D"/>
    <w:rsid w:val="004E0CAA"/>
    <w:rsid w:val="004E13D0"/>
    <w:rsid w:val="004E1804"/>
    <w:rsid w:val="004E1FB1"/>
    <w:rsid w:val="004E2972"/>
    <w:rsid w:val="004E2EE6"/>
    <w:rsid w:val="004E3599"/>
    <w:rsid w:val="004E3675"/>
    <w:rsid w:val="004E3B4A"/>
    <w:rsid w:val="004E3BF1"/>
    <w:rsid w:val="004E3BF6"/>
    <w:rsid w:val="004E4E2A"/>
    <w:rsid w:val="004E5170"/>
    <w:rsid w:val="004E7062"/>
    <w:rsid w:val="004F0B9B"/>
    <w:rsid w:val="004F0DEC"/>
    <w:rsid w:val="004F158F"/>
    <w:rsid w:val="004F1898"/>
    <w:rsid w:val="004F23B0"/>
    <w:rsid w:val="004F25B4"/>
    <w:rsid w:val="004F40E0"/>
    <w:rsid w:val="004F485C"/>
    <w:rsid w:val="004F55C3"/>
    <w:rsid w:val="004F5E55"/>
    <w:rsid w:val="004F60BB"/>
    <w:rsid w:val="004F618F"/>
    <w:rsid w:val="004F6F19"/>
    <w:rsid w:val="004F700F"/>
    <w:rsid w:val="004F7A54"/>
    <w:rsid w:val="00500542"/>
    <w:rsid w:val="005007D5"/>
    <w:rsid w:val="00500EE0"/>
    <w:rsid w:val="00500FC6"/>
    <w:rsid w:val="0050101C"/>
    <w:rsid w:val="00501A81"/>
    <w:rsid w:val="00502106"/>
    <w:rsid w:val="0050225E"/>
    <w:rsid w:val="00502516"/>
    <w:rsid w:val="00502906"/>
    <w:rsid w:val="0050344C"/>
    <w:rsid w:val="005036AD"/>
    <w:rsid w:val="00503EE0"/>
    <w:rsid w:val="00504182"/>
    <w:rsid w:val="00504FB0"/>
    <w:rsid w:val="00505882"/>
    <w:rsid w:val="005061E6"/>
    <w:rsid w:val="00506A48"/>
    <w:rsid w:val="00507465"/>
    <w:rsid w:val="005078F2"/>
    <w:rsid w:val="00507E23"/>
    <w:rsid w:val="005109A2"/>
    <w:rsid w:val="005109A5"/>
    <w:rsid w:val="00510FC6"/>
    <w:rsid w:val="0051109B"/>
    <w:rsid w:val="00511BA2"/>
    <w:rsid w:val="00511E4A"/>
    <w:rsid w:val="005125CF"/>
    <w:rsid w:val="0051280F"/>
    <w:rsid w:val="00512AE3"/>
    <w:rsid w:val="00512CE5"/>
    <w:rsid w:val="00512DCF"/>
    <w:rsid w:val="00513D24"/>
    <w:rsid w:val="00513F46"/>
    <w:rsid w:val="00514500"/>
    <w:rsid w:val="00514F7A"/>
    <w:rsid w:val="005159DC"/>
    <w:rsid w:val="00515EB2"/>
    <w:rsid w:val="0051615F"/>
    <w:rsid w:val="00516323"/>
    <w:rsid w:val="00516345"/>
    <w:rsid w:val="005165EE"/>
    <w:rsid w:val="00516AC4"/>
    <w:rsid w:val="005175E0"/>
    <w:rsid w:val="00517BFB"/>
    <w:rsid w:val="00517DA0"/>
    <w:rsid w:val="0052017F"/>
    <w:rsid w:val="0052087E"/>
    <w:rsid w:val="00520BB7"/>
    <w:rsid w:val="00520BF8"/>
    <w:rsid w:val="00520D75"/>
    <w:rsid w:val="00521B2A"/>
    <w:rsid w:val="00522124"/>
    <w:rsid w:val="0052245F"/>
    <w:rsid w:val="00522FFD"/>
    <w:rsid w:val="005232A8"/>
    <w:rsid w:val="0052372E"/>
    <w:rsid w:val="0052373D"/>
    <w:rsid w:val="00523DD6"/>
    <w:rsid w:val="0052425A"/>
    <w:rsid w:val="005247D3"/>
    <w:rsid w:val="00525665"/>
    <w:rsid w:val="00526338"/>
    <w:rsid w:val="005269F2"/>
    <w:rsid w:val="0052702E"/>
    <w:rsid w:val="00527700"/>
    <w:rsid w:val="005305EA"/>
    <w:rsid w:val="00530BC6"/>
    <w:rsid w:val="00530D38"/>
    <w:rsid w:val="00531A8E"/>
    <w:rsid w:val="00531CF6"/>
    <w:rsid w:val="00532236"/>
    <w:rsid w:val="005322FD"/>
    <w:rsid w:val="00532674"/>
    <w:rsid w:val="00532870"/>
    <w:rsid w:val="00533E7F"/>
    <w:rsid w:val="0053431D"/>
    <w:rsid w:val="005348E4"/>
    <w:rsid w:val="0053536C"/>
    <w:rsid w:val="00535C0C"/>
    <w:rsid w:val="00535FF0"/>
    <w:rsid w:val="0053655D"/>
    <w:rsid w:val="0053688E"/>
    <w:rsid w:val="00536DC7"/>
    <w:rsid w:val="00536E95"/>
    <w:rsid w:val="00537F3A"/>
    <w:rsid w:val="00542096"/>
    <w:rsid w:val="0054337C"/>
    <w:rsid w:val="00543777"/>
    <w:rsid w:val="005445BC"/>
    <w:rsid w:val="00544941"/>
    <w:rsid w:val="00544ABA"/>
    <w:rsid w:val="00544F4E"/>
    <w:rsid w:val="005452AF"/>
    <w:rsid w:val="00545381"/>
    <w:rsid w:val="00545434"/>
    <w:rsid w:val="0054543B"/>
    <w:rsid w:val="005456C7"/>
    <w:rsid w:val="00546A35"/>
    <w:rsid w:val="005471C0"/>
    <w:rsid w:val="0054721C"/>
    <w:rsid w:val="005477BF"/>
    <w:rsid w:val="005500E1"/>
    <w:rsid w:val="005500F7"/>
    <w:rsid w:val="0055026C"/>
    <w:rsid w:val="00550C70"/>
    <w:rsid w:val="00550D8B"/>
    <w:rsid w:val="00554327"/>
    <w:rsid w:val="00554600"/>
    <w:rsid w:val="0055488B"/>
    <w:rsid w:val="00554A2A"/>
    <w:rsid w:val="00554A8A"/>
    <w:rsid w:val="0055501F"/>
    <w:rsid w:val="005554F3"/>
    <w:rsid w:val="00555741"/>
    <w:rsid w:val="0055646A"/>
    <w:rsid w:val="00556945"/>
    <w:rsid w:val="00556965"/>
    <w:rsid w:val="00556B94"/>
    <w:rsid w:val="005577C2"/>
    <w:rsid w:val="005577ED"/>
    <w:rsid w:val="00557900"/>
    <w:rsid w:val="005608DD"/>
    <w:rsid w:val="005610CC"/>
    <w:rsid w:val="00561D45"/>
    <w:rsid w:val="00561FBA"/>
    <w:rsid w:val="00562232"/>
    <w:rsid w:val="00563556"/>
    <w:rsid w:val="0056366C"/>
    <w:rsid w:val="00563A7A"/>
    <w:rsid w:val="0056484B"/>
    <w:rsid w:val="00564879"/>
    <w:rsid w:val="00564B23"/>
    <w:rsid w:val="00564BFE"/>
    <w:rsid w:val="00564D87"/>
    <w:rsid w:val="00564E93"/>
    <w:rsid w:val="005656E2"/>
    <w:rsid w:val="00565BDE"/>
    <w:rsid w:val="00566184"/>
    <w:rsid w:val="005667B8"/>
    <w:rsid w:val="0056694E"/>
    <w:rsid w:val="00566C66"/>
    <w:rsid w:val="00566CA2"/>
    <w:rsid w:val="00567A67"/>
    <w:rsid w:val="00570717"/>
    <w:rsid w:val="0057095A"/>
    <w:rsid w:val="00570E0F"/>
    <w:rsid w:val="00571519"/>
    <w:rsid w:val="00571CD6"/>
    <w:rsid w:val="00571EE1"/>
    <w:rsid w:val="00572BF6"/>
    <w:rsid w:val="005732F9"/>
    <w:rsid w:val="005733BA"/>
    <w:rsid w:val="00573B43"/>
    <w:rsid w:val="00573CB6"/>
    <w:rsid w:val="0057404B"/>
    <w:rsid w:val="005742ED"/>
    <w:rsid w:val="00574D27"/>
    <w:rsid w:val="005752B8"/>
    <w:rsid w:val="005758AD"/>
    <w:rsid w:val="0057663C"/>
    <w:rsid w:val="0057690D"/>
    <w:rsid w:val="00577038"/>
    <w:rsid w:val="0057759D"/>
    <w:rsid w:val="00577EDC"/>
    <w:rsid w:val="0058048F"/>
    <w:rsid w:val="00580C01"/>
    <w:rsid w:val="0058167B"/>
    <w:rsid w:val="005817DD"/>
    <w:rsid w:val="005818BB"/>
    <w:rsid w:val="00581F6C"/>
    <w:rsid w:val="0058232C"/>
    <w:rsid w:val="00582579"/>
    <w:rsid w:val="005826F0"/>
    <w:rsid w:val="00584329"/>
    <w:rsid w:val="00584587"/>
    <w:rsid w:val="005847A4"/>
    <w:rsid w:val="005847C3"/>
    <w:rsid w:val="00586DCE"/>
    <w:rsid w:val="00586E5B"/>
    <w:rsid w:val="00586EAA"/>
    <w:rsid w:val="005874F2"/>
    <w:rsid w:val="005875B6"/>
    <w:rsid w:val="005875BC"/>
    <w:rsid w:val="00590862"/>
    <w:rsid w:val="00590E35"/>
    <w:rsid w:val="00592010"/>
    <w:rsid w:val="00592660"/>
    <w:rsid w:val="0059289B"/>
    <w:rsid w:val="00592DC6"/>
    <w:rsid w:val="005930A1"/>
    <w:rsid w:val="00593405"/>
    <w:rsid w:val="00593576"/>
    <w:rsid w:val="00593E2A"/>
    <w:rsid w:val="005946F6"/>
    <w:rsid w:val="00594B51"/>
    <w:rsid w:val="00594ED3"/>
    <w:rsid w:val="00594F2D"/>
    <w:rsid w:val="005951A1"/>
    <w:rsid w:val="00595300"/>
    <w:rsid w:val="00595493"/>
    <w:rsid w:val="00595783"/>
    <w:rsid w:val="0059686D"/>
    <w:rsid w:val="005970E5"/>
    <w:rsid w:val="005A07D0"/>
    <w:rsid w:val="005A2862"/>
    <w:rsid w:val="005A2AB5"/>
    <w:rsid w:val="005A2FA9"/>
    <w:rsid w:val="005A3062"/>
    <w:rsid w:val="005A3083"/>
    <w:rsid w:val="005A36BA"/>
    <w:rsid w:val="005A40C8"/>
    <w:rsid w:val="005A4602"/>
    <w:rsid w:val="005A46BC"/>
    <w:rsid w:val="005A4CB0"/>
    <w:rsid w:val="005A4DDA"/>
    <w:rsid w:val="005A4FAA"/>
    <w:rsid w:val="005A5287"/>
    <w:rsid w:val="005A55B5"/>
    <w:rsid w:val="005A56E7"/>
    <w:rsid w:val="005A5B9A"/>
    <w:rsid w:val="005A5C5D"/>
    <w:rsid w:val="005A5EC6"/>
    <w:rsid w:val="005A6332"/>
    <w:rsid w:val="005A63BA"/>
    <w:rsid w:val="005A653C"/>
    <w:rsid w:val="005A663D"/>
    <w:rsid w:val="005A68AD"/>
    <w:rsid w:val="005A694F"/>
    <w:rsid w:val="005B01DB"/>
    <w:rsid w:val="005B043E"/>
    <w:rsid w:val="005B0A9D"/>
    <w:rsid w:val="005B0C3F"/>
    <w:rsid w:val="005B0F34"/>
    <w:rsid w:val="005B153D"/>
    <w:rsid w:val="005B19C0"/>
    <w:rsid w:val="005B1E7D"/>
    <w:rsid w:val="005B221D"/>
    <w:rsid w:val="005B2632"/>
    <w:rsid w:val="005B2638"/>
    <w:rsid w:val="005B31B7"/>
    <w:rsid w:val="005B3962"/>
    <w:rsid w:val="005B3AE5"/>
    <w:rsid w:val="005B463F"/>
    <w:rsid w:val="005B5CB3"/>
    <w:rsid w:val="005B6653"/>
    <w:rsid w:val="005B6FE4"/>
    <w:rsid w:val="005B769E"/>
    <w:rsid w:val="005C055B"/>
    <w:rsid w:val="005C061E"/>
    <w:rsid w:val="005C0BD8"/>
    <w:rsid w:val="005C1720"/>
    <w:rsid w:val="005C21BF"/>
    <w:rsid w:val="005C2E81"/>
    <w:rsid w:val="005C3D4D"/>
    <w:rsid w:val="005C4104"/>
    <w:rsid w:val="005C437A"/>
    <w:rsid w:val="005C4430"/>
    <w:rsid w:val="005C471B"/>
    <w:rsid w:val="005C4A30"/>
    <w:rsid w:val="005C5A0B"/>
    <w:rsid w:val="005C5EA6"/>
    <w:rsid w:val="005C682B"/>
    <w:rsid w:val="005C6863"/>
    <w:rsid w:val="005C7481"/>
    <w:rsid w:val="005C75C1"/>
    <w:rsid w:val="005C786A"/>
    <w:rsid w:val="005D117B"/>
    <w:rsid w:val="005D1669"/>
    <w:rsid w:val="005D1D06"/>
    <w:rsid w:val="005D29E7"/>
    <w:rsid w:val="005D3148"/>
    <w:rsid w:val="005D36EB"/>
    <w:rsid w:val="005D3CE9"/>
    <w:rsid w:val="005D4245"/>
    <w:rsid w:val="005D49CA"/>
    <w:rsid w:val="005D508E"/>
    <w:rsid w:val="005D509A"/>
    <w:rsid w:val="005D5C9E"/>
    <w:rsid w:val="005D5EFE"/>
    <w:rsid w:val="005D6DC0"/>
    <w:rsid w:val="005D7825"/>
    <w:rsid w:val="005D7BA5"/>
    <w:rsid w:val="005E0245"/>
    <w:rsid w:val="005E081F"/>
    <w:rsid w:val="005E0DD3"/>
    <w:rsid w:val="005E1066"/>
    <w:rsid w:val="005E112B"/>
    <w:rsid w:val="005E124F"/>
    <w:rsid w:val="005E144B"/>
    <w:rsid w:val="005E1EB0"/>
    <w:rsid w:val="005E3834"/>
    <w:rsid w:val="005E3E62"/>
    <w:rsid w:val="005E4427"/>
    <w:rsid w:val="005E477D"/>
    <w:rsid w:val="005E47AF"/>
    <w:rsid w:val="005E4BD9"/>
    <w:rsid w:val="005E54B9"/>
    <w:rsid w:val="005E5D39"/>
    <w:rsid w:val="005E5FE6"/>
    <w:rsid w:val="005E6E48"/>
    <w:rsid w:val="005E7120"/>
    <w:rsid w:val="005E7344"/>
    <w:rsid w:val="005E757A"/>
    <w:rsid w:val="005E7BE7"/>
    <w:rsid w:val="005F0235"/>
    <w:rsid w:val="005F15C2"/>
    <w:rsid w:val="005F2277"/>
    <w:rsid w:val="005F24C2"/>
    <w:rsid w:val="005F250B"/>
    <w:rsid w:val="005F28D7"/>
    <w:rsid w:val="005F3227"/>
    <w:rsid w:val="005F32C7"/>
    <w:rsid w:val="005F3388"/>
    <w:rsid w:val="005F364B"/>
    <w:rsid w:val="005F4663"/>
    <w:rsid w:val="005F4C8B"/>
    <w:rsid w:val="005F55B2"/>
    <w:rsid w:val="005F5627"/>
    <w:rsid w:val="005F6353"/>
    <w:rsid w:val="005F688E"/>
    <w:rsid w:val="005F69EF"/>
    <w:rsid w:val="005F6AAF"/>
    <w:rsid w:val="005F7335"/>
    <w:rsid w:val="005F760C"/>
    <w:rsid w:val="005F7943"/>
    <w:rsid w:val="005F7B36"/>
    <w:rsid w:val="005F7B69"/>
    <w:rsid w:val="00600802"/>
    <w:rsid w:val="00600E5B"/>
    <w:rsid w:val="006016F7"/>
    <w:rsid w:val="006028DB"/>
    <w:rsid w:val="00602C22"/>
    <w:rsid w:val="00602EFA"/>
    <w:rsid w:val="00603367"/>
    <w:rsid w:val="00603700"/>
    <w:rsid w:val="006038B6"/>
    <w:rsid w:val="00604639"/>
    <w:rsid w:val="0060565F"/>
    <w:rsid w:val="00605972"/>
    <w:rsid w:val="00605B5E"/>
    <w:rsid w:val="00605D3C"/>
    <w:rsid w:val="0060613E"/>
    <w:rsid w:val="0060623D"/>
    <w:rsid w:val="00606CA7"/>
    <w:rsid w:val="0060745A"/>
    <w:rsid w:val="00607508"/>
    <w:rsid w:val="00607C88"/>
    <w:rsid w:val="00607DD1"/>
    <w:rsid w:val="0061005D"/>
    <w:rsid w:val="00610372"/>
    <w:rsid w:val="006105BF"/>
    <w:rsid w:val="006106D9"/>
    <w:rsid w:val="006106E1"/>
    <w:rsid w:val="0061090E"/>
    <w:rsid w:val="00610A88"/>
    <w:rsid w:val="00611594"/>
    <w:rsid w:val="00611A63"/>
    <w:rsid w:val="006121FC"/>
    <w:rsid w:val="00612208"/>
    <w:rsid w:val="006129E0"/>
    <w:rsid w:val="00612EF7"/>
    <w:rsid w:val="006134E3"/>
    <w:rsid w:val="00613EDA"/>
    <w:rsid w:val="0061419A"/>
    <w:rsid w:val="006145A1"/>
    <w:rsid w:val="00614E3F"/>
    <w:rsid w:val="006158BC"/>
    <w:rsid w:val="00615A50"/>
    <w:rsid w:val="00616345"/>
    <w:rsid w:val="00616D82"/>
    <w:rsid w:val="00616E10"/>
    <w:rsid w:val="00620DBE"/>
    <w:rsid w:val="006210CB"/>
    <w:rsid w:val="006217B0"/>
    <w:rsid w:val="006217D6"/>
    <w:rsid w:val="0062188C"/>
    <w:rsid w:val="00621C77"/>
    <w:rsid w:val="00621D74"/>
    <w:rsid w:val="00621E86"/>
    <w:rsid w:val="00621FCA"/>
    <w:rsid w:val="006221A4"/>
    <w:rsid w:val="00622511"/>
    <w:rsid w:val="00622A0D"/>
    <w:rsid w:val="00623161"/>
    <w:rsid w:val="00623914"/>
    <w:rsid w:val="006243AD"/>
    <w:rsid w:val="006248C7"/>
    <w:rsid w:val="00624CC2"/>
    <w:rsid w:val="00624F8A"/>
    <w:rsid w:val="00625B98"/>
    <w:rsid w:val="0062631C"/>
    <w:rsid w:val="006264A8"/>
    <w:rsid w:val="00626A8A"/>
    <w:rsid w:val="00626EE4"/>
    <w:rsid w:val="006278AF"/>
    <w:rsid w:val="00627AC3"/>
    <w:rsid w:val="00627E46"/>
    <w:rsid w:val="00630772"/>
    <w:rsid w:val="00630A2E"/>
    <w:rsid w:val="00630B81"/>
    <w:rsid w:val="00630C48"/>
    <w:rsid w:val="00632368"/>
    <w:rsid w:val="006326A3"/>
    <w:rsid w:val="00632EBD"/>
    <w:rsid w:val="0063303D"/>
    <w:rsid w:val="00633292"/>
    <w:rsid w:val="0063420D"/>
    <w:rsid w:val="00635929"/>
    <w:rsid w:val="00636F48"/>
    <w:rsid w:val="0063704D"/>
    <w:rsid w:val="00637160"/>
    <w:rsid w:val="00637376"/>
    <w:rsid w:val="00637F2A"/>
    <w:rsid w:val="00640A1A"/>
    <w:rsid w:val="00640D11"/>
    <w:rsid w:val="00642921"/>
    <w:rsid w:val="00643550"/>
    <w:rsid w:val="00643E78"/>
    <w:rsid w:val="00643F52"/>
    <w:rsid w:val="006443C6"/>
    <w:rsid w:val="00644700"/>
    <w:rsid w:val="00644746"/>
    <w:rsid w:val="0064491D"/>
    <w:rsid w:val="00644F77"/>
    <w:rsid w:val="006451D6"/>
    <w:rsid w:val="00645523"/>
    <w:rsid w:val="00645B93"/>
    <w:rsid w:val="00646144"/>
    <w:rsid w:val="0065072E"/>
    <w:rsid w:val="0065090D"/>
    <w:rsid w:val="00651836"/>
    <w:rsid w:val="00654130"/>
    <w:rsid w:val="0065418A"/>
    <w:rsid w:val="00654EE9"/>
    <w:rsid w:val="0065516C"/>
    <w:rsid w:val="006554A6"/>
    <w:rsid w:val="00655689"/>
    <w:rsid w:val="00655DFF"/>
    <w:rsid w:val="00655E90"/>
    <w:rsid w:val="006562C3"/>
    <w:rsid w:val="006564C7"/>
    <w:rsid w:val="00656716"/>
    <w:rsid w:val="00656968"/>
    <w:rsid w:val="00656BB6"/>
    <w:rsid w:val="0065721B"/>
    <w:rsid w:val="0065780E"/>
    <w:rsid w:val="00657A21"/>
    <w:rsid w:val="00657D29"/>
    <w:rsid w:val="0066010E"/>
    <w:rsid w:val="006609F7"/>
    <w:rsid w:val="00660D3A"/>
    <w:rsid w:val="00661208"/>
    <w:rsid w:val="006615E7"/>
    <w:rsid w:val="00661AEC"/>
    <w:rsid w:val="00662237"/>
    <w:rsid w:val="00662286"/>
    <w:rsid w:val="00662FDF"/>
    <w:rsid w:val="00663552"/>
    <w:rsid w:val="0066418E"/>
    <w:rsid w:val="00664C5C"/>
    <w:rsid w:val="00666180"/>
    <w:rsid w:val="006669EE"/>
    <w:rsid w:val="006671C6"/>
    <w:rsid w:val="00667925"/>
    <w:rsid w:val="006679F3"/>
    <w:rsid w:val="00670AB1"/>
    <w:rsid w:val="00670D14"/>
    <w:rsid w:val="00670FBB"/>
    <w:rsid w:val="0067115C"/>
    <w:rsid w:val="0067169D"/>
    <w:rsid w:val="006717A3"/>
    <w:rsid w:val="00671A93"/>
    <w:rsid w:val="006721C6"/>
    <w:rsid w:val="006721CF"/>
    <w:rsid w:val="00672610"/>
    <w:rsid w:val="0067276D"/>
    <w:rsid w:val="0067324E"/>
    <w:rsid w:val="00673253"/>
    <w:rsid w:val="00673D92"/>
    <w:rsid w:val="006740D9"/>
    <w:rsid w:val="0067494F"/>
    <w:rsid w:val="00674EBD"/>
    <w:rsid w:val="00674F91"/>
    <w:rsid w:val="00675F6E"/>
    <w:rsid w:val="00676E45"/>
    <w:rsid w:val="00677623"/>
    <w:rsid w:val="006807AC"/>
    <w:rsid w:val="00680B20"/>
    <w:rsid w:val="006812A1"/>
    <w:rsid w:val="00681903"/>
    <w:rsid w:val="00681F32"/>
    <w:rsid w:val="00682227"/>
    <w:rsid w:val="00682441"/>
    <w:rsid w:val="00682964"/>
    <w:rsid w:val="006843A7"/>
    <w:rsid w:val="00684643"/>
    <w:rsid w:val="006849AA"/>
    <w:rsid w:val="00684FF2"/>
    <w:rsid w:val="006855F2"/>
    <w:rsid w:val="006874E1"/>
    <w:rsid w:val="006875D8"/>
    <w:rsid w:val="00687F71"/>
    <w:rsid w:val="00690407"/>
    <w:rsid w:val="00690586"/>
    <w:rsid w:val="00691AD3"/>
    <w:rsid w:val="00691D13"/>
    <w:rsid w:val="00692355"/>
    <w:rsid w:val="00692ECE"/>
    <w:rsid w:val="00692FAC"/>
    <w:rsid w:val="00693453"/>
    <w:rsid w:val="00693750"/>
    <w:rsid w:val="00693F14"/>
    <w:rsid w:val="0069512C"/>
    <w:rsid w:val="006960EE"/>
    <w:rsid w:val="006975FA"/>
    <w:rsid w:val="00697894"/>
    <w:rsid w:val="006A03D0"/>
    <w:rsid w:val="006A0F79"/>
    <w:rsid w:val="006A1D4F"/>
    <w:rsid w:val="006A23EE"/>
    <w:rsid w:val="006A247B"/>
    <w:rsid w:val="006A33CB"/>
    <w:rsid w:val="006A340A"/>
    <w:rsid w:val="006A40D0"/>
    <w:rsid w:val="006A46A5"/>
    <w:rsid w:val="006A5C77"/>
    <w:rsid w:val="006A5E01"/>
    <w:rsid w:val="006A60A4"/>
    <w:rsid w:val="006A6DBE"/>
    <w:rsid w:val="006A6E7D"/>
    <w:rsid w:val="006A736F"/>
    <w:rsid w:val="006A7604"/>
    <w:rsid w:val="006A7925"/>
    <w:rsid w:val="006B0096"/>
    <w:rsid w:val="006B0353"/>
    <w:rsid w:val="006B06AC"/>
    <w:rsid w:val="006B07F1"/>
    <w:rsid w:val="006B0F23"/>
    <w:rsid w:val="006B2233"/>
    <w:rsid w:val="006B2347"/>
    <w:rsid w:val="006B23AD"/>
    <w:rsid w:val="006B3B8F"/>
    <w:rsid w:val="006B52DF"/>
    <w:rsid w:val="006B6435"/>
    <w:rsid w:val="006B6670"/>
    <w:rsid w:val="006B6D57"/>
    <w:rsid w:val="006B6E2E"/>
    <w:rsid w:val="006B70DB"/>
    <w:rsid w:val="006B7997"/>
    <w:rsid w:val="006B79BD"/>
    <w:rsid w:val="006B7A2A"/>
    <w:rsid w:val="006C0766"/>
    <w:rsid w:val="006C10DB"/>
    <w:rsid w:val="006C15E5"/>
    <w:rsid w:val="006C1AB7"/>
    <w:rsid w:val="006C1C96"/>
    <w:rsid w:val="006C20CA"/>
    <w:rsid w:val="006C22EB"/>
    <w:rsid w:val="006C2319"/>
    <w:rsid w:val="006C25D4"/>
    <w:rsid w:val="006C318E"/>
    <w:rsid w:val="006C3395"/>
    <w:rsid w:val="006C4279"/>
    <w:rsid w:val="006C433D"/>
    <w:rsid w:val="006C49D6"/>
    <w:rsid w:val="006C4CF4"/>
    <w:rsid w:val="006C59FE"/>
    <w:rsid w:val="006C667B"/>
    <w:rsid w:val="006C69F7"/>
    <w:rsid w:val="006C706B"/>
    <w:rsid w:val="006C70EA"/>
    <w:rsid w:val="006C7B32"/>
    <w:rsid w:val="006D048B"/>
    <w:rsid w:val="006D053B"/>
    <w:rsid w:val="006D0745"/>
    <w:rsid w:val="006D0853"/>
    <w:rsid w:val="006D113A"/>
    <w:rsid w:val="006D13E4"/>
    <w:rsid w:val="006D14CD"/>
    <w:rsid w:val="006D20AF"/>
    <w:rsid w:val="006D229C"/>
    <w:rsid w:val="006D26A9"/>
    <w:rsid w:val="006D28AD"/>
    <w:rsid w:val="006D2CF2"/>
    <w:rsid w:val="006D2D37"/>
    <w:rsid w:val="006D3143"/>
    <w:rsid w:val="006D3182"/>
    <w:rsid w:val="006D3A01"/>
    <w:rsid w:val="006D3B1C"/>
    <w:rsid w:val="006D452B"/>
    <w:rsid w:val="006D46C4"/>
    <w:rsid w:val="006D4973"/>
    <w:rsid w:val="006D4BC8"/>
    <w:rsid w:val="006D5C88"/>
    <w:rsid w:val="006D5F11"/>
    <w:rsid w:val="006D5FCB"/>
    <w:rsid w:val="006D6B01"/>
    <w:rsid w:val="006D6CB8"/>
    <w:rsid w:val="006D7324"/>
    <w:rsid w:val="006D78E1"/>
    <w:rsid w:val="006E27E2"/>
    <w:rsid w:val="006E2AD8"/>
    <w:rsid w:val="006E3935"/>
    <w:rsid w:val="006E3E0C"/>
    <w:rsid w:val="006E4541"/>
    <w:rsid w:val="006E4A5E"/>
    <w:rsid w:val="006E5012"/>
    <w:rsid w:val="006E5035"/>
    <w:rsid w:val="006E55ED"/>
    <w:rsid w:val="006E5691"/>
    <w:rsid w:val="006E56C5"/>
    <w:rsid w:val="006E5DA5"/>
    <w:rsid w:val="006E5F8C"/>
    <w:rsid w:val="006E60AA"/>
    <w:rsid w:val="006E6A75"/>
    <w:rsid w:val="006E72F2"/>
    <w:rsid w:val="006E73A2"/>
    <w:rsid w:val="006F0A73"/>
    <w:rsid w:val="006F0CAB"/>
    <w:rsid w:val="006F0E2C"/>
    <w:rsid w:val="006F0EBD"/>
    <w:rsid w:val="006F0FB4"/>
    <w:rsid w:val="006F1022"/>
    <w:rsid w:val="006F1691"/>
    <w:rsid w:val="006F1FF5"/>
    <w:rsid w:val="006F2CAE"/>
    <w:rsid w:val="006F2F39"/>
    <w:rsid w:val="006F4C18"/>
    <w:rsid w:val="006F4D21"/>
    <w:rsid w:val="006F4E6F"/>
    <w:rsid w:val="006F4F4D"/>
    <w:rsid w:val="006F5124"/>
    <w:rsid w:val="006F585C"/>
    <w:rsid w:val="006F5CAE"/>
    <w:rsid w:val="006F63C8"/>
    <w:rsid w:val="006F6FDE"/>
    <w:rsid w:val="006F753C"/>
    <w:rsid w:val="006F793B"/>
    <w:rsid w:val="006F7F05"/>
    <w:rsid w:val="007010BE"/>
    <w:rsid w:val="00701760"/>
    <w:rsid w:val="007019FD"/>
    <w:rsid w:val="00701DC2"/>
    <w:rsid w:val="00701DFE"/>
    <w:rsid w:val="00702179"/>
    <w:rsid w:val="007022CF"/>
    <w:rsid w:val="00702459"/>
    <w:rsid w:val="00702FA0"/>
    <w:rsid w:val="00703623"/>
    <w:rsid w:val="00703B19"/>
    <w:rsid w:val="00703D09"/>
    <w:rsid w:val="00703D70"/>
    <w:rsid w:val="007050CD"/>
    <w:rsid w:val="00705F77"/>
    <w:rsid w:val="00706BB9"/>
    <w:rsid w:val="00707261"/>
    <w:rsid w:val="00707616"/>
    <w:rsid w:val="00707E49"/>
    <w:rsid w:val="00707E78"/>
    <w:rsid w:val="007100D9"/>
    <w:rsid w:val="00710108"/>
    <w:rsid w:val="0071065E"/>
    <w:rsid w:val="0071100C"/>
    <w:rsid w:val="00711B4F"/>
    <w:rsid w:val="00711BA2"/>
    <w:rsid w:val="00711D6C"/>
    <w:rsid w:val="0071243E"/>
    <w:rsid w:val="0071258D"/>
    <w:rsid w:val="00713171"/>
    <w:rsid w:val="00713284"/>
    <w:rsid w:val="0071439C"/>
    <w:rsid w:val="0071528F"/>
    <w:rsid w:val="00715C0F"/>
    <w:rsid w:val="007168E8"/>
    <w:rsid w:val="0071698D"/>
    <w:rsid w:val="00716EB2"/>
    <w:rsid w:val="00717709"/>
    <w:rsid w:val="0071778B"/>
    <w:rsid w:val="007201F8"/>
    <w:rsid w:val="00720686"/>
    <w:rsid w:val="00720B6C"/>
    <w:rsid w:val="00720FBA"/>
    <w:rsid w:val="00723B5E"/>
    <w:rsid w:val="00723BB3"/>
    <w:rsid w:val="00724308"/>
    <w:rsid w:val="0072501D"/>
    <w:rsid w:val="00725036"/>
    <w:rsid w:val="0072595A"/>
    <w:rsid w:val="00725E7F"/>
    <w:rsid w:val="00726421"/>
    <w:rsid w:val="00726E96"/>
    <w:rsid w:val="007304C4"/>
    <w:rsid w:val="007316CD"/>
    <w:rsid w:val="00732467"/>
    <w:rsid w:val="00732D5E"/>
    <w:rsid w:val="00732F19"/>
    <w:rsid w:val="007333A5"/>
    <w:rsid w:val="00733417"/>
    <w:rsid w:val="00733B73"/>
    <w:rsid w:val="00733DE3"/>
    <w:rsid w:val="00733E2D"/>
    <w:rsid w:val="00734D27"/>
    <w:rsid w:val="00734EBE"/>
    <w:rsid w:val="007351D8"/>
    <w:rsid w:val="00735F1D"/>
    <w:rsid w:val="00736EB3"/>
    <w:rsid w:val="00736EF4"/>
    <w:rsid w:val="007370EF"/>
    <w:rsid w:val="007371E7"/>
    <w:rsid w:val="007373D9"/>
    <w:rsid w:val="00737652"/>
    <w:rsid w:val="00737963"/>
    <w:rsid w:val="00737B3B"/>
    <w:rsid w:val="00740493"/>
    <w:rsid w:val="00740700"/>
    <w:rsid w:val="00740CB0"/>
    <w:rsid w:val="00741B5C"/>
    <w:rsid w:val="00741ED9"/>
    <w:rsid w:val="0074256D"/>
    <w:rsid w:val="0074264B"/>
    <w:rsid w:val="00742A89"/>
    <w:rsid w:val="0074470A"/>
    <w:rsid w:val="00744B21"/>
    <w:rsid w:val="00744F6C"/>
    <w:rsid w:val="00745136"/>
    <w:rsid w:val="00745175"/>
    <w:rsid w:val="00745725"/>
    <w:rsid w:val="007458B2"/>
    <w:rsid w:val="00745925"/>
    <w:rsid w:val="00746314"/>
    <w:rsid w:val="0074673C"/>
    <w:rsid w:val="00746979"/>
    <w:rsid w:val="00747042"/>
    <w:rsid w:val="0074731D"/>
    <w:rsid w:val="00747863"/>
    <w:rsid w:val="00747C0C"/>
    <w:rsid w:val="00750B60"/>
    <w:rsid w:val="0075164F"/>
    <w:rsid w:val="007522D2"/>
    <w:rsid w:val="007523A9"/>
    <w:rsid w:val="00752A5F"/>
    <w:rsid w:val="007538CC"/>
    <w:rsid w:val="007539C4"/>
    <w:rsid w:val="007543BA"/>
    <w:rsid w:val="007547E4"/>
    <w:rsid w:val="0075497B"/>
    <w:rsid w:val="00754C0B"/>
    <w:rsid w:val="00755618"/>
    <w:rsid w:val="00755A7D"/>
    <w:rsid w:val="00755D42"/>
    <w:rsid w:val="00756437"/>
    <w:rsid w:val="00756636"/>
    <w:rsid w:val="00757F34"/>
    <w:rsid w:val="007609FD"/>
    <w:rsid w:val="00760E95"/>
    <w:rsid w:val="00762647"/>
    <w:rsid w:val="00762795"/>
    <w:rsid w:val="00762827"/>
    <w:rsid w:val="00762B8E"/>
    <w:rsid w:val="00764091"/>
    <w:rsid w:val="00764BC5"/>
    <w:rsid w:val="00764FD5"/>
    <w:rsid w:val="00765737"/>
    <w:rsid w:val="0076624E"/>
    <w:rsid w:val="00766298"/>
    <w:rsid w:val="00766A3F"/>
    <w:rsid w:val="00766C82"/>
    <w:rsid w:val="007678C1"/>
    <w:rsid w:val="00770276"/>
    <w:rsid w:val="007708E8"/>
    <w:rsid w:val="007721AC"/>
    <w:rsid w:val="00772222"/>
    <w:rsid w:val="00772DEB"/>
    <w:rsid w:val="0077338B"/>
    <w:rsid w:val="00773679"/>
    <w:rsid w:val="00773871"/>
    <w:rsid w:val="007745F5"/>
    <w:rsid w:val="00774870"/>
    <w:rsid w:val="00774B23"/>
    <w:rsid w:val="00774E83"/>
    <w:rsid w:val="00775129"/>
    <w:rsid w:val="00775309"/>
    <w:rsid w:val="0077582B"/>
    <w:rsid w:val="00775994"/>
    <w:rsid w:val="0077628A"/>
    <w:rsid w:val="00776493"/>
    <w:rsid w:val="007770A1"/>
    <w:rsid w:val="007770FE"/>
    <w:rsid w:val="0077734C"/>
    <w:rsid w:val="00777654"/>
    <w:rsid w:val="007803B3"/>
    <w:rsid w:val="007811DF"/>
    <w:rsid w:val="007824A1"/>
    <w:rsid w:val="00784D00"/>
    <w:rsid w:val="007854F7"/>
    <w:rsid w:val="00785BAA"/>
    <w:rsid w:val="00785E21"/>
    <w:rsid w:val="0078616E"/>
    <w:rsid w:val="00786C4D"/>
    <w:rsid w:val="00787002"/>
    <w:rsid w:val="00787203"/>
    <w:rsid w:val="00787389"/>
    <w:rsid w:val="00787F47"/>
    <w:rsid w:val="0079093F"/>
    <w:rsid w:val="007920CC"/>
    <w:rsid w:val="00793B13"/>
    <w:rsid w:val="00794128"/>
    <w:rsid w:val="0079490F"/>
    <w:rsid w:val="00795864"/>
    <w:rsid w:val="00795CA3"/>
    <w:rsid w:val="00795EBC"/>
    <w:rsid w:val="007961FA"/>
    <w:rsid w:val="00796AE2"/>
    <w:rsid w:val="00796FCC"/>
    <w:rsid w:val="00797F11"/>
    <w:rsid w:val="007A03F3"/>
    <w:rsid w:val="007A05FF"/>
    <w:rsid w:val="007A0D34"/>
    <w:rsid w:val="007A2C87"/>
    <w:rsid w:val="007A3208"/>
    <w:rsid w:val="007A384A"/>
    <w:rsid w:val="007A434C"/>
    <w:rsid w:val="007A4403"/>
    <w:rsid w:val="007A4B52"/>
    <w:rsid w:val="007A4F62"/>
    <w:rsid w:val="007A5A30"/>
    <w:rsid w:val="007A5FCE"/>
    <w:rsid w:val="007A6A72"/>
    <w:rsid w:val="007A70DF"/>
    <w:rsid w:val="007A71C8"/>
    <w:rsid w:val="007A7230"/>
    <w:rsid w:val="007A7575"/>
    <w:rsid w:val="007A7B30"/>
    <w:rsid w:val="007A7BFE"/>
    <w:rsid w:val="007A7C5A"/>
    <w:rsid w:val="007B02EC"/>
    <w:rsid w:val="007B06B0"/>
    <w:rsid w:val="007B07BD"/>
    <w:rsid w:val="007B281B"/>
    <w:rsid w:val="007B2A6E"/>
    <w:rsid w:val="007B2E45"/>
    <w:rsid w:val="007B32DC"/>
    <w:rsid w:val="007B3B66"/>
    <w:rsid w:val="007B3F9C"/>
    <w:rsid w:val="007B459E"/>
    <w:rsid w:val="007B4AFD"/>
    <w:rsid w:val="007B5040"/>
    <w:rsid w:val="007B58A0"/>
    <w:rsid w:val="007B7015"/>
    <w:rsid w:val="007B7391"/>
    <w:rsid w:val="007B7598"/>
    <w:rsid w:val="007B7665"/>
    <w:rsid w:val="007C120C"/>
    <w:rsid w:val="007C1C83"/>
    <w:rsid w:val="007C26B0"/>
    <w:rsid w:val="007C28E0"/>
    <w:rsid w:val="007C2C17"/>
    <w:rsid w:val="007C2DC5"/>
    <w:rsid w:val="007C315C"/>
    <w:rsid w:val="007C6B54"/>
    <w:rsid w:val="007C71FF"/>
    <w:rsid w:val="007C72B6"/>
    <w:rsid w:val="007C7559"/>
    <w:rsid w:val="007C7EF0"/>
    <w:rsid w:val="007D0E89"/>
    <w:rsid w:val="007D1A81"/>
    <w:rsid w:val="007D1AC6"/>
    <w:rsid w:val="007D228B"/>
    <w:rsid w:val="007D267E"/>
    <w:rsid w:val="007D2C1C"/>
    <w:rsid w:val="007D2E57"/>
    <w:rsid w:val="007D309E"/>
    <w:rsid w:val="007D35F0"/>
    <w:rsid w:val="007D35FB"/>
    <w:rsid w:val="007D413F"/>
    <w:rsid w:val="007D5199"/>
    <w:rsid w:val="007D51FD"/>
    <w:rsid w:val="007D57B8"/>
    <w:rsid w:val="007D5AF3"/>
    <w:rsid w:val="007D64B0"/>
    <w:rsid w:val="007D681C"/>
    <w:rsid w:val="007D74AD"/>
    <w:rsid w:val="007D76F9"/>
    <w:rsid w:val="007D7831"/>
    <w:rsid w:val="007E0165"/>
    <w:rsid w:val="007E0B3A"/>
    <w:rsid w:val="007E0CA7"/>
    <w:rsid w:val="007E0CC6"/>
    <w:rsid w:val="007E12F4"/>
    <w:rsid w:val="007E1454"/>
    <w:rsid w:val="007E1FE9"/>
    <w:rsid w:val="007E2610"/>
    <w:rsid w:val="007E271A"/>
    <w:rsid w:val="007E2850"/>
    <w:rsid w:val="007E2885"/>
    <w:rsid w:val="007E2DC9"/>
    <w:rsid w:val="007E40DD"/>
    <w:rsid w:val="007E44AA"/>
    <w:rsid w:val="007E450B"/>
    <w:rsid w:val="007E479A"/>
    <w:rsid w:val="007E4AE9"/>
    <w:rsid w:val="007E547E"/>
    <w:rsid w:val="007E5B20"/>
    <w:rsid w:val="007E6363"/>
    <w:rsid w:val="007E727E"/>
    <w:rsid w:val="007E769B"/>
    <w:rsid w:val="007F040D"/>
    <w:rsid w:val="007F0ECA"/>
    <w:rsid w:val="007F1123"/>
    <w:rsid w:val="007F24FE"/>
    <w:rsid w:val="007F2B7C"/>
    <w:rsid w:val="007F2F61"/>
    <w:rsid w:val="007F3102"/>
    <w:rsid w:val="007F3402"/>
    <w:rsid w:val="007F3541"/>
    <w:rsid w:val="007F3AD3"/>
    <w:rsid w:val="007F3CE6"/>
    <w:rsid w:val="007F4307"/>
    <w:rsid w:val="007F480D"/>
    <w:rsid w:val="007F489D"/>
    <w:rsid w:val="007F4FF5"/>
    <w:rsid w:val="007F6230"/>
    <w:rsid w:val="007F677A"/>
    <w:rsid w:val="007F67C0"/>
    <w:rsid w:val="007F6F4D"/>
    <w:rsid w:val="008000A5"/>
    <w:rsid w:val="00800EAD"/>
    <w:rsid w:val="008012C9"/>
    <w:rsid w:val="008019A7"/>
    <w:rsid w:val="0080249B"/>
    <w:rsid w:val="00802A6E"/>
    <w:rsid w:val="008033FF"/>
    <w:rsid w:val="008034CF"/>
    <w:rsid w:val="00803627"/>
    <w:rsid w:val="008044E8"/>
    <w:rsid w:val="00804B41"/>
    <w:rsid w:val="008066C3"/>
    <w:rsid w:val="00806BF0"/>
    <w:rsid w:val="00807742"/>
    <w:rsid w:val="00807DBD"/>
    <w:rsid w:val="008107B8"/>
    <w:rsid w:val="00810C71"/>
    <w:rsid w:val="00811649"/>
    <w:rsid w:val="008122B9"/>
    <w:rsid w:val="00812E0D"/>
    <w:rsid w:val="00813193"/>
    <w:rsid w:val="00813640"/>
    <w:rsid w:val="00813C23"/>
    <w:rsid w:val="00813C66"/>
    <w:rsid w:val="00813D01"/>
    <w:rsid w:val="00814EE3"/>
    <w:rsid w:val="00815467"/>
    <w:rsid w:val="00815DC7"/>
    <w:rsid w:val="008163F9"/>
    <w:rsid w:val="0081650D"/>
    <w:rsid w:val="00816623"/>
    <w:rsid w:val="00816AB6"/>
    <w:rsid w:val="0081708B"/>
    <w:rsid w:val="00817C15"/>
    <w:rsid w:val="00820C7F"/>
    <w:rsid w:val="00820D56"/>
    <w:rsid w:val="00820DF5"/>
    <w:rsid w:val="0082183B"/>
    <w:rsid w:val="00821A39"/>
    <w:rsid w:val="00821A55"/>
    <w:rsid w:val="00821DCB"/>
    <w:rsid w:val="00821F23"/>
    <w:rsid w:val="00822495"/>
    <w:rsid w:val="00822B89"/>
    <w:rsid w:val="00822CEF"/>
    <w:rsid w:val="0082302A"/>
    <w:rsid w:val="00823261"/>
    <w:rsid w:val="0082360A"/>
    <w:rsid w:val="008246B2"/>
    <w:rsid w:val="008251CB"/>
    <w:rsid w:val="00825307"/>
    <w:rsid w:val="00825B93"/>
    <w:rsid w:val="00825EE5"/>
    <w:rsid w:val="00826ADA"/>
    <w:rsid w:val="00827018"/>
    <w:rsid w:val="00827CEF"/>
    <w:rsid w:val="00827D6B"/>
    <w:rsid w:val="00827D71"/>
    <w:rsid w:val="008306A9"/>
    <w:rsid w:val="0083096E"/>
    <w:rsid w:val="00830FED"/>
    <w:rsid w:val="00831444"/>
    <w:rsid w:val="0083265B"/>
    <w:rsid w:val="00832CAD"/>
    <w:rsid w:val="008337B4"/>
    <w:rsid w:val="0083405D"/>
    <w:rsid w:val="00834158"/>
    <w:rsid w:val="00834363"/>
    <w:rsid w:val="00834548"/>
    <w:rsid w:val="00834B5E"/>
    <w:rsid w:val="00834E44"/>
    <w:rsid w:val="008356AD"/>
    <w:rsid w:val="008358F0"/>
    <w:rsid w:val="0083592A"/>
    <w:rsid w:val="00835D07"/>
    <w:rsid w:val="0083600B"/>
    <w:rsid w:val="008364DF"/>
    <w:rsid w:val="00836AD0"/>
    <w:rsid w:val="00837AB4"/>
    <w:rsid w:val="00837E5E"/>
    <w:rsid w:val="00840A65"/>
    <w:rsid w:val="00840F35"/>
    <w:rsid w:val="00841412"/>
    <w:rsid w:val="008419FE"/>
    <w:rsid w:val="00842090"/>
    <w:rsid w:val="008420FE"/>
    <w:rsid w:val="008421B3"/>
    <w:rsid w:val="00842E13"/>
    <w:rsid w:val="00844827"/>
    <w:rsid w:val="00844B69"/>
    <w:rsid w:val="00844CF5"/>
    <w:rsid w:val="00845B12"/>
    <w:rsid w:val="0084638B"/>
    <w:rsid w:val="0084723E"/>
    <w:rsid w:val="008472C8"/>
    <w:rsid w:val="00847BCB"/>
    <w:rsid w:val="00847D55"/>
    <w:rsid w:val="00850ECD"/>
    <w:rsid w:val="00850ED9"/>
    <w:rsid w:val="0085101D"/>
    <w:rsid w:val="008531D5"/>
    <w:rsid w:val="00854383"/>
    <w:rsid w:val="00854581"/>
    <w:rsid w:val="00854757"/>
    <w:rsid w:val="00854F3D"/>
    <w:rsid w:val="0085538B"/>
    <w:rsid w:val="008554D1"/>
    <w:rsid w:val="00855A3E"/>
    <w:rsid w:val="00855B93"/>
    <w:rsid w:val="00855B9F"/>
    <w:rsid w:val="00855C59"/>
    <w:rsid w:val="00855ED9"/>
    <w:rsid w:val="00856166"/>
    <w:rsid w:val="008568EF"/>
    <w:rsid w:val="00857F29"/>
    <w:rsid w:val="00862277"/>
    <w:rsid w:val="008624AC"/>
    <w:rsid w:val="00862FCD"/>
    <w:rsid w:val="00864514"/>
    <w:rsid w:val="00864E09"/>
    <w:rsid w:val="0086500A"/>
    <w:rsid w:val="00865567"/>
    <w:rsid w:val="008658BA"/>
    <w:rsid w:val="008660D3"/>
    <w:rsid w:val="008664FD"/>
    <w:rsid w:val="008666FC"/>
    <w:rsid w:val="008668E2"/>
    <w:rsid w:val="00867050"/>
    <w:rsid w:val="00867A91"/>
    <w:rsid w:val="00867B10"/>
    <w:rsid w:val="0087000C"/>
    <w:rsid w:val="0087059C"/>
    <w:rsid w:val="0087077C"/>
    <w:rsid w:val="0087138D"/>
    <w:rsid w:val="00871513"/>
    <w:rsid w:val="00873046"/>
    <w:rsid w:val="008735AA"/>
    <w:rsid w:val="00874749"/>
    <w:rsid w:val="0087477D"/>
    <w:rsid w:val="008755D7"/>
    <w:rsid w:val="008779AA"/>
    <w:rsid w:val="00877A85"/>
    <w:rsid w:val="00880B06"/>
    <w:rsid w:val="00881417"/>
    <w:rsid w:val="008819A6"/>
    <w:rsid w:val="00881EC8"/>
    <w:rsid w:val="00881F8D"/>
    <w:rsid w:val="0088202C"/>
    <w:rsid w:val="008820AB"/>
    <w:rsid w:val="008823EB"/>
    <w:rsid w:val="00882C37"/>
    <w:rsid w:val="008835ED"/>
    <w:rsid w:val="008837A3"/>
    <w:rsid w:val="008842BB"/>
    <w:rsid w:val="00884DBB"/>
    <w:rsid w:val="008853EC"/>
    <w:rsid w:val="0088544E"/>
    <w:rsid w:val="00885B42"/>
    <w:rsid w:val="008870F1"/>
    <w:rsid w:val="0088710D"/>
    <w:rsid w:val="00887A91"/>
    <w:rsid w:val="00887F66"/>
    <w:rsid w:val="00890BE9"/>
    <w:rsid w:val="00890E56"/>
    <w:rsid w:val="00890FE4"/>
    <w:rsid w:val="008916B7"/>
    <w:rsid w:val="00891A14"/>
    <w:rsid w:val="00891C6D"/>
    <w:rsid w:val="00892A4A"/>
    <w:rsid w:val="00894318"/>
    <w:rsid w:val="00894363"/>
    <w:rsid w:val="00894489"/>
    <w:rsid w:val="00894AC8"/>
    <w:rsid w:val="00894AD4"/>
    <w:rsid w:val="00895365"/>
    <w:rsid w:val="00896161"/>
    <w:rsid w:val="008966A7"/>
    <w:rsid w:val="00896F20"/>
    <w:rsid w:val="008973F8"/>
    <w:rsid w:val="008975F3"/>
    <w:rsid w:val="00897F0C"/>
    <w:rsid w:val="008A0646"/>
    <w:rsid w:val="008A08F2"/>
    <w:rsid w:val="008A0D60"/>
    <w:rsid w:val="008A1071"/>
    <w:rsid w:val="008A1150"/>
    <w:rsid w:val="008A1484"/>
    <w:rsid w:val="008A1640"/>
    <w:rsid w:val="008A166C"/>
    <w:rsid w:val="008A1914"/>
    <w:rsid w:val="008A2636"/>
    <w:rsid w:val="008A30F5"/>
    <w:rsid w:val="008A36C5"/>
    <w:rsid w:val="008A377E"/>
    <w:rsid w:val="008A3ADB"/>
    <w:rsid w:val="008A3B60"/>
    <w:rsid w:val="008A3C11"/>
    <w:rsid w:val="008A59D0"/>
    <w:rsid w:val="008A5F97"/>
    <w:rsid w:val="008A6EF4"/>
    <w:rsid w:val="008A7621"/>
    <w:rsid w:val="008A7836"/>
    <w:rsid w:val="008A785B"/>
    <w:rsid w:val="008A7C5E"/>
    <w:rsid w:val="008B00FB"/>
    <w:rsid w:val="008B0AF6"/>
    <w:rsid w:val="008B0D3C"/>
    <w:rsid w:val="008B0D49"/>
    <w:rsid w:val="008B1677"/>
    <w:rsid w:val="008B1BDC"/>
    <w:rsid w:val="008B1D37"/>
    <w:rsid w:val="008B20CF"/>
    <w:rsid w:val="008B2AEA"/>
    <w:rsid w:val="008B2C40"/>
    <w:rsid w:val="008B3228"/>
    <w:rsid w:val="008B3A6F"/>
    <w:rsid w:val="008B3A99"/>
    <w:rsid w:val="008B3D20"/>
    <w:rsid w:val="008B4592"/>
    <w:rsid w:val="008B4C4D"/>
    <w:rsid w:val="008B5473"/>
    <w:rsid w:val="008B5BFB"/>
    <w:rsid w:val="008B5E1A"/>
    <w:rsid w:val="008B660B"/>
    <w:rsid w:val="008B7407"/>
    <w:rsid w:val="008B7FD8"/>
    <w:rsid w:val="008C16AA"/>
    <w:rsid w:val="008C2069"/>
    <w:rsid w:val="008C448C"/>
    <w:rsid w:val="008C4B70"/>
    <w:rsid w:val="008C5D72"/>
    <w:rsid w:val="008C5EFD"/>
    <w:rsid w:val="008C6D92"/>
    <w:rsid w:val="008C7989"/>
    <w:rsid w:val="008D0E19"/>
    <w:rsid w:val="008D1AF8"/>
    <w:rsid w:val="008D2885"/>
    <w:rsid w:val="008D317F"/>
    <w:rsid w:val="008D3E08"/>
    <w:rsid w:val="008D3F8D"/>
    <w:rsid w:val="008D4B89"/>
    <w:rsid w:val="008D59F0"/>
    <w:rsid w:val="008D5A48"/>
    <w:rsid w:val="008D62A2"/>
    <w:rsid w:val="008D6E31"/>
    <w:rsid w:val="008D717B"/>
    <w:rsid w:val="008D72C9"/>
    <w:rsid w:val="008D7CD5"/>
    <w:rsid w:val="008E0D7A"/>
    <w:rsid w:val="008E17F9"/>
    <w:rsid w:val="008E34B3"/>
    <w:rsid w:val="008E3807"/>
    <w:rsid w:val="008E381F"/>
    <w:rsid w:val="008E3C59"/>
    <w:rsid w:val="008E3E2E"/>
    <w:rsid w:val="008E52DC"/>
    <w:rsid w:val="008E6034"/>
    <w:rsid w:val="008E6384"/>
    <w:rsid w:val="008E6CEE"/>
    <w:rsid w:val="008E701B"/>
    <w:rsid w:val="008E7176"/>
    <w:rsid w:val="008E72F7"/>
    <w:rsid w:val="008E745B"/>
    <w:rsid w:val="008E75B8"/>
    <w:rsid w:val="008E781F"/>
    <w:rsid w:val="008F0526"/>
    <w:rsid w:val="008F0829"/>
    <w:rsid w:val="008F1EBD"/>
    <w:rsid w:val="008F2320"/>
    <w:rsid w:val="008F2443"/>
    <w:rsid w:val="008F3C3E"/>
    <w:rsid w:val="008F4068"/>
    <w:rsid w:val="008F4872"/>
    <w:rsid w:val="008F5294"/>
    <w:rsid w:val="008F561C"/>
    <w:rsid w:val="008F5830"/>
    <w:rsid w:val="008F5D3B"/>
    <w:rsid w:val="008F6613"/>
    <w:rsid w:val="008F7558"/>
    <w:rsid w:val="008F7E93"/>
    <w:rsid w:val="00900DC1"/>
    <w:rsid w:val="0090139A"/>
    <w:rsid w:val="00901E1F"/>
    <w:rsid w:val="009025DD"/>
    <w:rsid w:val="009028D3"/>
    <w:rsid w:val="00902FC6"/>
    <w:rsid w:val="00903D02"/>
    <w:rsid w:val="00903EE7"/>
    <w:rsid w:val="00904E78"/>
    <w:rsid w:val="0090502D"/>
    <w:rsid w:val="009054AD"/>
    <w:rsid w:val="009059AF"/>
    <w:rsid w:val="00905F1A"/>
    <w:rsid w:val="009070E7"/>
    <w:rsid w:val="0090782F"/>
    <w:rsid w:val="00911F36"/>
    <w:rsid w:val="00911F48"/>
    <w:rsid w:val="00912719"/>
    <w:rsid w:val="009129DA"/>
    <w:rsid w:val="00913279"/>
    <w:rsid w:val="0091389B"/>
    <w:rsid w:val="00914340"/>
    <w:rsid w:val="00914C07"/>
    <w:rsid w:val="00915B76"/>
    <w:rsid w:val="00915EDB"/>
    <w:rsid w:val="00915EE4"/>
    <w:rsid w:val="00915F38"/>
    <w:rsid w:val="0091669E"/>
    <w:rsid w:val="009167B4"/>
    <w:rsid w:val="0091681B"/>
    <w:rsid w:val="00916A29"/>
    <w:rsid w:val="00916F23"/>
    <w:rsid w:val="00917111"/>
    <w:rsid w:val="00917707"/>
    <w:rsid w:val="00917E3C"/>
    <w:rsid w:val="00921797"/>
    <w:rsid w:val="00921AD5"/>
    <w:rsid w:val="00921BAB"/>
    <w:rsid w:val="00921F7E"/>
    <w:rsid w:val="00922DC2"/>
    <w:rsid w:val="00923844"/>
    <w:rsid w:val="00923CA2"/>
    <w:rsid w:val="0092411E"/>
    <w:rsid w:val="00925527"/>
    <w:rsid w:val="00925618"/>
    <w:rsid w:val="00925E3D"/>
    <w:rsid w:val="0092655E"/>
    <w:rsid w:val="00926995"/>
    <w:rsid w:val="00927324"/>
    <w:rsid w:val="00927505"/>
    <w:rsid w:val="00927CD2"/>
    <w:rsid w:val="00930272"/>
    <w:rsid w:val="00930CDC"/>
    <w:rsid w:val="009311A0"/>
    <w:rsid w:val="00931F74"/>
    <w:rsid w:val="00932401"/>
    <w:rsid w:val="009328E8"/>
    <w:rsid w:val="009330AC"/>
    <w:rsid w:val="00933211"/>
    <w:rsid w:val="00934844"/>
    <w:rsid w:val="009348EE"/>
    <w:rsid w:val="00935ACB"/>
    <w:rsid w:val="00935AE9"/>
    <w:rsid w:val="00935C52"/>
    <w:rsid w:val="00936E47"/>
    <w:rsid w:val="0093700B"/>
    <w:rsid w:val="009410B9"/>
    <w:rsid w:val="00941527"/>
    <w:rsid w:val="009416D0"/>
    <w:rsid w:val="00941A4A"/>
    <w:rsid w:val="00941C60"/>
    <w:rsid w:val="009439D2"/>
    <w:rsid w:val="00943BF9"/>
    <w:rsid w:val="00943FDB"/>
    <w:rsid w:val="0094483D"/>
    <w:rsid w:val="009452C8"/>
    <w:rsid w:val="0094593C"/>
    <w:rsid w:val="00945C05"/>
    <w:rsid w:val="0094603B"/>
    <w:rsid w:val="00946541"/>
    <w:rsid w:val="009465CE"/>
    <w:rsid w:val="00946B71"/>
    <w:rsid w:val="009472BE"/>
    <w:rsid w:val="009473B0"/>
    <w:rsid w:val="00950045"/>
    <w:rsid w:val="00950185"/>
    <w:rsid w:val="0095118F"/>
    <w:rsid w:val="00951C83"/>
    <w:rsid w:val="00952883"/>
    <w:rsid w:val="00952DBD"/>
    <w:rsid w:val="009548FC"/>
    <w:rsid w:val="00954A6B"/>
    <w:rsid w:val="00954D9B"/>
    <w:rsid w:val="0095501E"/>
    <w:rsid w:val="009550AE"/>
    <w:rsid w:val="00955174"/>
    <w:rsid w:val="009555D9"/>
    <w:rsid w:val="00955D65"/>
    <w:rsid w:val="00956298"/>
    <w:rsid w:val="009562B8"/>
    <w:rsid w:val="00956561"/>
    <w:rsid w:val="009568C6"/>
    <w:rsid w:val="00957346"/>
    <w:rsid w:val="009575CB"/>
    <w:rsid w:val="00957AFF"/>
    <w:rsid w:val="00957D5E"/>
    <w:rsid w:val="00957F38"/>
    <w:rsid w:val="009608B1"/>
    <w:rsid w:val="00960B34"/>
    <w:rsid w:val="00961024"/>
    <w:rsid w:val="009618C9"/>
    <w:rsid w:val="00961C37"/>
    <w:rsid w:val="00962AC5"/>
    <w:rsid w:val="00962DA3"/>
    <w:rsid w:val="00963352"/>
    <w:rsid w:val="00963EAA"/>
    <w:rsid w:val="009643D4"/>
    <w:rsid w:val="00964469"/>
    <w:rsid w:val="009650F4"/>
    <w:rsid w:val="009654F2"/>
    <w:rsid w:val="0096606C"/>
    <w:rsid w:val="0096664A"/>
    <w:rsid w:val="009666BA"/>
    <w:rsid w:val="009678B5"/>
    <w:rsid w:val="00967BD0"/>
    <w:rsid w:val="00973553"/>
    <w:rsid w:val="0097359B"/>
    <w:rsid w:val="009745C0"/>
    <w:rsid w:val="009747C9"/>
    <w:rsid w:val="009748B2"/>
    <w:rsid w:val="00974A7D"/>
    <w:rsid w:val="00974C01"/>
    <w:rsid w:val="00974F11"/>
    <w:rsid w:val="009764F0"/>
    <w:rsid w:val="00976E6B"/>
    <w:rsid w:val="00976F2C"/>
    <w:rsid w:val="0098061A"/>
    <w:rsid w:val="00980AE7"/>
    <w:rsid w:val="00980FDB"/>
    <w:rsid w:val="009820A6"/>
    <w:rsid w:val="0098235E"/>
    <w:rsid w:val="009825C6"/>
    <w:rsid w:val="00982887"/>
    <w:rsid w:val="00984C55"/>
    <w:rsid w:val="009858F3"/>
    <w:rsid w:val="00986562"/>
    <w:rsid w:val="00986C75"/>
    <w:rsid w:val="00986C81"/>
    <w:rsid w:val="009871DA"/>
    <w:rsid w:val="0098737F"/>
    <w:rsid w:val="00987425"/>
    <w:rsid w:val="00987DE6"/>
    <w:rsid w:val="0099025E"/>
    <w:rsid w:val="009904F7"/>
    <w:rsid w:val="00990C1F"/>
    <w:rsid w:val="00990FB4"/>
    <w:rsid w:val="00991306"/>
    <w:rsid w:val="00991A93"/>
    <w:rsid w:val="00991D57"/>
    <w:rsid w:val="00991DBD"/>
    <w:rsid w:val="009926A6"/>
    <w:rsid w:val="00992FCD"/>
    <w:rsid w:val="00993512"/>
    <w:rsid w:val="00993B16"/>
    <w:rsid w:val="00994460"/>
    <w:rsid w:val="00995C07"/>
    <w:rsid w:val="00996FC1"/>
    <w:rsid w:val="009A0994"/>
    <w:rsid w:val="009A09C3"/>
    <w:rsid w:val="009A0B28"/>
    <w:rsid w:val="009A1255"/>
    <w:rsid w:val="009A148B"/>
    <w:rsid w:val="009A2484"/>
    <w:rsid w:val="009A2ACE"/>
    <w:rsid w:val="009A2C7A"/>
    <w:rsid w:val="009A2F17"/>
    <w:rsid w:val="009A3080"/>
    <w:rsid w:val="009A36D8"/>
    <w:rsid w:val="009A395A"/>
    <w:rsid w:val="009A476D"/>
    <w:rsid w:val="009A5781"/>
    <w:rsid w:val="009A596D"/>
    <w:rsid w:val="009A5E25"/>
    <w:rsid w:val="009A6024"/>
    <w:rsid w:val="009A61A2"/>
    <w:rsid w:val="009A62C9"/>
    <w:rsid w:val="009A64E4"/>
    <w:rsid w:val="009A674E"/>
    <w:rsid w:val="009A6C7E"/>
    <w:rsid w:val="009A70D6"/>
    <w:rsid w:val="009A7BC2"/>
    <w:rsid w:val="009A7E68"/>
    <w:rsid w:val="009B0234"/>
    <w:rsid w:val="009B0326"/>
    <w:rsid w:val="009B07C2"/>
    <w:rsid w:val="009B1C8A"/>
    <w:rsid w:val="009B1E77"/>
    <w:rsid w:val="009B2016"/>
    <w:rsid w:val="009B2022"/>
    <w:rsid w:val="009B2362"/>
    <w:rsid w:val="009B27B0"/>
    <w:rsid w:val="009B35EA"/>
    <w:rsid w:val="009B3EFC"/>
    <w:rsid w:val="009B4019"/>
    <w:rsid w:val="009B4088"/>
    <w:rsid w:val="009B5373"/>
    <w:rsid w:val="009B54AE"/>
    <w:rsid w:val="009B604F"/>
    <w:rsid w:val="009B65F6"/>
    <w:rsid w:val="009B6ED6"/>
    <w:rsid w:val="009B7334"/>
    <w:rsid w:val="009B7344"/>
    <w:rsid w:val="009C0052"/>
    <w:rsid w:val="009C1D63"/>
    <w:rsid w:val="009C2009"/>
    <w:rsid w:val="009C2A1A"/>
    <w:rsid w:val="009C2D4F"/>
    <w:rsid w:val="009C2F71"/>
    <w:rsid w:val="009C34E2"/>
    <w:rsid w:val="009C3E98"/>
    <w:rsid w:val="009C4316"/>
    <w:rsid w:val="009C475C"/>
    <w:rsid w:val="009C47CB"/>
    <w:rsid w:val="009C53B6"/>
    <w:rsid w:val="009C563E"/>
    <w:rsid w:val="009C5E1E"/>
    <w:rsid w:val="009C64C1"/>
    <w:rsid w:val="009C6569"/>
    <w:rsid w:val="009C6611"/>
    <w:rsid w:val="009C6AD1"/>
    <w:rsid w:val="009C6C41"/>
    <w:rsid w:val="009C7180"/>
    <w:rsid w:val="009C75D0"/>
    <w:rsid w:val="009C76F1"/>
    <w:rsid w:val="009C7B19"/>
    <w:rsid w:val="009C7B56"/>
    <w:rsid w:val="009D0005"/>
    <w:rsid w:val="009D00D8"/>
    <w:rsid w:val="009D024D"/>
    <w:rsid w:val="009D0656"/>
    <w:rsid w:val="009D08BB"/>
    <w:rsid w:val="009D1B25"/>
    <w:rsid w:val="009D1D63"/>
    <w:rsid w:val="009D263C"/>
    <w:rsid w:val="009D325A"/>
    <w:rsid w:val="009D365E"/>
    <w:rsid w:val="009D3B44"/>
    <w:rsid w:val="009D4522"/>
    <w:rsid w:val="009D4525"/>
    <w:rsid w:val="009D48B4"/>
    <w:rsid w:val="009D4A2C"/>
    <w:rsid w:val="009D4CBF"/>
    <w:rsid w:val="009D5616"/>
    <w:rsid w:val="009D5D5B"/>
    <w:rsid w:val="009D6684"/>
    <w:rsid w:val="009D6E5C"/>
    <w:rsid w:val="009D7711"/>
    <w:rsid w:val="009D78BE"/>
    <w:rsid w:val="009D7B5E"/>
    <w:rsid w:val="009D7D39"/>
    <w:rsid w:val="009D7D7F"/>
    <w:rsid w:val="009E03B2"/>
    <w:rsid w:val="009E05DC"/>
    <w:rsid w:val="009E0684"/>
    <w:rsid w:val="009E0C11"/>
    <w:rsid w:val="009E124E"/>
    <w:rsid w:val="009E185D"/>
    <w:rsid w:val="009E196F"/>
    <w:rsid w:val="009E23F8"/>
    <w:rsid w:val="009E30F8"/>
    <w:rsid w:val="009E3E47"/>
    <w:rsid w:val="009E4D07"/>
    <w:rsid w:val="009E4F97"/>
    <w:rsid w:val="009E566B"/>
    <w:rsid w:val="009E6AC0"/>
    <w:rsid w:val="009E7F11"/>
    <w:rsid w:val="009F00F5"/>
    <w:rsid w:val="009F1729"/>
    <w:rsid w:val="009F1834"/>
    <w:rsid w:val="009F1DEB"/>
    <w:rsid w:val="009F24B4"/>
    <w:rsid w:val="009F29E1"/>
    <w:rsid w:val="009F30A8"/>
    <w:rsid w:val="009F427C"/>
    <w:rsid w:val="009F4666"/>
    <w:rsid w:val="009F4A1D"/>
    <w:rsid w:val="009F4B61"/>
    <w:rsid w:val="009F4E33"/>
    <w:rsid w:val="009F4E73"/>
    <w:rsid w:val="009F51C4"/>
    <w:rsid w:val="009F62EA"/>
    <w:rsid w:val="009F666C"/>
    <w:rsid w:val="009F669B"/>
    <w:rsid w:val="009F6E15"/>
    <w:rsid w:val="009F73D2"/>
    <w:rsid w:val="009F7FC7"/>
    <w:rsid w:val="00A0141E"/>
    <w:rsid w:val="00A01ED1"/>
    <w:rsid w:val="00A026AE"/>
    <w:rsid w:val="00A02CF9"/>
    <w:rsid w:val="00A02D83"/>
    <w:rsid w:val="00A0310B"/>
    <w:rsid w:val="00A03361"/>
    <w:rsid w:val="00A03AFE"/>
    <w:rsid w:val="00A04067"/>
    <w:rsid w:val="00A041F8"/>
    <w:rsid w:val="00A04354"/>
    <w:rsid w:val="00A0499D"/>
    <w:rsid w:val="00A049F9"/>
    <w:rsid w:val="00A04D84"/>
    <w:rsid w:val="00A04F5F"/>
    <w:rsid w:val="00A050BE"/>
    <w:rsid w:val="00A05279"/>
    <w:rsid w:val="00A06867"/>
    <w:rsid w:val="00A0730D"/>
    <w:rsid w:val="00A1050D"/>
    <w:rsid w:val="00A109DF"/>
    <w:rsid w:val="00A10C40"/>
    <w:rsid w:val="00A11CDF"/>
    <w:rsid w:val="00A125E9"/>
    <w:rsid w:val="00A12787"/>
    <w:rsid w:val="00A14C6B"/>
    <w:rsid w:val="00A150A3"/>
    <w:rsid w:val="00A151CB"/>
    <w:rsid w:val="00A1590A"/>
    <w:rsid w:val="00A15B01"/>
    <w:rsid w:val="00A16412"/>
    <w:rsid w:val="00A16E76"/>
    <w:rsid w:val="00A17F83"/>
    <w:rsid w:val="00A204A7"/>
    <w:rsid w:val="00A20B75"/>
    <w:rsid w:val="00A22031"/>
    <w:rsid w:val="00A22337"/>
    <w:rsid w:val="00A22A58"/>
    <w:rsid w:val="00A22F32"/>
    <w:rsid w:val="00A23645"/>
    <w:rsid w:val="00A2458B"/>
    <w:rsid w:val="00A26384"/>
    <w:rsid w:val="00A266E4"/>
    <w:rsid w:val="00A27147"/>
    <w:rsid w:val="00A27863"/>
    <w:rsid w:val="00A30937"/>
    <w:rsid w:val="00A30F5D"/>
    <w:rsid w:val="00A3107F"/>
    <w:rsid w:val="00A31283"/>
    <w:rsid w:val="00A3150B"/>
    <w:rsid w:val="00A3166F"/>
    <w:rsid w:val="00A31D77"/>
    <w:rsid w:val="00A328C4"/>
    <w:rsid w:val="00A32A64"/>
    <w:rsid w:val="00A33D4C"/>
    <w:rsid w:val="00A34264"/>
    <w:rsid w:val="00A344AB"/>
    <w:rsid w:val="00A3485D"/>
    <w:rsid w:val="00A34C97"/>
    <w:rsid w:val="00A351B5"/>
    <w:rsid w:val="00A351D0"/>
    <w:rsid w:val="00A35251"/>
    <w:rsid w:val="00A35A63"/>
    <w:rsid w:val="00A35C13"/>
    <w:rsid w:val="00A3633F"/>
    <w:rsid w:val="00A36D9F"/>
    <w:rsid w:val="00A37310"/>
    <w:rsid w:val="00A37493"/>
    <w:rsid w:val="00A3786A"/>
    <w:rsid w:val="00A37E20"/>
    <w:rsid w:val="00A40353"/>
    <w:rsid w:val="00A41113"/>
    <w:rsid w:val="00A41627"/>
    <w:rsid w:val="00A41A60"/>
    <w:rsid w:val="00A4214C"/>
    <w:rsid w:val="00A42159"/>
    <w:rsid w:val="00A4232A"/>
    <w:rsid w:val="00A42399"/>
    <w:rsid w:val="00A425E1"/>
    <w:rsid w:val="00A42BB7"/>
    <w:rsid w:val="00A43400"/>
    <w:rsid w:val="00A43A39"/>
    <w:rsid w:val="00A440F3"/>
    <w:rsid w:val="00A448E0"/>
    <w:rsid w:val="00A44CE8"/>
    <w:rsid w:val="00A4500D"/>
    <w:rsid w:val="00A46086"/>
    <w:rsid w:val="00A464BF"/>
    <w:rsid w:val="00A47F6E"/>
    <w:rsid w:val="00A50218"/>
    <w:rsid w:val="00A50753"/>
    <w:rsid w:val="00A517FF"/>
    <w:rsid w:val="00A519C9"/>
    <w:rsid w:val="00A51B88"/>
    <w:rsid w:val="00A51D58"/>
    <w:rsid w:val="00A52A29"/>
    <w:rsid w:val="00A536DB"/>
    <w:rsid w:val="00A54368"/>
    <w:rsid w:val="00A5459F"/>
    <w:rsid w:val="00A54D54"/>
    <w:rsid w:val="00A54E3D"/>
    <w:rsid w:val="00A55907"/>
    <w:rsid w:val="00A55DCB"/>
    <w:rsid w:val="00A56006"/>
    <w:rsid w:val="00A575D2"/>
    <w:rsid w:val="00A60048"/>
    <w:rsid w:val="00A6006F"/>
    <w:rsid w:val="00A60798"/>
    <w:rsid w:val="00A60C81"/>
    <w:rsid w:val="00A617F0"/>
    <w:rsid w:val="00A61934"/>
    <w:rsid w:val="00A61F48"/>
    <w:rsid w:val="00A6262F"/>
    <w:rsid w:val="00A62974"/>
    <w:rsid w:val="00A62D12"/>
    <w:rsid w:val="00A62FD7"/>
    <w:rsid w:val="00A6301A"/>
    <w:rsid w:val="00A63439"/>
    <w:rsid w:val="00A63B34"/>
    <w:rsid w:val="00A6411A"/>
    <w:rsid w:val="00A6536E"/>
    <w:rsid w:val="00A6575B"/>
    <w:rsid w:val="00A659EF"/>
    <w:rsid w:val="00A65C12"/>
    <w:rsid w:val="00A65D47"/>
    <w:rsid w:val="00A6636A"/>
    <w:rsid w:val="00A6664A"/>
    <w:rsid w:val="00A6698C"/>
    <w:rsid w:val="00A671D0"/>
    <w:rsid w:val="00A70599"/>
    <w:rsid w:val="00A70DE3"/>
    <w:rsid w:val="00A70DE8"/>
    <w:rsid w:val="00A71A84"/>
    <w:rsid w:val="00A7249F"/>
    <w:rsid w:val="00A72918"/>
    <w:rsid w:val="00A729F6"/>
    <w:rsid w:val="00A742AE"/>
    <w:rsid w:val="00A74888"/>
    <w:rsid w:val="00A75D93"/>
    <w:rsid w:val="00A75F2B"/>
    <w:rsid w:val="00A76937"/>
    <w:rsid w:val="00A76AAD"/>
    <w:rsid w:val="00A76AFB"/>
    <w:rsid w:val="00A77683"/>
    <w:rsid w:val="00A77A97"/>
    <w:rsid w:val="00A77DD0"/>
    <w:rsid w:val="00A77FAF"/>
    <w:rsid w:val="00A802DD"/>
    <w:rsid w:val="00A80AAB"/>
    <w:rsid w:val="00A80DF6"/>
    <w:rsid w:val="00A810C9"/>
    <w:rsid w:val="00A815C2"/>
    <w:rsid w:val="00A81871"/>
    <w:rsid w:val="00A81CBC"/>
    <w:rsid w:val="00A83080"/>
    <w:rsid w:val="00A842F1"/>
    <w:rsid w:val="00A84953"/>
    <w:rsid w:val="00A84F72"/>
    <w:rsid w:val="00A8539D"/>
    <w:rsid w:val="00A856B2"/>
    <w:rsid w:val="00A857A8"/>
    <w:rsid w:val="00A85918"/>
    <w:rsid w:val="00A85F06"/>
    <w:rsid w:val="00A862B0"/>
    <w:rsid w:val="00A869D4"/>
    <w:rsid w:val="00A86FCF"/>
    <w:rsid w:val="00A871BB"/>
    <w:rsid w:val="00A875B2"/>
    <w:rsid w:val="00A875DF"/>
    <w:rsid w:val="00A91169"/>
    <w:rsid w:val="00A916D0"/>
    <w:rsid w:val="00A91919"/>
    <w:rsid w:val="00A91E86"/>
    <w:rsid w:val="00A91F3F"/>
    <w:rsid w:val="00A926D9"/>
    <w:rsid w:val="00A92999"/>
    <w:rsid w:val="00A92F8A"/>
    <w:rsid w:val="00A9336F"/>
    <w:rsid w:val="00A93B07"/>
    <w:rsid w:val="00A93CAC"/>
    <w:rsid w:val="00A94083"/>
    <w:rsid w:val="00A94CCB"/>
    <w:rsid w:val="00A950AC"/>
    <w:rsid w:val="00A95286"/>
    <w:rsid w:val="00A959A2"/>
    <w:rsid w:val="00A95FDF"/>
    <w:rsid w:val="00A96626"/>
    <w:rsid w:val="00A969DB"/>
    <w:rsid w:val="00A96A16"/>
    <w:rsid w:val="00A96B17"/>
    <w:rsid w:val="00A96CA7"/>
    <w:rsid w:val="00A9746F"/>
    <w:rsid w:val="00A9786A"/>
    <w:rsid w:val="00A97C94"/>
    <w:rsid w:val="00A97DE1"/>
    <w:rsid w:val="00A97F73"/>
    <w:rsid w:val="00AA0B96"/>
    <w:rsid w:val="00AA0D38"/>
    <w:rsid w:val="00AA12E0"/>
    <w:rsid w:val="00AA2018"/>
    <w:rsid w:val="00AA26FF"/>
    <w:rsid w:val="00AA32A6"/>
    <w:rsid w:val="00AA3512"/>
    <w:rsid w:val="00AA36B0"/>
    <w:rsid w:val="00AA4D93"/>
    <w:rsid w:val="00AA5FC5"/>
    <w:rsid w:val="00AA6625"/>
    <w:rsid w:val="00AA6725"/>
    <w:rsid w:val="00AA68A3"/>
    <w:rsid w:val="00AA6F9E"/>
    <w:rsid w:val="00AA7257"/>
    <w:rsid w:val="00AA7D13"/>
    <w:rsid w:val="00AB0531"/>
    <w:rsid w:val="00AB092E"/>
    <w:rsid w:val="00AB0B1E"/>
    <w:rsid w:val="00AB1345"/>
    <w:rsid w:val="00AB1407"/>
    <w:rsid w:val="00AB19E6"/>
    <w:rsid w:val="00AB1A1C"/>
    <w:rsid w:val="00AB1A72"/>
    <w:rsid w:val="00AB1AF7"/>
    <w:rsid w:val="00AB2A8F"/>
    <w:rsid w:val="00AB3239"/>
    <w:rsid w:val="00AB46B8"/>
    <w:rsid w:val="00AB483E"/>
    <w:rsid w:val="00AB4879"/>
    <w:rsid w:val="00AB5286"/>
    <w:rsid w:val="00AB53C6"/>
    <w:rsid w:val="00AB6182"/>
    <w:rsid w:val="00AB618F"/>
    <w:rsid w:val="00AB792C"/>
    <w:rsid w:val="00AB7B9A"/>
    <w:rsid w:val="00AB7E13"/>
    <w:rsid w:val="00AC0C75"/>
    <w:rsid w:val="00AC0DD6"/>
    <w:rsid w:val="00AC18B8"/>
    <w:rsid w:val="00AC22A7"/>
    <w:rsid w:val="00AC257D"/>
    <w:rsid w:val="00AC276A"/>
    <w:rsid w:val="00AC2AF3"/>
    <w:rsid w:val="00AC3334"/>
    <w:rsid w:val="00AC3381"/>
    <w:rsid w:val="00AC3ED9"/>
    <w:rsid w:val="00AC4BE9"/>
    <w:rsid w:val="00AC4C79"/>
    <w:rsid w:val="00AC4CF5"/>
    <w:rsid w:val="00AC536F"/>
    <w:rsid w:val="00AC5BEF"/>
    <w:rsid w:val="00AC5D18"/>
    <w:rsid w:val="00AC6C1B"/>
    <w:rsid w:val="00AC6E62"/>
    <w:rsid w:val="00AC6EB4"/>
    <w:rsid w:val="00AC706C"/>
    <w:rsid w:val="00AC75EA"/>
    <w:rsid w:val="00AC764B"/>
    <w:rsid w:val="00AC77B4"/>
    <w:rsid w:val="00AC77CE"/>
    <w:rsid w:val="00AD036C"/>
    <w:rsid w:val="00AD057E"/>
    <w:rsid w:val="00AD06B5"/>
    <w:rsid w:val="00AD06DD"/>
    <w:rsid w:val="00AD156D"/>
    <w:rsid w:val="00AD21EE"/>
    <w:rsid w:val="00AD225E"/>
    <w:rsid w:val="00AD25DE"/>
    <w:rsid w:val="00AD26EE"/>
    <w:rsid w:val="00AD2D3D"/>
    <w:rsid w:val="00AD2DDB"/>
    <w:rsid w:val="00AD46DD"/>
    <w:rsid w:val="00AD4D5B"/>
    <w:rsid w:val="00AD558A"/>
    <w:rsid w:val="00AD562B"/>
    <w:rsid w:val="00AD58E9"/>
    <w:rsid w:val="00AD6757"/>
    <w:rsid w:val="00AD6766"/>
    <w:rsid w:val="00AD6C2D"/>
    <w:rsid w:val="00AD6C3E"/>
    <w:rsid w:val="00AD6D60"/>
    <w:rsid w:val="00AD71BC"/>
    <w:rsid w:val="00AD745A"/>
    <w:rsid w:val="00AD7D5B"/>
    <w:rsid w:val="00AE0765"/>
    <w:rsid w:val="00AE090D"/>
    <w:rsid w:val="00AE0DF3"/>
    <w:rsid w:val="00AE0F01"/>
    <w:rsid w:val="00AE12B7"/>
    <w:rsid w:val="00AE167B"/>
    <w:rsid w:val="00AE195A"/>
    <w:rsid w:val="00AE20F6"/>
    <w:rsid w:val="00AE28BF"/>
    <w:rsid w:val="00AE2B1D"/>
    <w:rsid w:val="00AE32A4"/>
    <w:rsid w:val="00AE35A5"/>
    <w:rsid w:val="00AE45DE"/>
    <w:rsid w:val="00AE486C"/>
    <w:rsid w:val="00AE504D"/>
    <w:rsid w:val="00AE5166"/>
    <w:rsid w:val="00AE64F5"/>
    <w:rsid w:val="00AE6918"/>
    <w:rsid w:val="00AE7834"/>
    <w:rsid w:val="00AE78FC"/>
    <w:rsid w:val="00AE7CB7"/>
    <w:rsid w:val="00AF01B5"/>
    <w:rsid w:val="00AF0299"/>
    <w:rsid w:val="00AF10AA"/>
    <w:rsid w:val="00AF1339"/>
    <w:rsid w:val="00AF15B5"/>
    <w:rsid w:val="00AF1FF4"/>
    <w:rsid w:val="00AF32F2"/>
    <w:rsid w:val="00AF385D"/>
    <w:rsid w:val="00AF39FB"/>
    <w:rsid w:val="00AF4175"/>
    <w:rsid w:val="00AF41BE"/>
    <w:rsid w:val="00AF5740"/>
    <w:rsid w:val="00AF58AA"/>
    <w:rsid w:val="00AF5A60"/>
    <w:rsid w:val="00AF63F1"/>
    <w:rsid w:val="00AF7D69"/>
    <w:rsid w:val="00B00448"/>
    <w:rsid w:val="00B0091C"/>
    <w:rsid w:val="00B013DC"/>
    <w:rsid w:val="00B01693"/>
    <w:rsid w:val="00B017E5"/>
    <w:rsid w:val="00B0185A"/>
    <w:rsid w:val="00B0186A"/>
    <w:rsid w:val="00B01A3C"/>
    <w:rsid w:val="00B01EDA"/>
    <w:rsid w:val="00B0214B"/>
    <w:rsid w:val="00B021D4"/>
    <w:rsid w:val="00B0281C"/>
    <w:rsid w:val="00B028E9"/>
    <w:rsid w:val="00B02901"/>
    <w:rsid w:val="00B02950"/>
    <w:rsid w:val="00B02CFA"/>
    <w:rsid w:val="00B037CD"/>
    <w:rsid w:val="00B03F42"/>
    <w:rsid w:val="00B04E4F"/>
    <w:rsid w:val="00B050C1"/>
    <w:rsid w:val="00B050DB"/>
    <w:rsid w:val="00B05434"/>
    <w:rsid w:val="00B05AB5"/>
    <w:rsid w:val="00B05D24"/>
    <w:rsid w:val="00B05E28"/>
    <w:rsid w:val="00B05E98"/>
    <w:rsid w:val="00B063E4"/>
    <w:rsid w:val="00B06732"/>
    <w:rsid w:val="00B06CB9"/>
    <w:rsid w:val="00B071CD"/>
    <w:rsid w:val="00B074CD"/>
    <w:rsid w:val="00B07613"/>
    <w:rsid w:val="00B07DAE"/>
    <w:rsid w:val="00B07FBE"/>
    <w:rsid w:val="00B10329"/>
    <w:rsid w:val="00B10FFF"/>
    <w:rsid w:val="00B1116A"/>
    <w:rsid w:val="00B1159D"/>
    <w:rsid w:val="00B11925"/>
    <w:rsid w:val="00B135B8"/>
    <w:rsid w:val="00B135D9"/>
    <w:rsid w:val="00B13743"/>
    <w:rsid w:val="00B13E69"/>
    <w:rsid w:val="00B13FAC"/>
    <w:rsid w:val="00B1513E"/>
    <w:rsid w:val="00B163E5"/>
    <w:rsid w:val="00B16B89"/>
    <w:rsid w:val="00B16BEC"/>
    <w:rsid w:val="00B17453"/>
    <w:rsid w:val="00B17D21"/>
    <w:rsid w:val="00B20D67"/>
    <w:rsid w:val="00B21546"/>
    <w:rsid w:val="00B21C9B"/>
    <w:rsid w:val="00B22B9C"/>
    <w:rsid w:val="00B234F3"/>
    <w:rsid w:val="00B23D0F"/>
    <w:rsid w:val="00B247DE"/>
    <w:rsid w:val="00B247E9"/>
    <w:rsid w:val="00B2519D"/>
    <w:rsid w:val="00B2541F"/>
    <w:rsid w:val="00B25721"/>
    <w:rsid w:val="00B267E4"/>
    <w:rsid w:val="00B26829"/>
    <w:rsid w:val="00B27108"/>
    <w:rsid w:val="00B2726D"/>
    <w:rsid w:val="00B27414"/>
    <w:rsid w:val="00B27C88"/>
    <w:rsid w:val="00B27E2B"/>
    <w:rsid w:val="00B30192"/>
    <w:rsid w:val="00B30999"/>
    <w:rsid w:val="00B31350"/>
    <w:rsid w:val="00B31B38"/>
    <w:rsid w:val="00B31B6A"/>
    <w:rsid w:val="00B32642"/>
    <w:rsid w:val="00B33EF5"/>
    <w:rsid w:val="00B34354"/>
    <w:rsid w:val="00B349E4"/>
    <w:rsid w:val="00B35175"/>
    <w:rsid w:val="00B35766"/>
    <w:rsid w:val="00B35BF5"/>
    <w:rsid w:val="00B37131"/>
    <w:rsid w:val="00B378AE"/>
    <w:rsid w:val="00B37911"/>
    <w:rsid w:val="00B405FB"/>
    <w:rsid w:val="00B40AEF"/>
    <w:rsid w:val="00B40FFD"/>
    <w:rsid w:val="00B415F0"/>
    <w:rsid w:val="00B42991"/>
    <w:rsid w:val="00B4358F"/>
    <w:rsid w:val="00B4373C"/>
    <w:rsid w:val="00B43CC7"/>
    <w:rsid w:val="00B46527"/>
    <w:rsid w:val="00B47826"/>
    <w:rsid w:val="00B479CE"/>
    <w:rsid w:val="00B5011E"/>
    <w:rsid w:val="00B503B7"/>
    <w:rsid w:val="00B5044C"/>
    <w:rsid w:val="00B50909"/>
    <w:rsid w:val="00B50F36"/>
    <w:rsid w:val="00B510A0"/>
    <w:rsid w:val="00B53132"/>
    <w:rsid w:val="00B53492"/>
    <w:rsid w:val="00B53B10"/>
    <w:rsid w:val="00B549EC"/>
    <w:rsid w:val="00B54D60"/>
    <w:rsid w:val="00B551E7"/>
    <w:rsid w:val="00B555B7"/>
    <w:rsid w:val="00B55A4C"/>
    <w:rsid w:val="00B5729C"/>
    <w:rsid w:val="00B573C1"/>
    <w:rsid w:val="00B57476"/>
    <w:rsid w:val="00B574CA"/>
    <w:rsid w:val="00B57608"/>
    <w:rsid w:val="00B57933"/>
    <w:rsid w:val="00B579E8"/>
    <w:rsid w:val="00B57E7C"/>
    <w:rsid w:val="00B602FE"/>
    <w:rsid w:val="00B6086A"/>
    <w:rsid w:val="00B60EAE"/>
    <w:rsid w:val="00B6123B"/>
    <w:rsid w:val="00B626E1"/>
    <w:rsid w:val="00B62F2B"/>
    <w:rsid w:val="00B63985"/>
    <w:rsid w:val="00B63A81"/>
    <w:rsid w:val="00B63AD2"/>
    <w:rsid w:val="00B63E05"/>
    <w:rsid w:val="00B64103"/>
    <w:rsid w:val="00B64337"/>
    <w:rsid w:val="00B64350"/>
    <w:rsid w:val="00B6462D"/>
    <w:rsid w:val="00B6539B"/>
    <w:rsid w:val="00B660D0"/>
    <w:rsid w:val="00B66117"/>
    <w:rsid w:val="00B6690B"/>
    <w:rsid w:val="00B66E2E"/>
    <w:rsid w:val="00B66FFE"/>
    <w:rsid w:val="00B67B54"/>
    <w:rsid w:val="00B67E8A"/>
    <w:rsid w:val="00B7121D"/>
    <w:rsid w:val="00B71907"/>
    <w:rsid w:val="00B71F1A"/>
    <w:rsid w:val="00B72108"/>
    <w:rsid w:val="00B73118"/>
    <w:rsid w:val="00B735E5"/>
    <w:rsid w:val="00B7374C"/>
    <w:rsid w:val="00B73FF8"/>
    <w:rsid w:val="00B74187"/>
    <w:rsid w:val="00B757D9"/>
    <w:rsid w:val="00B76559"/>
    <w:rsid w:val="00B76ABC"/>
    <w:rsid w:val="00B76ECF"/>
    <w:rsid w:val="00B80198"/>
    <w:rsid w:val="00B80CBF"/>
    <w:rsid w:val="00B8145D"/>
    <w:rsid w:val="00B8177F"/>
    <w:rsid w:val="00B81AF2"/>
    <w:rsid w:val="00B81E69"/>
    <w:rsid w:val="00B82B5F"/>
    <w:rsid w:val="00B83398"/>
    <w:rsid w:val="00B847FD"/>
    <w:rsid w:val="00B8493E"/>
    <w:rsid w:val="00B853EE"/>
    <w:rsid w:val="00B859F8"/>
    <w:rsid w:val="00B85BDE"/>
    <w:rsid w:val="00B85CAC"/>
    <w:rsid w:val="00B85E8B"/>
    <w:rsid w:val="00B875EA"/>
    <w:rsid w:val="00B8768E"/>
    <w:rsid w:val="00B877C6"/>
    <w:rsid w:val="00B87C2D"/>
    <w:rsid w:val="00B87D8B"/>
    <w:rsid w:val="00B90031"/>
    <w:rsid w:val="00B90DDF"/>
    <w:rsid w:val="00B90FEB"/>
    <w:rsid w:val="00B93351"/>
    <w:rsid w:val="00B944B3"/>
    <w:rsid w:val="00B94A16"/>
    <w:rsid w:val="00B958B3"/>
    <w:rsid w:val="00B95B56"/>
    <w:rsid w:val="00B95D85"/>
    <w:rsid w:val="00B96844"/>
    <w:rsid w:val="00B96B83"/>
    <w:rsid w:val="00B979D3"/>
    <w:rsid w:val="00B97A0F"/>
    <w:rsid w:val="00B97DAD"/>
    <w:rsid w:val="00BA037F"/>
    <w:rsid w:val="00BA0A72"/>
    <w:rsid w:val="00BA218A"/>
    <w:rsid w:val="00BA2C32"/>
    <w:rsid w:val="00BA34CE"/>
    <w:rsid w:val="00BA375C"/>
    <w:rsid w:val="00BA3FCF"/>
    <w:rsid w:val="00BA465D"/>
    <w:rsid w:val="00BA48AF"/>
    <w:rsid w:val="00BA4A13"/>
    <w:rsid w:val="00BA4A57"/>
    <w:rsid w:val="00BA517B"/>
    <w:rsid w:val="00BA5B20"/>
    <w:rsid w:val="00BA7016"/>
    <w:rsid w:val="00BA7134"/>
    <w:rsid w:val="00BA7D2A"/>
    <w:rsid w:val="00BA7D95"/>
    <w:rsid w:val="00BA7DE3"/>
    <w:rsid w:val="00BA7E0C"/>
    <w:rsid w:val="00BB0204"/>
    <w:rsid w:val="00BB0418"/>
    <w:rsid w:val="00BB0423"/>
    <w:rsid w:val="00BB11F8"/>
    <w:rsid w:val="00BB123E"/>
    <w:rsid w:val="00BB14E2"/>
    <w:rsid w:val="00BB1D07"/>
    <w:rsid w:val="00BB1F6D"/>
    <w:rsid w:val="00BB28AA"/>
    <w:rsid w:val="00BB3154"/>
    <w:rsid w:val="00BB3AF8"/>
    <w:rsid w:val="00BB3BA9"/>
    <w:rsid w:val="00BB3ECC"/>
    <w:rsid w:val="00BB44B8"/>
    <w:rsid w:val="00BB4723"/>
    <w:rsid w:val="00BB4B31"/>
    <w:rsid w:val="00BB4FAC"/>
    <w:rsid w:val="00BB5376"/>
    <w:rsid w:val="00BB5411"/>
    <w:rsid w:val="00BB557F"/>
    <w:rsid w:val="00BB57F6"/>
    <w:rsid w:val="00BB59BD"/>
    <w:rsid w:val="00BB5D5A"/>
    <w:rsid w:val="00BB60B3"/>
    <w:rsid w:val="00BB69B6"/>
    <w:rsid w:val="00BB7498"/>
    <w:rsid w:val="00BB75AE"/>
    <w:rsid w:val="00BC0060"/>
    <w:rsid w:val="00BC07F2"/>
    <w:rsid w:val="00BC087C"/>
    <w:rsid w:val="00BC099A"/>
    <w:rsid w:val="00BC0E76"/>
    <w:rsid w:val="00BC2D5D"/>
    <w:rsid w:val="00BC2F92"/>
    <w:rsid w:val="00BC3B54"/>
    <w:rsid w:val="00BC497F"/>
    <w:rsid w:val="00BC5132"/>
    <w:rsid w:val="00BC6341"/>
    <w:rsid w:val="00BC6723"/>
    <w:rsid w:val="00BC6766"/>
    <w:rsid w:val="00BC709B"/>
    <w:rsid w:val="00BC7D88"/>
    <w:rsid w:val="00BD045A"/>
    <w:rsid w:val="00BD05D2"/>
    <w:rsid w:val="00BD10D8"/>
    <w:rsid w:val="00BD14D1"/>
    <w:rsid w:val="00BD1978"/>
    <w:rsid w:val="00BD2077"/>
    <w:rsid w:val="00BD2515"/>
    <w:rsid w:val="00BD2AC6"/>
    <w:rsid w:val="00BD2EAA"/>
    <w:rsid w:val="00BD3C72"/>
    <w:rsid w:val="00BD5765"/>
    <w:rsid w:val="00BD5A53"/>
    <w:rsid w:val="00BE03A3"/>
    <w:rsid w:val="00BE0481"/>
    <w:rsid w:val="00BE16D1"/>
    <w:rsid w:val="00BE188F"/>
    <w:rsid w:val="00BE2399"/>
    <w:rsid w:val="00BE28B0"/>
    <w:rsid w:val="00BE3850"/>
    <w:rsid w:val="00BE3C1A"/>
    <w:rsid w:val="00BE409E"/>
    <w:rsid w:val="00BE4B62"/>
    <w:rsid w:val="00BE52B6"/>
    <w:rsid w:val="00BE5A85"/>
    <w:rsid w:val="00BE609F"/>
    <w:rsid w:val="00BE64D7"/>
    <w:rsid w:val="00BE6A80"/>
    <w:rsid w:val="00BE6B82"/>
    <w:rsid w:val="00BE6CAF"/>
    <w:rsid w:val="00BE77A7"/>
    <w:rsid w:val="00BE7EEF"/>
    <w:rsid w:val="00BF0046"/>
    <w:rsid w:val="00BF03D4"/>
    <w:rsid w:val="00BF046C"/>
    <w:rsid w:val="00BF07D6"/>
    <w:rsid w:val="00BF0CA5"/>
    <w:rsid w:val="00BF17E7"/>
    <w:rsid w:val="00BF1A58"/>
    <w:rsid w:val="00BF1ED0"/>
    <w:rsid w:val="00BF1FD6"/>
    <w:rsid w:val="00BF2593"/>
    <w:rsid w:val="00BF2B2E"/>
    <w:rsid w:val="00BF2C19"/>
    <w:rsid w:val="00BF3059"/>
    <w:rsid w:val="00BF3122"/>
    <w:rsid w:val="00BF3268"/>
    <w:rsid w:val="00BF35BF"/>
    <w:rsid w:val="00BF36F5"/>
    <w:rsid w:val="00BF373F"/>
    <w:rsid w:val="00BF425E"/>
    <w:rsid w:val="00BF50BB"/>
    <w:rsid w:val="00BF64BB"/>
    <w:rsid w:val="00BF6BA5"/>
    <w:rsid w:val="00BF6E58"/>
    <w:rsid w:val="00BF725F"/>
    <w:rsid w:val="00C001F5"/>
    <w:rsid w:val="00C004A3"/>
    <w:rsid w:val="00C0113C"/>
    <w:rsid w:val="00C019B1"/>
    <w:rsid w:val="00C01ABC"/>
    <w:rsid w:val="00C022AE"/>
    <w:rsid w:val="00C026C1"/>
    <w:rsid w:val="00C026C8"/>
    <w:rsid w:val="00C026E4"/>
    <w:rsid w:val="00C028DD"/>
    <w:rsid w:val="00C029D3"/>
    <w:rsid w:val="00C02BAB"/>
    <w:rsid w:val="00C02D31"/>
    <w:rsid w:val="00C02F87"/>
    <w:rsid w:val="00C03276"/>
    <w:rsid w:val="00C039ED"/>
    <w:rsid w:val="00C0461A"/>
    <w:rsid w:val="00C04A66"/>
    <w:rsid w:val="00C0525F"/>
    <w:rsid w:val="00C0676F"/>
    <w:rsid w:val="00C06F68"/>
    <w:rsid w:val="00C104EF"/>
    <w:rsid w:val="00C1093C"/>
    <w:rsid w:val="00C1129B"/>
    <w:rsid w:val="00C115C1"/>
    <w:rsid w:val="00C115D4"/>
    <w:rsid w:val="00C1256F"/>
    <w:rsid w:val="00C131CD"/>
    <w:rsid w:val="00C13906"/>
    <w:rsid w:val="00C13D37"/>
    <w:rsid w:val="00C144C0"/>
    <w:rsid w:val="00C14622"/>
    <w:rsid w:val="00C1554E"/>
    <w:rsid w:val="00C15BD7"/>
    <w:rsid w:val="00C16519"/>
    <w:rsid w:val="00C16FEC"/>
    <w:rsid w:val="00C17240"/>
    <w:rsid w:val="00C17390"/>
    <w:rsid w:val="00C1743C"/>
    <w:rsid w:val="00C17706"/>
    <w:rsid w:val="00C17C6B"/>
    <w:rsid w:val="00C2002D"/>
    <w:rsid w:val="00C20207"/>
    <w:rsid w:val="00C20595"/>
    <w:rsid w:val="00C213AD"/>
    <w:rsid w:val="00C2184D"/>
    <w:rsid w:val="00C21B89"/>
    <w:rsid w:val="00C21DA6"/>
    <w:rsid w:val="00C227FD"/>
    <w:rsid w:val="00C23C43"/>
    <w:rsid w:val="00C24220"/>
    <w:rsid w:val="00C248E5"/>
    <w:rsid w:val="00C253EA"/>
    <w:rsid w:val="00C25517"/>
    <w:rsid w:val="00C25AA2"/>
    <w:rsid w:val="00C25BD0"/>
    <w:rsid w:val="00C26363"/>
    <w:rsid w:val="00C26456"/>
    <w:rsid w:val="00C30321"/>
    <w:rsid w:val="00C30C10"/>
    <w:rsid w:val="00C30ED8"/>
    <w:rsid w:val="00C31375"/>
    <w:rsid w:val="00C3228E"/>
    <w:rsid w:val="00C33410"/>
    <w:rsid w:val="00C33EBE"/>
    <w:rsid w:val="00C33EE0"/>
    <w:rsid w:val="00C3401F"/>
    <w:rsid w:val="00C3448F"/>
    <w:rsid w:val="00C3451E"/>
    <w:rsid w:val="00C34654"/>
    <w:rsid w:val="00C35487"/>
    <w:rsid w:val="00C35BD9"/>
    <w:rsid w:val="00C3633C"/>
    <w:rsid w:val="00C36597"/>
    <w:rsid w:val="00C36F80"/>
    <w:rsid w:val="00C37037"/>
    <w:rsid w:val="00C37134"/>
    <w:rsid w:val="00C37B8C"/>
    <w:rsid w:val="00C37BF7"/>
    <w:rsid w:val="00C40145"/>
    <w:rsid w:val="00C40B92"/>
    <w:rsid w:val="00C4132C"/>
    <w:rsid w:val="00C41718"/>
    <w:rsid w:val="00C41B23"/>
    <w:rsid w:val="00C41D2C"/>
    <w:rsid w:val="00C42402"/>
    <w:rsid w:val="00C437C2"/>
    <w:rsid w:val="00C437E2"/>
    <w:rsid w:val="00C43B15"/>
    <w:rsid w:val="00C43D50"/>
    <w:rsid w:val="00C44173"/>
    <w:rsid w:val="00C450CF"/>
    <w:rsid w:val="00C453E9"/>
    <w:rsid w:val="00C4603C"/>
    <w:rsid w:val="00C462BA"/>
    <w:rsid w:val="00C46445"/>
    <w:rsid w:val="00C479F4"/>
    <w:rsid w:val="00C47A4A"/>
    <w:rsid w:val="00C47D70"/>
    <w:rsid w:val="00C50078"/>
    <w:rsid w:val="00C50426"/>
    <w:rsid w:val="00C507AD"/>
    <w:rsid w:val="00C50ACC"/>
    <w:rsid w:val="00C51078"/>
    <w:rsid w:val="00C51C4A"/>
    <w:rsid w:val="00C51ECD"/>
    <w:rsid w:val="00C51F90"/>
    <w:rsid w:val="00C522B8"/>
    <w:rsid w:val="00C52849"/>
    <w:rsid w:val="00C52E83"/>
    <w:rsid w:val="00C53556"/>
    <w:rsid w:val="00C53ACE"/>
    <w:rsid w:val="00C53DC5"/>
    <w:rsid w:val="00C54179"/>
    <w:rsid w:val="00C54888"/>
    <w:rsid w:val="00C548F8"/>
    <w:rsid w:val="00C549B8"/>
    <w:rsid w:val="00C55105"/>
    <w:rsid w:val="00C55B6A"/>
    <w:rsid w:val="00C55CB2"/>
    <w:rsid w:val="00C5609A"/>
    <w:rsid w:val="00C5618C"/>
    <w:rsid w:val="00C56292"/>
    <w:rsid w:val="00C56480"/>
    <w:rsid w:val="00C56747"/>
    <w:rsid w:val="00C56790"/>
    <w:rsid w:val="00C573B5"/>
    <w:rsid w:val="00C57837"/>
    <w:rsid w:val="00C60499"/>
    <w:rsid w:val="00C61549"/>
    <w:rsid w:val="00C62303"/>
    <w:rsid w:val="00C626A1"/>
    <w:rsid w:val="00C62AD1"/>
    <w:rsid w:val="00C6342D"/>
    <w:rsid w:val="00C63AD7"/>
    <w:rsid w:val="00C64658"/>
    <w:rsid w:val="00C64674"/>
    <w:rsid w:val="00C654D2"/>
    <w:rsid w:val="00C65E46"/>
    <w:rsid w:val="00C665FE"/>
    <w:rsid w:val="00C67160"/>
    <w:rsid w:val="00C67204"/>
    <w:rsid w:val="00C67704"/>
    <w:rsid w:val="00C67E83"/>
    <w:rsid w:val="00C70350"/>
    <w:rsid w:val="00C709B2"/>
    <w:rsid w:val="00C71308"/>
    <w:rsid w:val="00C7230D"/>
    <w:rsid w:val="00C72770"/>
    <w:rsid w:val="00C72B39"/>
    <w:rsid w:val="00C72E53"/>
    <w:rsid w:val="00C7311A"/>
    <w:rsid w:val="00C74275"/>
    <w:rsid w:val="00C74780"/>
    <w:rsid w:val="00C7506B"/>
    <w:rsid w:val="00C75411"/>
    <w:rsid w:val="00C75A19"/>
    <w:rsid w:val="00C778FF"/>
    <w:rsid w:val="00C801E6"/>
    <w:rsid w:val="00C805E5"/>
    <w:rsid w:val="00C80B29"/>
    <w:rsid w:val="00C81055"/>
    <w:rsid w:val="00C8109E"/>
    <w:rsid w:val="00C8197C"/>
    <w:rsid w:val="00C81C63"/>
    <w:rsid w:val="00C81CD7"/>
    <w:rsid w:val="00C81D31"/>
    <w:rsid w:val="00C827A4"/>
    <w:rsid w:val="00C831AC"/>
    <w:rsid w:val="00C83F95"/>
    <w:rsid w:val="00C8475C"/>
    <w:rsid w:val="00C84891"/>
    <w:rsid w:val="00C84E98"/>
    <w:rsid w:val="00C84FC5"/>
    <w:rsid w:val="00C8502B"/>
    <w:rsid w:val="00C850D4"/>
    <w:rsid w:val="00C85497"/>
    <w:rsid w:val="00C85B9F"/>
    <w:rsid w:val="00C86755"/>
    <w:rsid w:val="00C867A4"/>
    <w:rsid w:val="00C86818"/>
    <w:rsid w:val="00C874F5"/>
    <w:rsid w:val="00C87588"/>
    <w:rsid w:val="00C875AE"/>
    <w:rsid w:val="00C87C51"/>
    <w:rsid w:val="00C87EE3"/>
    <w:rsid w:val="00C907CC"/>
    <w:rsid w:val="00C9086B"/>
    <w:rsid w:val="00C912B7"/>
    <w:rsid w:val="00C9145B"/>
    <w:rsid w:val="00C915CF"/>
    <w:rsid w:val="00C92211"/>
    <w:rsid w:val="00C9347C"/>
    <w:rsid w:val="00C94332"/>
    <w:rsid w:val="00C949AE"/>
    <w:rsid w:val="00C949C6"/>
    <w:rsid w:val="00C9548D"/>
    <w:rsid w:val="00C9598C"/>
    <w:rsid w:val="00C96978"/>
    <w:rsid w:val="00C96A04"/>
    <w:rsid w:val="00C96CCD"/>
    <w:rsid w:val="00C96D4F"/>
    <w:rsid w:val="00C96F3A"/>
    <w:rsid w:val="00C96FE1"/>
    <w:rsid w:val="00C979B3"/>
    <w:rsid w:val="00CA07B2"/>
    <w:rsid w:val="00CA0E96"/>
    <w:rsid w:val="00CA179B"/>
    <w:rsid w:val="00CA1956"/>
    <w:rsid w:val="00CA1C9F"/>
    <w:rsid w:val="00CA1D6E"/>
    <w:rsid w:val="00CA1DEE"/>
    <w:rsid w:val="00CA219D"/>
    <w:rsid w:val="00CA246F"/>
    <w:rsid w:val="00CA2C27"/>
    <w:rsid w:val="00CA31A5"/>
    <w:rsid w:val="00CA325C"/>
    <w:rsid w:val="00CA3347"/>
    <w:rsid w:val="00CA3699"/>
    <w:rsid w:val="00CA36B1"/>
    <w:rsid w:val="00CA44C9"/>
    <w:rsid w:val="00CA4613"/>
    <w:rsid w:val="00CA5BB9"/>
    <w:rsid w:val="00CA5E3C"/>
    <w:rsid w:val="00CA6394"/>
    <w:rsid w:val="00CA6698"/>
    <w:rsid w:val="00CA6F43"/>
    <w:rsid w:val="00CA6FE3"/>
    <w:rsid w:val="00CA75BB"/>
    <w:rsid w:val="00CA7608"/>
    <w:rsid w:val="00CA7BAE"/>
    <w:rsid w:val="00CB11C1"/>
    <w:rsid w:val="00CB194C"/>
    <w:rsid w:val="00CB1B25"/>
    <w:rsid w:val="00CB2BEC"/>
    <w:rsid w:val="00CB311A"/>
    <w:rsid w:val="00CB495A"/>
    <w:rsid w:val="00CB4AE0"/>
    <w:rsid w:val="00CB5491"/>
    <w:rsid w:val="00CB57A0"/>
    <w:rsid w:val="00CB5FBF"/>
    <w:rsid w:val="00CB6137"/>
    <w:rsid w:val="00CB6568"/>
    <w:rsid w:val="00CB7CD0"/>
    <w:rsid w:val="00CC0017"/>
    <w:rsid w:val="00CC0060"/>
    <w:rsid w:val="00CC00B7"/>
    <w:rsid w:val="00CC01A3"/>
    <w:rsid w:val="00CC03EC"/>
    <w:rsid w:val="00CC0501"/>
    <w:rsid w:val="00CC097E"/>
    <w:rsid w:val="00CC0DA9"/>
    <w:rsid w:val="00CC0E70"/>
    <w:rsid w:val="00CC1233"/>
    <w:rsid w:val="00CC1B10"/>
    <w:rsid w:val="00CC1C6D"/>
    <w:rsid w:val="00CC2B41"/>
    <w:rsid w:val="00CC2BDC"/>
    <w:rsid w:val="00CC36CE"/>
    <w:rsid w:val="00CC3C28"/>
    <w:rsid w:val="00CC412F"/>
    <w:rsid w:val="00CC52A4"/>
    <w:rsid w:val="00CC5B6E"/>
    <w:rsid w:val="00CC612B"/>
    <w:rsid w:val="00CC638A"/>
    <w:rsid w:val="00CC6742"/>
    <w:rsid w:val="00CC7DCF"/>
    <w:rsid w:val="00CD0160"/>
    <w:rsid w:val="00CD170D"/>
    <w:rsid w:val="00CD22A4"/>
    <w:rsid w:val="00CD31C4"/>
    <w:rsid w:val="00CD33F5"/>
    <w:rsid w:val="00CD39B5"/>
    <w:rsid w:val="00CD4252"/>
    <w:rsid w:val="00CD47DB"/>
    <w:rsid w:val="00CD4A6B"/>
    <w:rsid w:val="00CD4B59"/>
    <w:rsid w:val="00CD4C0B"/>
    <w:rsid w:val="00CD5230"/>
    <w:rsid w:val="00CD5E67"/>
    <w:rsid w:val="00CD6AA7"/>
    <w:rsid w:val="00CD71DB"/>
    <w:rsid w:val="00CD738B"/>
    <w:rsid w:val="00CD778D"/>
    <w:rsid w:val="00CD77C4"/>
    <w:rsid w:val="00CD79A0"/>
    <w:rsid w:val="00CD7E0E"/>
    <w:rsid w:val="00CE0D61"/>
    <w:rsid w:val="00CE1671"/>
    <w:rsid w:val="00CE1BEF"/>
    <w:rsid w:val="00CE1DFE"/>
    <w:rsid w:val="00CE1EFB"/>
    <w:rsid w:val="00CE1F05"/>
    <w:rsid w:val="00CE2620"/>
    <w:rsid w:val="00CE2772"/>
    <w:rsid w:val="00CE2D92"/>
    <w:rsid w:val="00CE3897"/>
    <w:rsid w:val="00CE3DB4"/>
    <w:rsid w:val="00CE3FD6"/>
    <w:rsid w:val="00CE4C10"/>
    <w:rsid w:val="00CE5AEE"/>
    <w:rsid w:val="00CE5D4F"/>
    <w:rsid w:val="00CE5EBD"/>
    <w:rsid w:val="00CE6305"/>
    <w:rsid w:val="00CE6B4E"/>
    <w:rsid w:val="00CE79A2"/>
    <w:rsid w:val="00CE79B5"/>
    <w:rsid w:val="00CE7B37"/>
    <w:rsid w:val="00CE7BAF"/>
    <w:rsid w:val="00CE7E08"/>
    <w:rsid w:val="00CF0129"/>
    <w:rsid w:val="00CF0146"/>
    <w:rsid w:val="00CF05E7"/>
    <w:rsid w:val="00CF0CD8"/>
    <w:rsid w:val="00CF0D64"/>
    <w:rsid w:val="00CF1017"/>
    <w:rsid w:val="00CF1132"/>
    <w:rsid w:val="00CF17A7"/>
    <w:rsid w:val="00CF1D3A"/>
    <w:rsid w:val="00CF1F05"/>
    <w:rsid w:val="00CF2123"/>
    <w:rsid w:val="00CF36EE"/>
    <w:rsid w:val="00CF3928"/>
    <w:rsid w:val="00CF3CB7"/>
    <w:rsid w:val="00CF405F"/>
    <w:rsid w:val="00CF4FF0"/>
    <w:rsid w:val="00CF50E8"/>
    <w:rsid w:val="00CF64EF"/>
    <w:rsid w:val="00CF67DC"/>
    <w:rsid w:val="00CF798D"/>
    <w:rsid w:val="00CF7A63"/>
    <w:rsid w:val="00CF7BB9"/>
    <w:rsid w:val="00CF7C0E"/>
    <w:rsid w:val="00CF7C60"/>
    <w:rsid w:val="00CF7C90"/>
    <w:rsid w:val="00D00028"/>
    <w:rsid w:val="00D000C2"/>
    <w:rsid w:val="00D00A8F"/>
    <w:rsid w:val="00D00E82"/>
    <w:rsid w:val="00D011EE"/>
    <w:rsid w:val="00D01C02"/>
    <w:rsid w:val="00D01C77"/>
    <w:rsid w:val="00D02608"/>
    <w:rsid w:val="00D0261E"/>
    <w:rsid w:val="00D02D18"/>
    <w:rsid w:val="00D0313A"/>
    <w:rsid w:val="00D03677"/>
    <w:rsid w:val="00D03E7C"/>
    <w:rsid w:val="00D047DC"/>
    <w:rsid w:val="00D048B5"/>
    <w:rsid w:val="00D04DB5"/>
    <w:rsid w:val="00D0575E"/>
    <w:rsid w:val="00D06380"/>
    <w:rsid w:val="00D06CA4"/>
    <w:rsid w:val="00D06D45"/>
    <w:rsid w:val="00D06EC3"/>
    <w:rsid w:val="00D06FAF"/>
    <w:rsid w:val="00D07887"/>
    <w:rsid w:val="00D07D0D"/>
    <w:rsid w:val="00D07FBA"/>
    <w:rsid w:val="00D100CA"/>
    <w:rsid w:val="00D1019C"/>
    <w:rsid w:val="00D10212"/>
    <w:rsid w:val="00D107BA"/>
    <w:rsid w:val="00D11589"/>
    <w:rsid w:val="00D11D60"/>
    <w:rsid w:val="00D1214C"/>
    <w:rsid w:val="00D12938"/>
    <w:rsid w:val="00D12D5E"/>
    <w:rsid w:val="00D13A50"/>
    <w:rsid w:val="00D13B70"/>
    <w:rsid w:val="00D14029"/>
    <w:rsid w:val="00D143AF"/>
    <w:rsid w:val="00D1502A"/>
    <w:rsid w:val="00D15389"/>
    <w:rsid w:val="00D15AF8"/>
    <w:rsid w:val="00D15D5A"/>
    <w:rsid w:val="00D15E37"/>
    <w:rsid w:val="00D162C2"/>
    <w:rsid w:val="00D16656"/>
    <w:rsid w:val="00D17077"/>
    <w:rsid w:val="00D17C51"/>
    <w:rsid w:val="00D20807"/>
    <w:rsid w:val="00D20D9B"/>
    <w:rsid w:val="00D21298"/>
    <w:rsid w:val="00D216AF"/>
    <w:rsid w:val="00D2296B"/>
    <w:rsid w:val="00D23807"/>
    <w:rsid w:val="00D24BAC"/>
    <w:rsid w:val="00D26228"/>
    <w:rsid w:val="00D262BC"/>
    <w:rsid w:val="00D26CB5"/>
    <w:rsid w:val="00D27EDD"/>
    <w:rsid w:val="00D30040"/>
    <w:rsid w:val="00D314F5"/>
    <w:rsid w:val="00D31D0F"/>
    <w:rsid w:val="00D31DEB"/>
    <w:rsid w:val="00D3208A"/>
    <w:rsid w:val="00D32D66"/>
    <w:rsid w:val="00D3349C"/>
    <w:rsid w:val="00D33FF3"/>
    <w:rsid w:val="00D34133"/>
    <w:rsid w:val="00D34F89"/>
    <w:rsid w:val="00D354AC"/>
    <w:rsid w:val="00D3641C"/>
    <w:rsid w:val="00D364BF"/>
    <w:rsid w:val="00D36951"/>
    <w:rsid w:val="00D36F36"/>
    <w:rsid w:val="00D373B8"/>
    <w:rsid w:val="00D400D7"/>
    <w:rsid w:val="00D413EE"/>
    <w:rsid w:val="00D431B9"/>
    <w:rsid w:val="00D4435C"/>
    <w:rsid w:val="00D44FE6"/>
    <w:rsid w:val="00D45B5A"/>
    <w:rsid w:val="00D45FC2"/>
    <w:rsid w:val="00D461D9"/>
    <w:rsid w:val="00D46ED4"/>
    <w:rsid w:val="00D46F2D"/>
    <w:rsid w:val="00D47132"/>
    <w:rsid w:val="00D47953"/>
    <w:rsid w:val="00D500B8"/>
    <w:rsid w:val="00D5045B"/>
    <w:rsid w:val="00D50522"/>
    <w:rsid w:val="00D50D8B"/>
    <w:rsid w:val="00D51A77"/>
    <w:rsid w:val="00D52182"/>
    <w:rsid w:val="00D521B8"/>
    <w:rsid w:val="00D550DA"/>
    <w:rsid w:val="00D55482"/>
    <w:rsid w:val="00D564F5"/>
    <w:rsid w:val="00D5707B"/>
    <w:rsid w:val="00D57111"/>
    <w:rsid w:val="00D60824"/>
    <w:rsid w:val="00D62025"/>
    <w:rsid w:val="00D62869"/>
    <w:rsid w:val="00D62F74"/>
    <w:rsid w:val="00D6339E"/>
    <w:rsid w:val="00D63C3C"/>
    <w:rsid w:val="00D64507"/>
    <w:rsid w:val="00D64882"/>
    <w:rsid w:val="00D65099"/>
    <w:rsid w:val="00D65D85"/>
    <w:rsid w:val="00D66538"/>
    <w:rsid w:val="00D665E4"/>
    <w:rsid w:val="00D668AA"/>
    <w:rsid w:val="00D66B64"/>
    <w:rsid w:val="00D6707C"/>
    <w:rsid w:val="00D67754"/>
    <w:rsid w:val="00D704FA"/>
    <w:rsid w:val="00D705CA"/>
    <w:rsid w:val="00D711C8"/>
    <w:rsid w:val="00D714CA"/>
    <w:rsid w:val="00D716B4"/>
    <w:rsid w:val="00D71A5D"/>
    <w:rsid w:val="00D72070"/>
    <w:rsid w:val="00D72F3D"/>
    <w:rsid w:val="00D74447"/>
    <w:rsid w:val="00D754B1"/>
    <w:rsid w:val="00D757C6"/>
    <w:rsid w:val="00D76919"/>
    <w:rsid w:val="00D76A5F"/>
    <w:rsid w:val="00D76AF5"/>
    <w:rsid w:val="00D76BBF"/>
    <w:rsid w:val="00D77032"/>
    <w:rsid w:val="00D77A8D"/>
    <w:rsid w:val="00D77E74"/>
    <w:rsid w:val="00D8018B"/>
    <w:rsid w:val="00D80E2D"/>
    <w:rsid w:val="00D8118F"/>
    <w:rsid w:val="00D81503"/>
    <w:rsid w:val="00D81FEC"/>
    <w:rsid w:val="00D82163"/>
    <w:rsid w:val="00D822D8"/>
    <w:rsid w:val="00D82508"/>
    <w:rsid w:val="00D82AE9"/>
    <w:rsid w:val="00D82D17"/>
    <w:rsid w:val="00D82DAE"/>
    <w:rsid w:val="00D82F19"/>
    <w:rsid w:val="00D836FA"/>
    <w:rsid w:val="00D84A2F"/>
    <w:rsid w:val="00D84B0D"/>
    <w:rsid w:val="00D858CA"/>
    <w:rsid w:val="00D86062"/>
    <w:rsid w:val="00D86E4A"/>
    <w:rsid w:val="00D8721A"/>
    <w:rsid w:val="00D8734B"/>
    <w:rsid w:val="00D8768C"/>
    <w:rsid w:val="00D907D6"/>
    <w:rsid w:val="00D9094C"/>
    <w:rsid w:val="00D90B02"/>
    <w:rsid w:val="00D90ED0"/>
    <w:rsid w:val="00D91540"/>
    <w:rsid w:val="00D91FC5"/>
    <w:rsid w:val="00D9246C"/>
    <w:rsid w:val="00D92F14"/>
    <w:rsid w:val="00D9300E"/>
    <w:rsid w:val="00D93806"/>
    <w:rsid w:val="00D93DC6"/>
    <w:rsid w:val="00D9465F"/>
    <w:rsid w:val="00D947FE"/>
    <w:rsid w:val="00D94D7E"/>
    <w:rsid w:val="00D95A25"/>
    <w:rsid w:val="00D95FFB"/>
    <w:rsid w:val="00D97913"/>
    <w:rsid w:val="00D9797D"/>
    <w:rsid w:val="00D97C3C"/>
    <w:rsid w:val="00D97EFD"/>
    <w:rsid w:val="00D97FD0"/>
    <w:rsid w:val="00DA00CB"/>
    <w:rsid w:val="00DA092F"/>
    <w:rsid w:val="00DA1271"/>
    <w:rsid w:val="00DA1774"/>
    <w:rsid w:val="00DA1996"/>
    <w:rsid w:val="00DA1AAF"/>
    <w:rsid w:val="00DA2E99"/>
    <w:rsid w:val="00DA3A05"/>
    <w:rsid w:val="00DA3C0F"/>
    <w:rsid w:val="00DA41F0"/>
    <w:rsid w:val="00DA47F5"/>
    <w:rsid w:val="00DA49D5"/>
    <w:rsid w:val="00DA4ADC"/>
    <w:rsid w:val="00DA523B"/>
    <w:rsid w:val="00DA5DF6"/>
    <w:rsid w:val="00DA6587"/>
    <w:rsid w:val="00DA66A9"/>
    <w:rsid w:val="00DB0157"/>
    <w:rsid w:val="00DB02EA"/>
    <w:rsid w:val="00DB0B82"/>
    <w:rsid w:val="00DB0C84"/>
    <w:rsid w:val="00DB0E67"/>
    <w:rsid w:val="00DB188B"/>
    <w:rsid w:val="00DB1DAB"/>
    <w:rsid w:val="00DB21F5"/>
    <w:rsid w:val="00DB2D93"/>
    <w:rsid w:val="00DB30C2"/>
    <w:rsid w:val="00DB349D"/>
    <w:rsid w:val="00DB3656"/>
    <w:rsid w:val="00DB36DB"/>
    <w:rsid w:val="00DB37D3"/>
    <w:rsid w:val="00DB3AD5"/>
    <w:rsid w:val="00DB3FB3"/>
    <w:rsid w:val="00DB4AB2"/>
    <w:rsid w:val="00DB4D37"/>
    <w:rsid w:val="00DB5482"/>
    <w:rsid w:val="00DB5544"/>
    <w:rsid w:val="00DB5572"/>
    <w:rsid w:val="00DB5896"/>
    <w:rsid w:val="00DB648A"/>
    <w:rsid w:val="00DB6970"/>
    <w:rsid w:val="00DC0668"/>
    <w:rsid w:val="00DC08C4"/>
    <w:rsid w:val="00DC0C51"/>
    <w:rsid w:val="00DC139F"/>
    <w:rsid w:val="00DC1FC5"/>
    <w:rsid w:val="00DC346E"/>
    <w:rsid w:val="00DC3B80"/>
    <w:rsid w:val="00DC3ECD"/>
    <w:rsid w:val="00DC4743"/>
    <w:rsid w:val="00DC5758"/>
    <w:rsid w:val="00DC607E"/>
    <w:rsid w:val="00DC6341"/>
    <w:rsid w:val="00DC6ADA"/>
    <w:rsid w:val="00DC773F"/>
    <w:rsid w:val="00DD0B8F"/>
    <w:rsid w:val="00DD0D2F"/>
    <w:rsid w:val="00DD0DA7"/>
    <w:rsid w:val="00DD24F7"/>
    <w:rsid w:val="00DD3247"/>
    <w:rsid w:val="00DD3450"/>
    <w:rsid w:val="00DD389D"/>
    <w:rsid w:val="00DD55C0"/>
    <w:rsid w:val="00DD6748"/>
    <w:rsid w:val="00DD67C3"/>
    <w:rsid w:val="00DD6E73"/>
    <w:rsid w:val="00DD7646"/>
    <w:rsid w:val="00DE00FB"/>
    <w:rsid w:val="00DE0468"/>
    <w:rsid w:val="00DE0882"/>
    <w:rsid w:val="00DE0C05"/>
    <w:rsid w:val="00DE13B9"/>
    <w:rsid w:val="00DE2E71"/>
    <w:rsid w:val="00DE3660"/>
    <w:rsid w:val="00DE40E0"/>
    <w:rsid w:val="00DE44E5"/>
    <w:rsid w:val="00DE5292"/>
    <w:rsid w:val="00DE5DA2"/>
    <w:rsid w:val="00DE6096"/>
    <w:rsid w:val="00DE650A"/>
    <w:rsid w:val="00DE651F"/>
    <w:rsid w:val="00DE669D"/>
    <w:rsid w:val="00DE6870"/>
    <w:rsid w:val="00DE738E"/>
    <w:rsid w:val="00DE7689"/>
    <w:rsid w:val="00DE78F8"/>
    <w:rsid w:val="00DE79D5"/>
    <w:rsid w:val="00DE7A47"/>
    <w:rsid w:val="00DE7A5A"/>
    <w:rsid w:val="00DE7D16"/>
    <w:rsid w:val="00DE7E0C"/>
    <w:rsid w:val="00DF050E"/>
    <w:rsid w:val="00DF0AD1"/>
    <w:rsid w:val="00DF1082"/>
    <w:rsid w:val="00DF2066"/>
    <w:rsid w:val="00DF23F8"/>
    <w:rsid w:val="00DF2B02"/>
    <w:rsid w:val="00DF2F43"/>
    <w:rsid w:val="00DF464F"/>
    <w:rsid w:val="00DF4B9B"/>
    <w:rsid w:val="00DF5042"/>
    <w:rsid w:val="00DF53AF"/>
    <w:rsid w:val="00DF590F"/>
    <w:rsid w:val="00DF63C5"/>
    <w:rsid w:val="00DF6905"/>
    <w:rsid w:val="00DF6AD5"/>
    <w:rsid w:val="00DF706D"/>
    <w:rsid w:val="00DF70DC"/>
    <w:rsid w:val="00DF7849"/>
    <w:rsid w:val="00E00910"/>
    <w:rsid w:val="00E00A69"/>
    <w:rsid w:val="00E023D9"/>
    <w:rsid w:val="00E030F1"/>
    <w:rsid w:val="00E04214"/>
    <w:rsid w:val="00E0515B"/>
    <w:rsid w:val="00E05AAC"/>
    <w:rsid w:val="00E05D5E"/>
    <w:rsid w:val="00E0623C"/>
    <w:rsid w:val="00E06291"/>
    <w:rsid w:val="00E0634B"/>
    <w:rsid w:val="00E06AC9"/>
    <w:rsid w:val="00E10472"/>
    <w:rsid w:val="00E10F62"/>
    <w:rsid w:val="00E11944"/>
    <w:rsid w:val="00E119BF"/>
    <w:rsid w:val="00E11D92"/>
    <w:rsid w:val="00E12554"/>
    <w:rsid w:val="00E12949"/>
    <w:rsid w:val="00E12DFB"/>
    <w:rsid w:val="00E12E10"/>
    <w:rsid w:val="00E13374"/>
    <w:rsid w:val="00E13A5A"/>
    <w:rsid w:val="00E13DC1"/>
    <w:rsid w:val="00E13E06"/>
    <w:rsid w:val="00E1421D"/>
    <w:rsid w:val="00E1460D"/>
    <w:rsid w:val="00E14ED0"/>
    <w:rsid w:val="00E150DF"/>
    <w:rsid w:val="00E15D46"/>
    <w:rsid w:val="00E164CB"/>
    <w:rsid w:val="00E16A70"/>
    <w:rsid w:val="00E16C6B"/>
    <w:rsid w:val="00E170A7"/>
    <w:rsid w:val="00E201A5"/>
    <w:rsid w:val="00E21364"/>
    <w:rsid w:val="00E216A4"/>
    <w:rsid w:val="00E21819"/>
    <w:rsid w:val="00E222B0"/>
    <w:rsid w:val="00E229F6"/>
    <w:rsid w:val="00E240CB"/>
    <w:rsid w:val="00E248A1"/>
    <w:rsid w:val="00E25369"/>
    <w:rsid w:val="00E256C2"/>
    <w:rsid w:val="00E262E0"/>
    <w:rsid w:val="00E26E54"/>
    <w:rsid w:val="00E27286"/>
    <w:rsid w:val="00E27631"/>
    <w:rsid w:val="00E27CA2"/>
    <w:rsid w:val="00E27D75"/>
    <w:rsid w:val="00E27D7B"/>
    <w:rsid w:val="00E30873"/>
    <w:rsid w:val="00E3246B"/>
    <w:rsid w:val="00E32A00"/>
    <w:rsid w:val="00E3363D"/>
    <w:rsid w:val="00E3386C"/>
    <w:rsid w:val="00E34984"/>
    <w:rsid w:val="00E34D9E"/>
    <w:rsid w:val="00E353E1"/>
    <w:rsid w:val="00E3585E"/>
    <w:rsid w:val="00E35DCC"/>
    <w:rsid w:val="00E36850"/>
    <w:rsid w:val="00E36991"/>
    <w:rsid w:val="00E37B96"/>
    <w:rsid w:val="00E4033B"/>
    <w:rsid w:val="00E403E5"/>
    <w:rsid w:val="00E405B0"/>
    <w:rsid w:val="00E41AC4"/>
    <w:rsid w:val="00E425B2"/>
    <w:rsid w:val="00E427C7"/>
    <w:rsid w:val="00E42F0B"/>
    <w:rsid w:val="00E43351"/>
    <w:rsid w:val="00E43941"/>
    <w:rsid w:val="00E45AE2"/>
    <w:rsid w:val="00E4623B"/>
    <w:rsid w:val="00E46416"/>
    <w:rsid w:val="00E46685"/>
    <w:rsid w:val="00E46E65"/>
    <w:rsid w:val="00E519F2"/>
    <w:rsid w:val="00E529B1"/>
    <w:rsid w:val="00E52CB6"/>
    <w:rsid w:val="00E52E7E"/>
    <w:rsid w:val="00E53093"/>
    <w:rsid w:val="00E53571"/>
    <w:rsid w:val="00E54A6D"/>
    <w:rsid w:val="00E54C25"/>
    <w:rsid w:val="00E54E27"/>
    <w:rsid w:val="00E551EF"/>
    <w:rsid w:val="00E552B5"/>
    <w:rsid w:val="00E55B92"/>
    <w:rsid w:val="00E565F8"/>
    <w:rsid w:val="00E567B9"/>
    <w:rsid w:val="00E5690A"/>
    <w:rsid w:val="00E576C2"/>
    <w:rsid w:val="00E57A3F"/>
    <w:rsid w:val="00E609E8"/>
    <w:rsid w:val="00E61072"/>
    <w:rsid w:val="00E61616"/>
    <w:rsid w:val="00E61B5C"/>
    <w:rsid w:val="00E61D5F"/>
    <w:rsid w:val="00E6254F"/>
    <w:rsid w:val="00E62EBE"/>
    <w:rsid w:val="00E63014"/>
    <w:rsid w:val="00E633F9"/>
    <w:rsid w:val="00E637E1"/>
    <w:rsid w:val="00E63CCF"/>
    <w:rsid w:val="00E64584"/>
    <w:rsid w:val="00E647D8"/>
    <w:rsid w:val="00E64ACE"/>
    <w:rsid w:val="00E65264"/>
    <w:rsid w:val="00E656E3"/>
    <w:rsid w:val="00E65A24"/>
    <w:rsid w:val="00E66B20"/>
    <w:rsid w:val="00E66EF8"/>
    <w:rsid w:val="00E672EC"/>
    <w:rsid w:val="00E6736C"/>
    <w:rsid w:val="00E677FB"/>
    <w:rsid w:val="00E704E6"/>
    <w:rsid w:val="00E71406"/>
    <w:rsid w:val="00E716FD"/>
    <w:rsid w:val="00E71805"/>
    <w:rsid w:val="00E71974"/>
    <w:rsid w:val="00E71F7D"/>
    <w:rsid w:val="00E72465"/>
    <w:rsid w:val="00E724D9"/>
    <w:rsid w:val="00E7329A"/>
    <w:rsid w:val="00E73854"/>
    <w:rsid w:val="00E74B49"/>
    <w:rsid w:val="00E75893"/>
    <w:rsid w:val="00E75F2F"/>
    <w:rsid w:val="00E76231"/>
    <w:rsid w:val="00E7672E"/>
    <w:rsid w:val="00E76C2A"/>
    <w:rsid w:val="00E770AB"/>
    <w:rsid w:val="00E7713F"/>
    <w:rsid w:val="00E800E9"/>
    <w:rsid w:val="00E80129"/>
    <w:rsid w:val="00E8079D"/>
    <w:rsid w:val="00E80881"/>
    <w:rsid w:val="00E80AED"/>
    <w:rsid w:val="00E812C5"/>
    <w:rsid w:val="00E814E2"/>
    <w:rsid w:val="00E815EB"/>
    <w:rsid w:val="00E81C3F"/>
    <w:rsid w:val="00E82FBB"/>
    <w:rsid w:val="00E83076"/>
    <w:rsid w:val="00E832F6"/>
    <w:rsid w:val="00E83337"/>
    <w:rsid w:val="00E8381F"/>
    <w:rsid w:val="00E842E9"/>
    <w:rsid w:val="00E85A49"/>
    <w:rsid w:val="00E86E8D"/>
    <w:rsid w:val="00E8735A"/>
    <w:rsid w:val="00E875F3"/>
    <w:rsid w:val="00E877BF"/>
    <w:rsid w:val="00E906CF"/>
    <w:rsid w:val="00E91280"/>
    <w:rsid w:val="00E9180A"/>
    <w:rsid w:val="00E918B8"/>
    <w:rsid w:val="00E91C61"/>
    <w:rsid w:val="00E91DF9"/>
    <w:rsid w:val="00E91E17"/>
    <w:rsid w:val="00E92547"/>
    <w:rsid w:val="00E92974"/>
    <w:rsid w:val="00E92B5A"/>
    <w:rsid w:val="00E92D32"/>
    <w:rsid w:val="00E9315A"/>
    <w:rsid w:val="00E94A2D"/>
    <w:rsid w:val="00E94C2D"/>
    <w:rsid w:val="00E95185"/>
    <w:rsid w:val="00E9573B"/>
    <w:rsid w:val="00E96E20"/>
    <w:rsid w:val="00E979FA"/>
    <w:rsid w:val="00E97EA3"/>
    <w:rsid w:val="00EA01AF"/>
    <w:rsid w:val="00EA06C8"/>
    <w:rsid w:val="00EA0797"/>
    <w:rsid w:val="00EA16D1"/>
    <w:rsid w:val="00EA1853"/>
    <w:rsid w:val="00EA18F6"/>
    <w:rsid w:val="00EA1CCA"/>
    <w:rsid w:val="00EA1CD8"/>
    <w:rsid w:val="00EA1E37"/>
    <w:rsid w:val="00EA251E"/>
    <w:rsid w:val="00EA2A81"/>
    <w:rsid w:val="00EA350C"/>
    <w:rsid w:val="00EA3992"/>
    <w:rsid w:val="00EA3AEA"/>
    <w:rsid w:val="00EA3C53"/>
    <w:rsid w:val="00EA431B"/>
    <w:rsid w:val="00EA44E5"/>
    <w:rsid w:val="00EA457E"/>
    <w:rsid w:val="00EA5BDA"/>
    <w:rsid w:val="00EA6BA4"/>
    <w:rsid w:val="00EA73DE"/>
    <w:rsid w:val="00EB010D"/>
    <w:rsid w:val="00EB0401"/>
    <w:rsid w:val="00EB1157"/>
    <w:rsid w:val="00EB1426"/>
    <w:rsid w:val="00EB1AE5"/>
    <w:rsid w:val="00EB221A"/>
    <w:rsid w:val="00EB2B7A"/>
    <w:rsid w:val="00EB2C99"/>
    <w:rsid w:val="00EB2D24"/>
    <w:rsid w:val="00EB3021"/>
    <w:rsid w:val="00EB5F60"/>
    <w:rsid w:val="00EB646E"/>
    <w:rsid w:val="00EB6AEE"/>
    <w:rsid w:val="00EB6D44"/>
    <w:rsid w:val="00EB7C62"/>
    <w:rsid w:val="00EC01FC"/>
    <w:rsid w:val="00EC073F"/>
    <w:rsid w:val="00EC0FBB"/>
    <w:rsid w:val="00EC106B"/>
    <w:rsid w:val="00EC16CB"/>
    <w:rsid w:val="00EC196C"/>
    <w:rsid w:val="00EC1995"/>
    <w:rsid w:val="00EC1E25"/>
    <w:rsid w:val="00EC1F22"/>
    <w:rsid w:val="00EC252D"/>
    <w:rsid w:val="00EC2A0C"/>
    <w:rsid w:val="00EC340F"/>
    <w:rsid w:val="00EC50B3"/>
    <w:rsid w:val="00EC646E"/>
    <w:rsid w:val="00EC6A3E"/>
    <w:rsid w:val="00EC717F"/>
    <w:rsid w:val="00EC7541"/>
    <w:rsid w:val="00EC7B5D"/>
    <w:rsid w:val="00EC7BD9"/>
    <w:rsid w:val="00EC7D15"/>
    <w:rsid w:val="00EC7DF6"/>
    <w:rsid w:val="00EC7DFC"/>
    <w:rsid w:val="00ED04D2"/>
    <w:rsid w:val="00ED0546"/>
    <w:rsid w:val="00ED0A3A"/>
    <w:rsid w:val="00ED0B14"/>
    <w:rsid w:val="00ED14DF"/>
    <w:rsid w:val="00ED163C"/>
    <w:rsid w:val="00ED168E"/>
    <w:rsid w:val="00ED26BA"/>
    <w:rsid w:val="00ED2AE5"/>
    <w:rsid w:val="00ED2B7F"/>
    <w:rsid w:val="00ED31DA"/>
    <w:rsid w:val="00ED3AB5"/>
    <w:rsid w:val="00ED4193"/>
    <w:rsid w:val="00ED4B14"/>
    <w:rsid w:val="00ED5CA2"/>
    <w:rsid w:val="00ED5D5F"/>
    <w:rsid w:val="00ED65DE"/>
    <w:rsid w:val="00ED6A21"/>
    <w:rsid w:val="00ED6F62"/>
    <w:rsid w:val="00ED7D0D"/>
    <w:rsid w:val="00ED7DE1"/>
    <w:rsid w:val="00EE0579"/>
    <w:rsid w:val="00EE1AC4"/>
    <w:rsid w:val="00EE271C"/>
    <w:rsid w:val="00EE2F80"/>
    <w:rsid w:val="00EE34A6"/>
    <w:rsid w:val="00EE3500"/>
    <w:rsid w:val="00EE38C9"/>
    <w:rsid w:val="00EE3EC0"/>
    <w:rsid w:val="00EE4776"/>
    <w:rsid w:val="00EE4A6B"/>
    <w:rsid w:val="00EE57E1"/>
    <w:rsid w:val="00EE5BBE"/>
    <w:rsid w:val="00EE6289"/>
    <w:rsid w:val="00EE71D0"/>
    <w:rsid w:val="00EE723F"/>
    <w:rsid w:val="00EE76D3"/>
    <w:rsid w:val="00EE7EDC"/>
    <w:rsid w:val="00EF07EA"/>
    <w:rsid w:val="00EF0F97"/>
    <w:rsid w:val="00EF1CF9"/>
    <w:rsid w:val="00EF1D31"/>
    <w:rsid w:val="00EF277A"/>
    <w:rsid w:val="00EF2790"/>
    <w:rsid w:val="00EF2F74"/>
    <w:rsid w:val="00EF302C"/>
    <w:rsid w:val="00EF3574"/>
    <w:rsid w:val="00EF3592"/>
    <w:rsid w:val="00EF3784"/>
    <w:rsid w:val="00EF39C7"/>
    <w:rsid w:val="00EF4190"/>
    <w:rsid w:val="00EF4450"/>
    <w:rsid w:val="00EF4ABC"/>
    <w:rsid w:val="00EF61EA"/>
    <w:rsid w:val="00EF6E76"/>
    <w:rsid w:val="00EF7196"/>
    <w:rsid w:val="00EF72E5"/>
    <w:rsid w:val="00EF7A74"/>
    <w:rsid w:val="00EF7D9C"/>
    <w:rsid w:val="00F00108"/>
    <w:rsid w:val="00F00163"/>
    <w:rsid w:val="00F00519"/>
    <w:rsid w:val="00F0055C"/>
    <w:rsid w:val="00F01342"/>
    <w:rsid w:val="00F01847"/>
    <w:rsid w:val="00F02250"/>
    <w:rsid w:val="00F02280"/>
    <w:rsid w:val="00F027C9"/>
    <w:rsid w:val="00F029DC"/>
    <w:rsid w:val="00F039BD"/>
    <w:rsid w:val="00F042F2"/>
    <w:rsid w:val="00F046B6"/>
    <w:rsid w:val="00F051B0"/>
    <w:rsid w:val="00F05780"/>
    <w:rsid w:val="00F05C41"/>
    <w:rsid w:val="00F05DFD"/>
    <w:rsid w:val="00F078B2"/>
    <w:rsid w:val="00F10037"/>
    <w:rsid w:val="00F100EF"/>
    <w:rsid w:val="00F10E41"/>
    <w:rsid w:val="00F11482"/>
    <w:rsid w:val="00F114EF"/>
    <w:rsid w:val="00F117B7"/>
    <w:rsid w:val="00F1188B"/>
    <w:rsid w:val="00F118A7"/>
    <w:rsid w:val="00F12851"/>
    <w:rsid w:val="00F12A70"/>
    <w:rsid w:val="00F13706"/>
    <w:rsid w:val="00F13734"/>
    <w:rsid w:val="00F139AA"/>
    <w:rsid w:val="00F1475E"/>
    <w:rsid w:val="00F14770"/>
    <w:rsid w:val="00F15316"/>
    <w:rsid w:val="00F15337"/>
    <w:rsid w:val="00F15D81"/>
    <w:rsid w:val="00F164CB"/>
    <w:rsid w:val="00F165F0"/>
    <w:rsid w:val="00F16A61"/>
    <w:rsid w:val="00F170A1"/>
    <w:rsid w:val="00F203E5"/>
    <w:rsid w:val="00F2147A"/>
    <w:rsid w:val="00F22069"/>
    <w:rsid w:val="00F224F3"/>
    <w:rsid w:val="00F22A32"/>
    <w:rsid w:val="00F22AFE"/>
    <w:rsid w:val="00F22C6F"/>
    <w:rsid w:val="00F22D0E"/>
    <w:rsid w:val="00F22E6A"/>
    <w:rsid w:val="00F2431D"/>
    <w:rsid w:val="00F2521A"/>
    <w:rsid w:val="00F25901"/>
    <w:rsid w:val="00F26008"/>
    <w:rsid w:val="00F26337"/>
    <w:rsid w:val="00F263B4"/>
    <w:rsid w:val="00F2645B"/>
    <w:rsid w:val="00F26D54"/>
    <w:rsid w:val="00F27166"/>
    <w:rsid w:val="00F27233"/>
    <w:rsid w:val="00F27672"/>
    <w:rsid w:val="00F27877"/>
    <w:rsid w:val="00F30193"/>
    <w:rsid w:val="00F303C2"/>
    <w:rsid w:val="00F3094A"/>
    <w:rsid w:val="00F30AAB"/>
    <w:rsid w:val="00F30E73"/>
    <w:rsid w:val="00F30FEB"/>
    <w:rsid w:val="00F31592"/>
    <w:rsid w:val="00F319A5"/>
    <w:rsid w:val="00F31B70"/>
    <w:rsid w:val="00F32597"/>
    <w:rsid w:val="00F328DE"/>
    <w:rsid w:val="00F32F43"/>
    <w:rsid w:val="00F33A2D"/>
    <w:rsid w:val="00F33F34"/>
    <w:rsid w:val="00F34458"/>
    <w:rsid w:val="00F34AA1"/>
    <w:rsid w:val="00F34C1E"/>
    <w:rsid w:val="00F35601"/>
    <w:rsid w:val="00F35A38"/>
    <w:rsid w:val="00F3600C"/>
    <w:rsid w:val="00F36A86"/>
    <w:rsid w:val="00F3760D"/>
    <w:rsid w:val="00F37951"/>
    <w:rsid w:val="00F40066"/>
    <w:rsid w:val="00F40742"/>
    <w:rsid w:val="00F40860"/>
    <w:rsid w:val="00F409A1"/>
    <w:rsid w:val="00F41A29"/>
    <w:rsid w:val="00F423F9"/>
    <w:rsid w:val="00F42656"/>
    <w:rsid w:val="00F42A56"/>
    <w:rsid w:val="00F42C64"/>
    <w:rsid w:val="00F4300C"/>
    <w:rsid w:val="00F4318F"/>
    <w:rsid w:val="00F4391D"/>
    <w:rsid w:val="00F43C1B"/>
    <w:rsid w:val="00F44CD4"/>
    <w:rsid w:val="00F45061"/>
    <w:rsid w:val="00F45B8F"/>
    <w:rsid w:val="00F467E9"/>
    <w:rsid w:val="00F46E07"/>
    <w:rsid w:val="00F47555"/>
    <w:rsid w:val="00F4775E"/>
    <w:rsid w:val="00F4781E"/>
    <w:rsid w:val="00F47C3C"/>
    <w:rsid w:val="00F47FA9"/>
    <w:rsid w:val="00F50B7A"/>
    <w:rsid w:val="00F50BA2"/>
    <w:rsid w:val="00F50FBB"/>
    <w:rsid w:val="00F519F9"/>
    <w:rsid w:val="00F52167"/>
    <w:rsid w:val="00F52387"/>
    <w:rsid w:val="00F52737"/>
    <w:rsid w:val="00F52911"/>
    <w:rsid w:val="00F52E3A"/>
    <w:rsid w:val="00F52E88"/>
    <w:rsid w:val="00F52FB4"/>
    <w:rsid w:val="00F536B5"/>
    <w:rsid w:val="00F53FFD"/>
    <w:rsid w:val="00F556F1"/>
    <w:rsid w:val="00F566FB"/>
    <w:rsid w:val="00F56E37"/>
    <w:rsid w:val="00F56E5F"/>
    <w:rsid w:val="00F571D9"/>
    <w:rsid w:val="00F572D3"/>
    <w:rsid w:val="00F57319"/>
    <w:rsid w:val="00F60FBF"/>
    <w:rsid w:val="00F6156B"/>
    <w:rsid w:val="00F61E38"/>
    <w:rsid w:val="00F6287F"/>
    <w:rsid w:val="00F62BE8"/>
    <w:rsid w:val="00F63D0B"/>
    <w:rsid w:val="00F63E9B"/>
    <w:rsid w:val="00F63FF6"/>
    <w:rsid w:val="00F64639"/>
    <w:rsid w:val="00F64698"/>
    <w:rsid w:val="00F6482A"/>
    <w:rsid w:val="00F64CDF"/>
    <w:rsid w:val="00F65087"/>
    <w:rsid w:val="00F66734"/>
    <w:rsid w:val="00F674B8"/>
    <w:rsid w:val="00F67BB8"/>
    <w:rsid w:val="00F67CAA"/>
    <w:rsid w:val="00F70364"/>
    <w:rsid w:val="00F70434"/>
    <w:rsid w:val="00F710C2"/>
    <w:rsid w:val="00F711A7"/>
    <w:rsid w:val="00F71FD7"/>
    <w:rsid w:val="00F72AE1"/>
    <w:rsid w:val="00F72B62"/>
    <w:rsid w:val="00F72FFB"/>
    <w:rsid w:val="00F73503"/>
    <w:rsid w:val="00F73575"/>
    <w:rsid w:val="00F73C46"/>
    <w:rsid w:val="00F74F45"/>
    <w:rsid w:val="00F760B9"/>
    <w:rsid w:val="00F768BE"/>
    <w:rsid w:val="00F76ABD"/>
    <w:rsid w:val="00F76AC8"/>
    <w:rsid w:val="00F76F71"/>
    <w:rsid w:val="00F771E4"/>
    <w:rsid w:val="00F7778C"/>
    <w:rsid w:val="00F80765"/>
    <w:rsid w:val="00F8080F"/>
    <w:rsid w:val="00F82045"/>
    <w:rsid w:val="00F822F5"/>
    <w:rsid w:val="00F82AF3"/>
    <w:rsid w:val="00F82CE8"/>
    <w:rsid w:val="00F83581"/>
    <w:rsid w:val="00F835EA"/>
    <w:rsid w:val="00F83731"/>
    <w:rsid w:val="00F83E2E"/>
    <w:rsid w:val="00F846D2"/>
    <w:rsid w:val="00F84B08"/>
    <w:rsid w:val="00F84CA5"/>
    <w:rsid w:val="00F84D46"/>
    <w:rsid w:val="00F853D0"/>
    <w:rsid w:val="00F85509"/>
    <w:rsid w:val="00F86052"/>
    <w:rsid w:val="00F86603"/>
    <w:rsid w:val="00F86A68"/>
    <w:rsid w:val="00F86CB7"/>
    <w:rsid w:val="00F86E29"/>
    <w:rsid w:val="00F87350"/>
    <w:rsid w:val="00F873FD"/>
    <w:rsid w:val="00F8747F"/>
    <w:rsid w:val="00F87FF2"/>
    <w:rsid w:val="00F90A95"/>
    <w:rsid w:val="00F90E02"/>
    <w:rsid w:val="00F90EAA"/>
    <w:rsid w:val="00F91CB0"/>
    <w:rsid w:val="00F91D58"/>
    <w:rsid w:val="00F91D9A"/>
    <w:rsid w:val="00F926E0"/>
    <w:rsid w:val="00F92C41"/>
    <w:rsid w:val="00F9303C"/>
    <w:rsid w:val="00F93087"/>
    <w:rsid w:val="00F930C1"/>
    <w:rsid w:val="00F934B0"/>
    <w:rsid w:val="00F9365A"/>
    <w:rsid w:val="00F93722"/>
    <w:rsid w:val="00F93E0E"/>
    <w:rsid w:val="00F94178"/>
    <w:rsid w:val="00F947A5"/>
    <w:rsid w:val="00F947B4"/>
    <w:rsid w:val="00F94A30"/>
    <w:rsid w:val="00F956DD"/>
    <w:rsid w:val="00F95C55"/>
    <w:rsid w:val="00F96857"/>
    <w:rsid w:val="00F96987"/>
    <w:rsid w:val="00F96C85"/>
    <w:rsid w:val="00F96EA2"/>
    <w:rsid w:val="00F96FD6"/>
    <w:rsid w:val="00F973D1"/>
    <w:rsid w:val="00F97C31"/>
    <w:rsid w:val="00F97EAA"/>
    <w:rsid w:val="00FA0792"/>
    <w:rsid w:val="00FA16E9"/>
    <w:rsid w:val="00FA1966"/>
    <w:rsid w:val="00FA1D31"/>
    <w:rsid w:val="00FA261D"/>
    <w:rsid w:val="00FA31DB"/>
    <w:rsid w:val="00FA4B26"/>
    <w:rsid w:val="00FA52F2"/>
    <w:rsid w:val="00FA56D8"/>
    <w:rsid w:val="00FA5EEB"/>
    <w:rsid w:val="00FA62CE"/>
    <w:rsid w:val="00FA6ADD"/>
    <w:rsid w:val="00FA726B"/>
    <w:rsid w:val="00FA732A"/>
    <w:rsid w:val="00FA7397"/>
    <w:rsid w:val="00FB0C95"/>
    <w:rsid w:val="00FB10E8"/>
    <w:rsid w:val="00FB2DC1"/>
    <w:rsid w:val="00FB303F"/>
    <w:rsid w:val="00FB3706"/>
    <w:rsid w:val="00FB3D90"/>
    <w:rsid w:val="00FB3FD1"/>
    <w:rsid w:val="00FB4150"/>
    <w:rsid w:val="00FB4721"/>
    <w:rsid w:val="00FB47CD"/>
    <w:rsid w:val="00FB482E"/>
    <w:rsid w:val="00FB48D7"/>
    <w:rsid w:val="00FB4E3E"/>
    <w:rsid w:val="00FB535E"/>
    <w:rsid w:val="00FB5AE5"/>
    <w:rsid w:val="00FB60E7"/>
    <w:rsid w:val="00FB61BE"/>
    <w:rsid w:val="00FB637A"/>
    <w:rsid w:val="00FB65BE"/>
    <w:rsid w:val="00FB65D7"/>
    <w:rsid w:val="00FB6B7E"/>
    <w:rsid w:val="00FB7510"/>
    <w:rsid w:val="00FB7CA0"/>
    <w:rsid w:val="00FC039C"/>
    <w:rsid w:val="00FC0793"/>
    <w:rsid w:val="00FC0C71"/>
    <w:rsid w:val="00FC16C2"/>
    <w:rsid w:val="00FC25F8"/>
    <w:rsid w:val="00FC2C9E"/>
    <w:rsid w:val="00FC316B"/>
    <w:rsid w:val="00FC3581"/>
    <w:rsid w:val="00FC369D"/>
    <w:rsid w:val="00FC37C8"/>
    <w:rsid w:val="00FC3FEC"/>
    <w:rsid w:val="00FC413E"/>
    <w:rsid w:val="00FC4184"/>
    <w:rsid w:val="00FC56D0"/>
    <w:rsid w:val="00FC5832"/>
    <w:rsid w:val="00FC637A"/>
    <w:rsid w:val="00FC664F"/>
    <w:rsid w:val="00FC6FF0"/>
    <w:rsid w:val="00FC75E3"/>
    <w:rsid w:val="00FC79C6"/>
    <w:rsid w:val="00FC7E35"/>
    <w:rsid w:val="00FD03CF"/>
    <w:rsid w:val="00FD0664"/>
    <w:rsid w:val="00FD081A"/>
    <w:rsid w:val="00FD142F"/>
    <w:rsid w:val="00FD148A"/>
    <w:rsid w:val="00FD185D"/>
    <w:rsid w:val="00FD2318"/>
    <w:rsid w:val="00FD25C7"/>
    <w:rsid w:val="00FD364B"/>
    <w:rsid w:val="00FD468E"/>
    <w:rsid w:val="00FD499B"/>
    <w:rsid w:val="00FD567F"/>
    <w:rsid w:val="00FD5773"/>
    <w:rsid w:val="00FD580B"/>
    <w:rsid w:val="00FD63E1"/>
    <w:rsid w:val="00FD794B"/>
    <w:rsid w:val="00FD7B9C"/>
    <w:rsid w:val="00FD7C0B"/>
    <w:rsid w:val="00FD7E31"/>
    <w:rsid w:val="00FD7E87"/>
    <w:rsid w:val="00FE00AF"/>
    <w:rsid w:val="00FE05B1"/>
    <w:rsid w:val="00FE0742"/>
    <w:rsid w:val="00FE1692"/>
    <w:rsid w:val="00FE1AAA"/>
    <w:rsid w:val="00FE1C59"/>
    <w:rsid w:val="00FE2503"/>
    <w:rsid w:val="00FE2739"/>
    <w:rsid w:val="00FE2982"/>
    <w:rsid w:val="00FE2C6E"/>
    <w:rsid w:val="00FE3182"/>
    <w:rsid w:val="00FE4022"/>
    <w:rsid w:val="00FE41F1"/>
    <w:rsid w:val="00FE422C"/>
    <w:rsid w:val="00FE4299"/>
    <w:rsid w:val="00FE4408"/>
    <w:rsid w:val="00FE4573"/>
    <w:rsid w:val="00FE4C89"/>
    <w:rsid w:val="00FE5C83"/>
    <w:rsid w:val="00FE770A"/>
    <w:rsid w:val="00FF16C2"/>
    <w:rsid w:val="00FF1912"/>
    <w:rsid w:val="00FF195C"/>
    <w:rsid w:val="00FF1A8D"/>
    <w:rsid w:val="00FF1D87"/>
    <w:rsid w:val="00FF2496"/>
    <w:rsid w:val="00FF2B66"/>
    <w:rsid w:val="00FF2F67"/>
    <w:rsid w:val="00FF3688"/>
    <w:rsid w:val="00FF3BCC"/>
    <w:rsid w:val="00FF403B"/>
    <w:rsid w:val="00FF411C"/>
    <w:rsid w:val="00FF416B"/>
    <w:rsid w:val="00FF4718"/>
    <w:rsid w:val="00FF5F9D"/>
    <w:rsid w:val="00FF6480"/>
    <w:rsid w:val="00FF666E"/>
    <w:rsid w:val="00FF701A"/>
    <w:rsid w:val="00FF75ED"/>
    <w:rsid w:val="00FF78D3"/>
    <w:rsid w:val="0187421E"/>
    <w:rsid w:val="01B71EAC"/>
    <w:rsid w:val="023B7BEC"/>
    <w:rsid w:val="026659F0"/>
    <w:rsid w:val="02E23E25"/>
    <w:rsid w:val="02FC0094"/>
    <w:rsid w:val="03B5590B"/>
    <w:rsid w:val="049B3893"/>
    <w:rsid w:val="04A13185"/>
    <w:rsid w:val="05285D74"/>
    <w:rsid w:val="05774036"/>
    <w:rsid w:val="06490607"/>
    <w:rsid w:val="06B31EC3"/>
    <w:rsid w:val="076B6FE8"/>
    <w:rsid w:val="09227604"/>
    <w:rsid w:val="096054A3"/>
    <w:rsid w:val="09A6630A"/>
    <w:rsid w:val="09B06EEC"/>
    <w:rsid w:val="09D7708C"/>
    <w:rsid w:val="0A305B8A"/>
    <w:rsid w:val="0ACD42F7"/>
    <w:rsid w:val="0BA0573B"/>
    <w:rsid w:val="0BC85480"/>
    <w:rsid w:val="0C3C4988"/>
    <w:rsid w:val="0C822F36"/>
    <w:rsid w:val="0C87779A"/>
    <w:rsid w:val="0CD65ACD"/>
    <w:rsid w:val="0D3EAC33"/>
    <w:rsid w:val="0DA51085"/>
    <w:rsid w:val="0DB43018"/>
    <w:rsid w:val="0E912450"/>
    <w:rsid w:val="0EB16E01"/>
    <w:rsid w:val="0EE8025E"/>
    <w:rsid w:val="0F4D2498"/>
    <w:rsid w:val="0F777B4D"/>
    <w:rsid w:val="0F7A648B"/>
    <w:rsid w:val="0F97689B"/>
    <w:rsid w:val="0FC34237"/>
    <w:rsid w:val="10C22ABB"/>
    <w:rsid w:val="119937E3"/>
    <w:rsid w:val="11DA7232"/>
    <w:rsid w:val="12625E54"/>
    <w:rsid w:val="12714F78"/>
    <w:rsid w:val="13094D93"/>
    <w:rsid w:val="13C908A8"/>
    <w:rsid w:val="14BD54CA"/>
    <w:rsid w:val="162A0C03"/>
    <w:rsid w:val="1775002D"/>
    <w:rsid w:val="17890968"/>
    <w:rsid w:val="182438D6"/>
    <w:rsid w:val="19C25E30"/>
    <w:rsid w:val="1A385D59"/>
    <w:rsid w:val="1A6E75D4"/>
    <w:rsid w:val="1A7006A0"/>
    <w:rsid w:val="1B452E51"/>
    <w:rsid w:val="1B665BC2"/>
    <w:rsid w:val="1BAB485F"/>
    <w:rsid w:val="1BC6042E"/>
    <w:rsid w:val="1C1D3114"/>
    <w:rsid w:val="1C2564C4"/>
    <w:rsid w:val="1C484AF9"/>
    <w:rsid w:val="1C9704AC"/>
    <w:rsid w:val="1D19452F"/>
    <w:rsid w:val="1D296A09"/>
    <w:rsid w:val="1DC0368E"/>
    <w:rsid w:val="1DD15853"/>
    <w:rsid w:val="1EF73875"/>
    <w:rsid w:val="1F9E3707"/>
    <w:rsid w:val="1FA35168"/>
    <w:rsid w:val="1FFF97E4"/>
    <w:rsid w:val="201C29A6"/>
    <w:rsid w:val="205B4559"/>
    <w:rsid w:val="20BA7C5F"/>
    <w:rsid w:val="21603F9B"/>
    <w:rsid w:val="228B2DE3"/>
    <w:rsid w:val="23333D76"/>
    <w:rsid w:val="23C174CD"/>
    <w:rsid w:val="23FC1B0F"/>
    <w:rsid w:val="24D663AF"/>
    <w:rsid w:val="271F473F"/>
    <w:rsid w:val="27582C26"/>
    <w:rsid w:val="285C7293"/>
    <w:rsid w:val="28D54A95"/>
    <w:rsid w:val="295A3B38"/>
    <w:rsid w:val="29666C58"/>
    <w:rsid w:val="29F31635"/>
    <w:rsid w:val="2B2B31B4"/>
    <w:rsid w:val="2B5C3623"/>
    <w:rsid w:val="2B6FA09B"/>
    <w:rsid w:val="2B852ADC"/>
    <w:rsid w:val="2BD53579"/>
    <w:rsid w:val="2C164455"/>
    <w:rsid w:val="2C802056"/>
    <w:rsid w:val="2C9166B1"/>
    <w:rsid w:val="2CA62D0A"/>
    <w:rsid w:val="2CF53B6D"/>
    <w:rsid w:val="2D0E4352"/>
    <w:rsid w:val="2D7FD476"/>
    <w:rsid w:val="2DD82D3F"/>
    <w:rsid w:val="2E5B5E80"/>
    <w:rsid w:val="2FBD12DA"/>
    <w:rsid w:val="2FBDCA5D"/>
    <w:rsid w:val="31F30AE1"/>
    <w:rsid w:val="328B375D"/>
    <w:rsid w:val="33BA360E"/>
    <w:rsid w:val="33F30F40"/>
    <w:rsid w:val="34DB576D"/>
    <w:rsid w:val="34E1549D"/>
    <w:rsid w:val="352327F9"/>
    <w:rsid w:val="375044D9"/>
    <w:rsid w:val="3763534A"/>
    <w:rsid w:val="37AFC735"/>
    <w:rsid w:val="37BF5FD3"/>
    <w:rsid w:val="37C66B95"/>
    <w:rsid w:val="37F62199"/>
    <w:rsid w:val="38123F08"/>
    <w:rsid w:val="38AE2089"/>
    <w:rsid w:val="39A22E64"/>
    <w:rsid w:val="3A1A2F95"/>
    <w:rsid w:val="3AA32D83"/>
    <w:rsid w:val="3B632D27"/>
    <w:rsid w:val="3B6FEB5E"/>
    <w:rsid w:val="3BBA9E0B"/>
    <w:rsid w:val="3BDE4289"/>
    <w:rsid w:val="3CF124FB"/>
    <w:rsid w:val="3CFF3D01"/>
    <w:rsid w:val="3D005007"/>
    <w:rsid w:val="3D1D0310"/>
    <w:rsid w:val="3DCC459A"/>
    <w:rsid w:val="3DE9BA1C"/>
    <w:rsid w:val="3DFD8FB1"/>
    <w:rsid w:val="3E05350D"/>
    <w:rsid w:val="3E596ABF"/>
    <w:rsid w:val="3E632707"/>
    <w:rsid w:val="3EB30F15"/>
    <w:rsid w:val="3EBBA06F"/>
    <w:rsid w:val="3F7B628E"/>
    <w:rsid w:val="3FA44196"/>
    <w:rsid w:val="411029F0"/>
    <w:rsid w:val="41EA1D31"/>
    <w:rsid w:val="4213668D"/>
    <w:rsid w:val="425FF774"/>
    <w:rsid w:val="43033B8E"/>
    <w:rsid w:val="43164771"/>
    <w:rsid w:val="43343205"/>
    <w:rsid w:val="43522D69"/>
    <w:rsid w:val="43710D9A"/>
    <w:rsid w:val="43BD2B5C"/>
    <w:rsid w:val="44895B94"/>
    <w:rsid w:val="44B237A9"/>
    <w:rsid w:val="44F937BD"/>
    <w:rsid w:val="45350FAA"/>
    <w:rsid w:val="45502E52"/>
    <w:rsid w:val="4717310A"/>
    <w:rsid w:val="47615D53"/>
    <w:rsid w:val="47FF6DE1"/>
    <w:rsid w:val="48A35C7E"/>
    <w:rsid w:val="48BC1875"/>
    <w:rsid w:val="49D44778"/>
    <w:rsid w:val="4A0A0E09"/>
    <w:rsid w:val="4AC310A6"/>
    <w:rsid w:val="4AFBAFE1"/>
    <w:rsid w:val="4BC63EC1"/>
    <w:rsid w:val="4CCF622D"/>
    <w:rsid w:val="4CFB1F30"/>
    <w:rsid w:val="4D3E89D8"/>
    <w:rsid w:val="4DFEACBE"/>
    <w:rsid w:val="4F9F2E95"/>
    <w:rsid w:val="500F29D2"/>
    <w:rsid w:val="510160AF"/>
    <w:rsid w:val="51183506"/>
    <w:rsid w:val="519F27B0"/>
    <w:rsid w:val="523072C3"/>
    <w:rsid w:val="537C7272"/>
    <w:rsid w:val="53925315"/>
    <w:rsid w:val="540253DC"/>
    <w:rsid w:val="555155DD"/>
    <w:rsid w:val="55FF0375"/>
    <w:rsid w:val="56076F45"/>
    <w:rsid w:val="564341F7"/>
    <w:rsid w:val="570C524E"/>
    <w:rsid w:val="572A4399"/>
    <w:rsid w:val="579F7B7C"/>
    <w:rsid w:val="581A72E8"/>
    <w:rsid w:val="584E5112"/>
    <w:rsid w:val="587E728B"/>
    <w:rsid w:val="591B438F"/>
    <w:rsid w:val="593917EF"/>
    <w:rsid w:val="5993750D"/>
    <w:rsid w:val="5A504131"/>
    <w:rsid w:val="5B684E2E"/>
    <w:rsid w:val="5BE6E389"/>
    <w:rsid w:val="5CED20C9"/>
    <w:rsid w:val="5D034D1D"/>
    <w:rsid w:val="5D1F650D"/>
    <w:rsid w:val="5D743E15"/>
    <w:rsid w:val="5D744CB5"/>
    <w:rsid w:val="5D993E3C"/>
    <w:rsid w:val="5E394FDD"/>
    <w:rsid w:val="5F042675"/>
    <w:rsid w:val="5FBF6C35"/>
    <w:rsid w:val="5FF79934"/>
    <w:rsid w:val="615470DE"/>
    <w:rsid w:val="63DFBFC2"/>
    <w:rsid w:val="64C9697C"/>
    <w:rsid w:val="652A57F4"/>
    <w:rsid w:val="658773B3"/>
    <w:rsid w:val="65C82A81"/>
    <w:rsid w:val="65FD0E3D"/>
    <w:rsid w:val="6602491D"/>
    <w:rsid w:val="66D840F2"/>
    <w:rsid w:val="673E5FF0"/>
    <w:rsid w:val="67745F6F"/>
    <w:rsid w:val="69206B8E"/>
    <w:rsid w:val="69353D24"/>
    <w:rsid w:val="69A2195C"/>
    <w:rsid w:val="6A6B1965"/>
    <w:rsid w:val="6AD36749"/>
    <w:rsid w:val="6AE80291"/>
    <w:rsid w:val="6B3937BC"/>
    <w:rsid w:val="6BFE0AF9"/>
    <w:rsid w:val="6BFF9611"/>
    <w:rsid w:val="6C1965A6"/>
    <w:rsid w:val="6C6A29F4"/>
    <w:rsid w:val="6DBB3BB5"/>
    <w:rsid w:val="6E6A2039"/>
    <w:rsid w:val="6E9BC76C"/>
    <w:rsid w:val="6EE33A17"/>
    <w:rsid w:val="6F3F1919"/>
    <w:rsid w:val="6F5F5DB6"/>
    <w:rsid w:val="6F6914F7"/>
    <w:rsid w:val="6F704CFC"/>
    <w:rsid w:val="6FBCA38B"/>
    <w:rsid w:val="700C41FF"/>
    <w:rsid w:val="71A97B4A"/>
    <w:rsid w:val="720E6D93"/>
    <w:rsid w:val="72DD00D4"/>
    <w:rsid w:val="73DD3622"/>
    <w:rsid w:val="73EF0716"/>
    <w:rsid w:val="747E7C1C"/>
    <w:rsid w:val="75F6C425"/>
    <w:rsid w:val="75F73B00"/>
    <w:rsid w:val="769FD48A"/>
    <w:rsid w:val="773137B4"/>
    <w:rsid w:val="7799876C"/>
    <w:rsid w:val="77DC0EE4"/>
    <w:rsid w:val="77F93461"/>
    <w:rsid w:val="77FB5E76"/>
    <w:rsid w:val="78E720A0"/>
    <w:rsid w:val="799569BE"/>
    <w:rsid w:val="79D307DA"/>
    <w:rsid w:val="79FB30C0"/>
    <w:rsid w:val="79FDDD7B"/>
    <w:rsid w:val="7A3A7F57"/>
    <w:rsid w:val="7A7136BB"/>
    <w:rsid w:val="7AB826BB"/>
    <w:rsid w:val="7AF67F85"/>
    <w:rsid w:val="7AFCCA4C"/>
    <w:rsid w:val="7B9E7D46"/>
    <w:rsid w:val="7BEE338E"/>
    <w:rsid w:val="7BF44B9E"/>
    <w:rsid w:val="7BFF4978"/>
    <w:rsid w:val="7C0B6DE8"/>
    <w:rsid w:val="7C625002"/>
    <w:rsid w:val="7C733EDE"/>
    <w:rsid w:val="7D25F135"/>
    <w:rsid w:val="7D7ED6C7"/>
    <w:rsid w:val="7DDE59CD"/>
    <w:rsid w:val="7DFE263E"/>
    <w:rsid w:val="7DFF430A"/>
    <w:rsid w:val="7E0E657B"/>
    <w:rsid w:val="7E2BBA33"/>
    <w:rsid w:val="7E7FC4E1"/>
    <w:rsid w:val="7E9B8F3A"/>
    <w:rsid w:val="7EB98F3D"/>
    <w:rsid w:val="7EBF8C26"/>
    <w:rsid w:val="7F32F30A"/>
    <w:rsid w:val="7F3C4308"/>
    <w:rsid w:val="7F573943"/>
    <w:rsid w:val="7F7581DD"/>
    <w:rsid w:val="7F8F67A9"/>
    <w:rsid w:val="7FAFE46A"/>
    <w:rsid w:val="7FCB29EE"/>
    <w:rsid w:val="7FDD95B4"/>
    <w:rsid w:val="7FE62FBA"/>
    <w:rsid w:val="7FED99EF"/>
    <w:rsid w:val="7FF5154B"/>
    <w:rsid w:val="7FF959E5"/>
    <w:rsid w:val="7FFAC476"/>
    <w:rsid w:val="8FB264C1"/>
    <w:rsid w:val="94326514"/>
    <w:rsid w:val="9BF73EF2"/>
    <w:rsid w:val="9BFEBC6F"/>
    <w:rsid w:val="9C7B7CC8"/>
    <w:rsid w:val="9F7F38C5"/>
    <w:rsid w:val="A733292C"/>
    <w:rsid w:val="AF7BF646"/>
    <w:rsid w:val="AFFEE94B"/>
    <w:rsid w:val="B1FFD410"/>
    <w:rsid w:val="BA4B6D78"/>
    <w:rsid w:val="BBBE69E0"/>
    <w:rsid w:val="BCFFE236"/>
    <w:rsid w:val="BD75617F"/>
    <w:rsid w:val="BE5FB835"/>
    <w:rsid w:val="BF6FD932"/>
    <w:rsid w:val="BF7EC507"/>
    <w:rsid w:val="BFD7910D"/>
    <w:rsid w:val="BFEBBA36"/>
    <w:rsid w:val="C9FBE4E9"/>
    <w:rsid w:val="CD7528A5"/>
    <w:rsid w:val="CDCBC04D"/>
    <w:rsid w:val="CFCFFF5F"/>
    <w:rsid w:val="CFFE9D42"/>
    <w:rsid w:val="D2F7D393"/>
    <w:rsid w:val="D337A90A"/>
    <w:rsid w:val="D3FF8101"/>
    <w:rsid w:val="D4E2EEEC"/>
    <w:rsid w:val="D4FDEC09"/>
    <w:rsid w:val="D5AE757E"/>
    <w:rsid w:val="D7FBF5D8"/>
    <w:rsid w:val="DAEFEF57"/>
    <w:rsid w:val="DBE33482"/>
    <w:rsid w:val="DBEF6D1E"/>
    <w:rsid w:val="DBFB4357"/>
    <w:rsid w:val="DDFE7DF0"/>
    <w:rsid w:val="DF696944"/>
    <w:rsid w:val="DF8FE7B2"/>
    <w:rsid w:val="DFAFB673"/>
    <w:rsid w:val="DFE727F3"/>
    <w:rsid w:val="E7D23A58"/>
    <w:rsid w:val="EAB38192"/>
    <w:rsid w:val="EB1CC330"/>
    <w:rsid w:val="EBFE10BA"/>
    <w:rsid w:val="EC5FF6F6"/>
    <w:rsid w:val="ECB7600A"/>
    <w:rsid w:val="ED4382D2"/>
    <w:rsid w:val="EDDF5B17"/>
    <w:rsid w:val="EEFFCBAB"/>
    <w:rsid w:val="EFED4A3C"/>
    <w:rsid w:val="F0578C04"/>
    <w:rsid w:val="F27BD25D"/>
    <w:rsid w:val="F37A19E8"/>
    <w:rsid w:val="F3FFDDCD"/>
    <w:rsid w:val="F6BDE461"/>
    <w:rsid w:val="F73BF57A"/>
    <w:rsid w:val="F73FDEAF"/>
    <w:rsid w:val="F75D8CEF"/>
    <w:rsid w:val="F7FDF4B5"/>
    <w:rsid w:val="F9BF9696"/>
    <w:rsid w:val="FA1F9E38"/>
    <w:rsid w:val="FAF7BFB1"/>
    <w:rsid w:val="FAFDDB23"/>
    <w:rsid w:val="FB3F4A71"/>
    <w:rsid w:val="FBBC79DA"/>
    <w:rsid w:val="FBD65C1D"/>
    <w:rsid w:val="FBD98DA5"/>
    <w:rsid w:val="FBEF86A3"/>
    <w:rsid w:val="FC7DBB50"/>
    <w:rsid w:val="FDFF895A"/>
    <w:rsid w:val="FEAE07AA"/>
    <w:rsid w:val="FED9DB15"/>
    <w:rsid w:val="FEF654B9"/>
    <w:rsid w:val="FEFD9BBD"/>
    <w:rsid w:val="FEFDF600"/>
    <w:rsid w:val="FF3D3BCD"/>
    <w:rsid w:val="FF57135E"/>
    <w:rsid w:val="FF5F13C3"/>
    <w:rsid w:val="FF5F4AC8"/>
    <w:rsid w:val="FF75B582"/>
    <w:rsid w:val="FF7FAEA4"/>
    <w:rsid w:val="FFBE09CF"/>
    <w:rsid w:val="FFBE7EE8"/>
    <w:rsid w:val="FFED89C5"/>
    <w:rsid w:val="FFF7453D"/>
    <w:rsid w:val="FFFD34C9"/>
    <w:rsid w:val="FFFDD703"/>
    <w:rsid w:val="FFFFF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qFormat="1" w:unhideWhenUsed="0" w:uiPriority="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name="Normal Indent"/>
    <w:lsdException w:qFormat="1" w:unhideWhenUsed="0" w:uiPriority="0" w:name="footnote text"/>
    <w:lsdException w:qFormat="1" w:unhideWhenUsed="0" w:uiPriority="99" w:name="annotation text"/>
    <w:lsdException w:qFormat="1" w:unhideWhenUsed="0" w:uiPriority="99"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99" w:name="annotation reference"/>
    <w:lsdException w:qFormat="1" w:unhideWhenUsed="0" w:uiPriority="0" w:name="line number"/>
    <w:lsdException w:qFormat="1" w:unhideWhenUsed="0" w:uiPriority="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qFormat="1" w:unhideWhenUsed="0" w:uiPriority="99"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name="Default Paragraph Font"/>
    <w:lsdException w:qFormat="1" w:unhideWhenUsed="0" w:uiPriority="99"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nhideWhenUsed="0"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name="Plain Text"/>
    <w:lsdException w:qFormat="1" w:unhideWhenUsed="0" w:uiPriority="0" w:name="E-mail Signature"/>
    <w:lsdException w:qFormat="1" w:unhideWhenUsed="0" w:uiPriority="99"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name="Table Grid"/>
    <w:lsdException w:uiPriority="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1"/>
      <w:lang w:val="en-US" w:eastAsia="zh-CN" w:bidi="ar-SA"/>
    </w:rPr>
  </w:style>
  <w:style w:type="paragraph" w:styleId="2">
    <w:name w:val="heading 1"/>
    <w:basedOn w:val="1"/>
    <w:next w:val="1"/>
    <w:link w:val="100"/>
    <w:qFormat/>
    <w:uiPriority w:val="9"/>
    <w:pPr>
      <w:keepNext/>
      <w:keepLines/>
      <w:adjustRightInd w:val="0"/>
      <w:snapToGrid w:val="0"/>
      <w:spacing w:before="300" w:after="120" w:line="460" w:lineRule="exact"/>
      <w:outlineLvl w:val="0"/>
    </w:pPr>
    <w:rPr>
      <w:rFonts w:eastAsia="黑体"/>
      <w:bCs/>
      <w:snapToGrid w:val="0"/>
      <w:spacing w:val="4"/>
      <w:kern w:val="0"/>
      <w:sz w:val="32"/>
      <w:szCs w:val="32"/>
      <w:lang w:val="zh-CN"/>
    </w:rPr>
  </w:style>
  <w:style w:type="paragraph" w:styleId="3">
    <w:name w:val="heading 2"/>
    <w:basedOn w:val="1"/>
    <w:next w:val="1"/>
    <w:link w:val="140"/>
    <w:qFormat/>
    <w:uiPriority w:val="0"/>
    <w:pPr>
      <w:keepNext/>
      <w:keepLines/>
      <w:spacing w:before="120" w:after="60" w:line="460" w:lineRule="exact"/>
      <w:outlineLvl w:val="1"/>
    </w:pPr>
    <w:rPr>
      <w:rFonts w:eastAsia="黑体"/>
      <w:snapToGrid w:val="0"/>
      <w:kern w:val="0"/>
      <w:sz w:val="28"/>
      <w:szCs w:val="28"/>
    </w:rPr>
  </w:style>
  <w:style w:type="paragraph" w:styleId="4">
    <w:name w:val="heading 3"/>
    <w:basedOn w:val="1"/>
    <w:next w:val="1"/>
    <w:link w:val="102"/>
    <w:qFormat/>
    <w:uiPriority w:val="0"/>
    <w:pPr>
      <w:keepNext/>
      <w:keepLines/>
      <w:spacing w:before="60" w:after="60" w:line="460" w:lineRule="exact"/>
      <w:outlineLvl w:val="2"/>
    </w:pPr>
    <w:rPr>
      <w:rFonts w:eastAsia="黑体"/>
      <w:snapToGrid w:val="0"/>
      <w:kern w:val="0"/>
      <w:sz w:val="24"/>
    </w:rPr>
  </w:style>
  <w:style w:type="paragraph" w:styleId="5">
    <w:name w:val="heading 4"/>
    <w:basedOn w:val="1"/>
    <w:next w:val="1"/>
    <w:link w:val="103"/>
    <w:qFormat/>
    <w:uiPriority w:val="9"/>
    <w:pPr>
      <w:keepNext/>
      <w:keepLines/>
      <w:spacing w:line="460" w:lineRule="exact"/>
      <w:outlineLvl w:val="3"/>
    </w:pPr>
    <w:rPr>
      <w:bCs/>
      <w:sz w:val="24"/>
    </w:rPr>
  </w:style>
  <w:style w:type="paragraph" w:styleId="6">
    <w:name w:val="heading 5"/>
    <w:basedOn w:val="1"/>
    <w:next w:val="1"/>
    <w:link w:val="104"/>
    <w:qFormat/>
    <w:uiPriority w:val="9"/>
    <w:pPr>
      <w:keepNext/>
      <w:keepLines/>
      <w:spacing w:line="460" w:lineRule="exact"/>
      <w:jc w:val="center"/>
      <w:outlineLvl w:val="4"/>
    </w:pPr>
    <w:rPr>
      <w:rFonts w:eastAsia="黑体"/>
      <w:bCs/>
      <w:sz w:val="24"/>
    </w:rPr>
  </w:style>
  <w:style w:type="paragraph" w:styleId="7">
    <w:name w:val="heading 6"/>
    <w:basedOn w:val="1"/>
    <w:next w:val="1"/>
    <w:link w:val="105"/>
    <w:qFormat/>
    <w:uiPriority w:val="9"/>
    <w:pPr>
      <w:spacing w:before="120" w:line="460" w:lineRule="exact"/>
      <w:jc w:val="right"/>
      <w:outlineLvl w:val="5"/>
    </w:pPr>
    <w:rPr>
      <w:rFonts w:eastAsia="黑体"/>
      <w:bCs/>
      <w:sz w:val="24"/>
    </w:rPr>
  </w:style>
  <w:style w:type="paragraph" w:styleId="8">
    <w:name w:val="heading 7"/>
    <w:basedOn w:val="1"/>
    <w:next w:val="1"/>
    <w:link w:val="106"/>
    <w:qFormat/>
    <w:uiPriority w:val="0"/>
    <w:pPr>
      <w:spacing w:before="120" w:line="460" w:lineRule="exact"/>
      <w:jc w:val="center"/>
      <w:outlineLvl w:val="6"/>
    </w:pPr>
    <w:rPr>
      <w:rFonts w:eastAsia="黑体"/>
      <w:bCs/>
      <w:sz w:val="24"/>
    </w:rPr>
  </w:style>
  <w:style w:type="paragraph" w:styleId="9">
    <w:name w:val="heading 8"/>
    <w:basedOn w:val="1"/>
    <w:next w:val="1"/>
    <w:link w:val="107"/>
    <w:qFormat/>
    <w:uiPriority w:val="0"/>
    <w:pPr>
      <w:keepNext/>
      <w:keepLines/>
      <w:tabs>
        <w:tab w:val="left" w:pos="1440"/>
      </w:tabs>
      <w:spacing w:before="60" w:line="460" w:lineRule="exact"/>
      <w:outlineLvl w:val="7"/>
    </w:pPr>
    <w:rPr>
      <w:rFonts w:eastAsia="黑体"/>
      <w:sz w:val="24"/>
    </w:rPr>
  </w:style>
  <w:style w:type="paragraph" w:styleId="10">
    <w:name w:val="heading 9"/>
    <w:basedOn w:val="1"/>
    <w:next w:val="1"/>
    <w:link w:val="108"/>
    <w:qFormat/>
    <w:uiPriority w:val="0"/>
    <w:pPr>
      <w:keepNext/>
      <w:keepLines/>
      <w:numPr>
        <w:ilvl w:val="8"/>
        <w:numId w:val="1"/>
      </w:numPr>
      <w:adjustRightInd w:val="0"/>
      <w:spacing w:before="100" w:line="460" w:lineRule="exact"/>
      <w:jc w:val="left"/>
      <w:textAlignment w:val="baseline"/>
      <w:outlineLvl w:val="8"/>
    </w:pPr>
    <w:rPr>
      <w:kern w:val="0"/>
      <w:sz w:val="24"/>
    </w:rPr>
  </w:style>
  <w:style w:type="character" w:default="1" w:styleId="82">
    <w:name w:val="Default Paragraph Font"/>
    <w:semiHidden/>
    <w:unhideWhenUsed/>
    <w:qFormat/>
    <w:uiPriority w:val="1"/>
  </w:style>
  <w:style w:type="table" w:default="1" w:styleId="79">
    <w:name w:val="Normal Table"/>
    <w:semiHidden/>
    <w:unhideWhenUsed/>
    <w:qFormat/>
    <w:uiPriority w:val="99"/>
    <w:tblPr>
      <w:tblCellMar>
        <w:top w:w="0" w:type="dxa"/>
        <w:left w:w="108" w:type="dxa"/>
        <w:bottom w:w="0" w:type="dxa"/>
        <w:right w:w="108" w:type="dxa"/>
      </w:tblCellMar>
    </w:tblPr>
  </w:style>
  <w:style w:type="paragraph" w:styleId="11">
    <w:name w:val="List 3"/>
    <w:basedOn w:val="1"/>
    <w:semiHidden/>
    <w:qFormat/>
    <w:uiPriority w:val="0"/>
    <w:pPr>
      <w:ind w:left="1260" w:hanging="420"/>
    </w:pPr>
  </w:style>
  <w:style w:type="paragraph" w:styleId="12">
    <w:name w:val="toc 7"/>
    <w:basedOn w:val="1"/>
    <w:next w:val="1"/>
    <w:qFormat/>
    <w:uiPriority w:val="39"/>
    <w:pPr>
      <w:ind w:left="1260"/>
      <w:jc w:val="left"/>
    </w:pPr>
    <w:rPr>
      <w:sz w:val="18"/>
      <w:szCs w:val="18"/>
    </w:rPr>
  </w:style>
  <w:style w:type="paragraph" w:styleId="13">
    <w:name w:val="List Number 2"/>
    <w:basedOn w:val="1"/>
    <w:semiHidden/>
    <w:qFormat/>
    <w:uiPriority w:val="0"/>
    <w:pPr>
      <w:tabs>
        <w:tab w:val="left" w:pos="780"/>
      </w:tabs>
      <w:ind w:left="780" w:hanging="360"/>
    </w:pPr>
  </w:style>
  <w:style w:type="paragraph" w:styleId="14">
    <w:name w:val="Note Heading"/>
    <w:basedOn w:val="1"/>
    <w:next w:val="1"/>
    <w:link w:val="109"/>
    <w:semiHidden/>
    <w:qFormat/>
    <w:uiPriority w:val="0"/>
    <w:pPr>
      <w:jc w:val="center"/>
    </w:pPr>
  </w:style>
  <w:style w:type="paragraph" w:styleId="15">
    <w:name w:val="List Bullet 4"/>
    <w:basedOn w:val="1"/>
    <w:semiHidden/>
    <w:qFormat/>
    <w:uiPriority w:val="0"/>
    <w:pPr>
      <w:tabs>
        <w:tab w:val="left" w:pos="1620"/>
      </w:tabs>
      <w:ind w:left="1620" w:hanging="360"/>
    </w:pPr>
  </w:style>
  <w:style w:type="paragraph" w:styleId="16">
    <w:name w:val="E-mail Signature"/>
    <w:basedOn w:val="1"/>
    <w:link w:val="110"/>
    <w:semiHidden/>
    <w:qFormat/>
    <w:uiPriority w:val="0"/>
  </w:style>
  <w:style w:type="paragraph" w:styleId="17">
    <w:name w:val="List Number"/>
    <w:basedOn w:val="1"/>
    <w:semiHidden/>
    <w:qFormat/>
    <w:uiPriority w:val="0"/>
    <w:pPr>
      <w:tabs>
        <w:tab w:val="left" w:pos="360"/>
      </w:tabs>
      <w:ind w:left="360" w:hanging="360"/>
    </w:pPr>
  </w:style>
  <w:style w:type="paragraph" w:styleId="18">
    <w:name w:val="Normal Indent"/>
    <w:basedOn w:val="1"/>
    <w:link w:val="111"/>
    <w:semiHidden/>
    <w:qFormat/>
    <w:uiPriority w:val="0"/>
    <w:pPr>
      <w:ind w:firstLine="420" w:firstLineChars="200"/>
    </w:pPr>
  </w:style>
  <w:style w:type="paragraph" w:styleId="19">
    <w:name w:val="caption"/>
    <w:basedOn w:val="1"/>
    <w:next w:val="1"/>
    <w:link w:val="112"/>
    <w:qFormat/>
    <w:uiPriority w:val="0"/>
    <w:rPr>
      <w:rFonts w:cs="Arial"/>
      <w:szCs w:val="20"/>
    </w:rPr>
  </w:style>
  <w:style w:type="paragraph" w:styleId="20">
    <w:name w:val="List Bullet"/>
    <w:basedOn w:val="1"/>
    <w:semiHidden/>
    <w:qFormat/>
    <w:uiPriority w:val="0"/>
    <w:pPr>
      <w:tabs>
        <w:tab w:val="left" w:pos="360"/>
      </w:tabs>
      <w:ind w:left="360" w:hanging="360"/>
    </w:pPr>
  </w:style>
  <w:style w:type="paragraph" w:styleId="21">
    <w:name w:val="envelope address"/>
    <w:basedOn w:val="1"/>
    <w:semiHidden/>
    <w:qFormat/>
    <w:uiPriority w:val="0"/>
    <w:pPr>
      <w:framePr w:w="7920" w:h="1980" w:hRule="exact" w:hSpace="180" w:wrap="around" w:vAnchor="margin" w:hAnchor="page" w:xAlign="center" w:yAlign="bottom"/>
      <w:snapToGrid w:val="0"/>
      <w:ind w:left="2880"/>
    </w:pPr>
    <w:rPr>
      <w:rFonts w:ascii="Arial" w:hAnsi="Arial" w:cs="Arial"/>
      <w:sz w:val="24"/>
    </w:rPr>
  </w:style>
  <w:style w:type="paragraph" w:styleId="22">
    <w:name w:val="Document Map"/>
    <w:basedOn w:val="1"/>
    <w:link w:val="113"/>
    <w:semiHidden/>
    <w:qFormat/>
    <w:uiPriority w:val="0"/>
    <w:pPr>
      <w:shd w:val="clear" w:color="auto" w:fill="000080"/>
    </w:pPr>
  </w:style>
  <w:style w:type="paragraph" w:styleId="23">
    <w:name w:val="toa heading"/>
    <w:basedOn w:val="1"/>
    <w:next w:val="1"/>
    <w:semiHidden/>
    <w:qFormat/>
    <w:uiPriority w:val="99"/>
    <w:pPr>
      <w:spacing w:before="120"/>
    </w:pPr>
    <w:rPr>
      <w:rFonts w:ascii="Arial" w:hAnsi="Arial" w:cs="Arial"/>
      <w:sz w:val="24"/>
    </w:rPr>
  </w:style>
  <w:style w:type="paragraph" w:styleId="24">
    <w:name w:val="annotation text"/>
    <w:basedOn w:val="1"/>
    <w:link w:val="114"/>
    <w:semiHidden/>
    <w:qFormat/>
    <w:uiPriority w:val="99"/>
    <w:pPr>
      <w:jc w:val="left"/>
    </w:pPr>
    <w:rPr>
      <w:rFonts w:cs="Times New Roman"/>
      <w:szCs w:val="24"/>
    </w:rPr>
  </w:style>
  <w:style w:type="paragraph" w:styleId="25">
    <w:name w:val="Salutation"/>
    <w:basedOn w:val="1"/>
    <w:next w:val="1"/>
    <w:link w:val="115"/>
    <w:semiHidden/>
    <w:qFormat/>
    <w:uiPriority w:val="0"/>
  </w:style>
  <w:style w:type="paragraph" w:styleId="26">
    <w:name w:val="Body Text 3"/>
    <w:basedOn w:val="1"/>
    <w:link w:val="116"/>
    <w:semiHidden/>
    <w:qFormat/>
    <w:uiPriority w:val="0"/>
    <w:pPr>
      <w:spacing w:after="120"/>
    </w:pPr>
    <w:rPr>
      <w:sz w:val="16"/>
      <w:szCs w:val="16"/>
    </w:rPr>
  </w:style>
  <w:style w:type="paragraph" w:styleId="27">
    <w:name w:val="Closing"/>
    <w:basedOn w:val="1"/>
    <w:link w:val="117"/>
    <w:semiHidden/>
    <w:qFormat/>
    <w:uiPriority w:val="0"/>
    <w:pPr>
      <w:ind w:left="4320"/>
    </w:pPr>
  </w:style>
  <w:style w:type="paragraph" w:styleId="28">
    <w:name w:val="List Bullet 3"/>
    <w:basedOn w:val="1"/>
    <w:semiHidden/>
    <w:qFormat/>
    <w:uiPriority w:val="0"/>
    <w:pPr>
      <w:tabs>
        <w:tab w:val="left" w:pos="1200"/>
      </w:tabs>
      <w:ind w:left="1200" w:hanging="360"/>
    </w:pPr>
  </w:style>
  <w:style w:type="paragraph" w:styleId="29">
    <w:name w:val="Body Text"/>
    <w:basedOn w:val="1"/>
    <w:link w:val="118"/>
    <w:semiHidden/>
    <w:qFormat/>
    <w:uiPriority w:val="99"/>
    <w:pPr>
      <w:spacing w:after="120"/>
    </w:pPr>
  </w:style>
  <w:style w:type="paragraph" w:styleId="30">
    <w:name w:val="Body Text Indent"/>
    <w:basedOn w:val="1"/>
    <w:link w:val="119"/>
    <w:semiHidden/>
    <w:qFormat/>
    <w:uiPriority w:val="0"/>
    <w:pPr>
      <w:spacing w:line="360" w:lineRule="auto"/>
      <w:ind w:firstLine="420"/>
    </w:pPr>
    <w:rPr>
      <w:rFonts w:ascii="仿宋_GB2312" w:eastAsia="仿宋_GB2312"/>
      <w:sz w:val="28"/>
      <w:szCs w:val="20"/>
    </w:rPr>
  </w:style>
  <w:style w:type="paragraph" w:styleId="31">
    <w:name w:val="List Number 3"/>
    <w:basedOn w:val="1"/>
    <w:semiHidden/>
    <w:qFormat/>
    <w:uiPriority w:val="0"/>
    <w:pPr>
      <w:tabs>
        <w:tab w:val="left" w:pos="1200"/>
      </w:tabs>
      <w:ind w:left="1200" w:hanging="360"/>
    </w:pPr>
  </w:style>
  <w:style w:type="paragraph" w:styleId="32">
    <w:name w:val="List 2"/>
    <w:basedOn w:val="1"/>
    <w:semiHidden/>
    <w:qFormat/>
    <w:uiPriority w:val="0"/>
    <w:pPr>
      <w:ind w:left="840" w:hanging="420"/>
    </w:pPr>
  </w:style>
  <w:style w:type="paragraph" w:styleId="33">
    <w:name w:val="List Continue"/>
    <w:basedOn w:val="1"/>
    <w:semiHidden/>
    <w:qFormat/>
    <w:uiPriority w:val="0"/>
    <w:pPr>
      <w:spacing w:after="120"/>
      <w:ind w:left="420"/>
    </w:pPr>
    <w:rPr>
      <w:sz w:val="28"/>
      <w:szCs w:val="20"/>
    </w:rPr>
  </w:style>
  <w:style w:type="paragraph" w:styleId="34">
    <w:name w:val="Block Text"/>
    <w:basedOn w:val="1"/>
    <w:semiHidden/>
    <w:qFormat/>
    <w:uiPriority w:val="0"/>
    <w:pPr>
      <w:ind w:left="-57" w:right="-57"/>
      <w:jc w:val="center"/>
    </w:pPr>
    <w:rPr>
      <w:szCs w:val="20"/>
    </w:rPr>
  </w:style>
  <w:style w:type="paragraph" w:styleId="35">
    <w:name w:val="List Bullet 2"/>
    <w:basedOn w:val="1"/>
    <w:semiHidden/>
    <w:qFormat/>
    <w:uiPriority w:val="0"/>
    <w:pPr>
      <w:tabs>
        <w:tab w:val="left" w:pos="780"/>
      </w:tabs>
      <w:ind w:left="780" w:hanging="360"/>
    </w:pPr>
  </w:style>
  <w:style w:type="paragraph" w:styleId="36">
    <w:name w:val="HTML Address"/>
    <w:basedOn w:val="1"/>
    <w:link w:val="120"/>
    <w:semiHidden/>
    <w:qFormat/>
    <w:uiPriority w:val="0"/>
    <w:rPr>
      <w:i/>
      <w:iCs/>
    </w:rPr>
  </w:style>
  <w:style w:type="paragraph" w:styleId="37">
    <w:name w:val="toc 5"/>
    <w:basedOn w:val="1"/>
    <w:next w:val="1"/>
    <w:qFormat/>
    <w:uiPriority w:val="39"/>
    <w:pPr>
      <w:ind w:left="840"/>
      <w:jc w:val="left"/>
    </w:pPr>
    <w:rPr>
      <w:sz w:val="18"/>
      <w:szCs w:val="18"/>
    </w:rPr>
  </w:style>
  <w:style w:type="paragraph" w:styleId="38">
    <w:name w:val="toc 3"/>
    <w:basedOn w:val="1"/>
    <w:next w:val="1"/>
    <w:qFormat/>
    <w:uiPriority w:val="39"/>
    <w:pPr>
      <w:ind w:left="420"/>
      <w:jc w:val="left"/>
    </w:pPr>
    <w:rPr>
      <w:i/>
      <w:iCs/>
      <w:sz w:val="20"/>
      <w:szCs w:val="20"/>
    </w:rPr>
  </w:style>
  <w:style w:type="paragraph" w:styleId="39">
    <w:name w:val="Plain Text"/>
    <w:basedOn w:val="1"/>
    <w:link w:val="121"/>
    <w:semiHidden/>
    <w:qFormat/>
    <w:uiPriority w:val="99"/>
    <w:rPr>
      <w:rFonts w:ascii="宋体" w:hAnsi="Courier New"/>
    </w:rPr>
  </w:style>
  <w:style w:type="paragraph" w:styleId="40">
    <w:name w:val="List Bullet 5"/>
    <w:basedOn w:val="1"/>
    <w:semiHidden/>
    <w:qFormat/>
    <w:uiPriority w:val="0"/>
    <w:pPr>
      <w:tabs>
        <w:tab w:val="left" w:pos="2040"/>
      </w:tabs>
      <w:ind w:left="2040" w:hanging="360"/>
    </w:pPr>
  </w:style>
  <w:style w:type="paragraph" w:styleId="41">
    <w:name w:val="List Number 4"/>
    <w:basedOn w:val="1"/>
    <w:semiHidden/>
    <w:qFormat/>
    <w:uiPriority w:val="0"/>
    <w:pPr>
      <w:tabs>
        <w:tab w:val="left" w:pos="1620"/>
      </w:tabs>
      <w:ind w:left="1620" w:hanging="360"/>
    </w:pPr>
  </w:style>
  <w:style w:type="paragraph" w:styleId="42">
    <w:name w:val="toc 8"/>
    <w:basedOn w:val="1"/>
    <w:next w:val="1"/>
    <w:qFormat/>
    <w:uiPriority w:val="39"/>
    <w:pPr>
      <w:ind w:left="1470"/>
      <w:jc w:val="left"/>
    </w:pPr>
    <w:rPr>
      <w:sz w:val="18"/>
      <w:szCs w:val="18"/>
    </w:rPr>
  </w:style>
  <w:style w:type="paragraph" w:styleId="43">
    <w:name w:val="index 3"/>
    <w:basedOn w:val="1"/>
    <w:next w:val="1"/>
    <w:semiHidden/>
    <w:qFormat/>
    <w:uiPriority w:val="0"/>
    <w:pPr>
      <w:adjustRightInd w:val="0"/>
      <w:ind w:left="720" w:hanging="240"/>
      <w:jc w:val="left"/>
      <w:textAlignment w:val="baseline"/>
    </w:pPr>
    <w:rPr>
      <w:sz w:val="18"/>
      <w:szCs w:val="20"/>
    </w:rPr>
  </w:style>
  <w:style w:type="paragraph" w:styleId="44">
    <w:name w:val="Date"/>
    <w:basedOn w:val="1"/>
    <w:next w:val="1"/>
    <w:link w:val="122"/>
    <w:semiHidden/>
    <w:qFormat/>
    <w:uiPriority w:val="0"/>
  </w:style>
  <w:style w:type="paragraph" w:styleId="45">
    <w:name w:val="Body Text Indent 2"/>
    <w:basedOn w:val="1"/>
    <w:link w:val="123"/>
    <w:semiHidden/>
    <w:uiPriority w:val="0"/>
    <w:pPr>
      <w:spacing w:after="120" w:line="480" w:lineRule="auto"/>
      <w:ind w:left="420" w:leftChars="200" w:firstLine="510"/>
    </w:pPr>
    <w:rPr>
      <w:sz w:val="24"/>
      <w:szCs w:val="20"/>
    </w:rPr>
  </w:style>
  <w:style w:type="paragraph" w:styleId="46">
    <w:name w:val="endnote text"/>
    <w:basedOn w:val="1"/>
    <w:link w:val="124"/>
    <w:semiHidden/>
    <w:qFormat/>
    <w:uiPriority w:val="0"/>
    <w:pPr>
      <w:snapToGrid w:val="0"/>
      <w:jc w:val="left"/>
    </w:pPr>
  </w:style>
  <w:style w:type="paragraph" w:styleId="47">
    <w:name w:val="List Continue 5"/>
    <w:basedOn w:val="1"/>
    <w:semiHidden/>
    <w:qFormat/>
    <w:uiPriority w:val="0"/>
    <w:pPr>
      <w:spacing w:after="120"/>
      <w:ind w:left="2100"/>
    </w:pPr>
  </w:style>
  <w:style w:type="paragraph" w:styleId="48">
    <w:name w:val="Balloon Text"/>
    <w:basedOn w:val="1"/>
    <w:link w:val="125"/>
    <w:semiHidden/>
    <w:qFormat/>
    <w:uiPriority w:val="0"/>
    <w:rPr>
      <w:sz w:val="18"/>
      <w:szCs w:val="18"/>
    </w:rPr>
  </w:style>
  <w:style w:type="paragraph" w:styleId="49">
    <w:name w:val="footer"/>
    <w:basedOn w:val="1"/>
    <w:link w:val="126"/>
    <w:qFormat/>
    <w:uiPriority w:val="99"/>
    <w:pPr>
      <w:tabs>
        <w:tab w:val="center" w:pos="4153"/>
        <w:tab w:val="right" w:pos="8306"/>
      </w:tabs>
      <w:snapToGrid w:val="0"/>
      <w:jc w:val="left"/>
    </w:pPr>
    <w:rPr>
      <w:sz w:val="18"/>
      <w:szCs w:val="18"/>
    </w:rPr>
  </w:style>
  <w:style w:type="paragraph" w:styleId="50">
    <w:name w:val="envelope return"/>
    <w:basedOn w:val="1"/>
    <w:semiHidden/>
    <w:qFormat/>
    <w:uiPriority w:val="0"/>
    <w:pPr>
      <w:snapToGrid w:val="0"/>
    </w:pPr>
    <w:rPr>
      <w:rFonts w:ascii="Arial" w:hAnsi="Arial" w:cs="Arial"/>
    </w:rPr>
  </w:style>
  <w:style w:type="paragraph" w:styleId="51">
    <w:name w:val="header"/>
    <w:basedOn w:val="1"/>
    <w:link w:val="127"/>
    <w:semiHidden/>
    <w:qFormat/>
    <w:uiPriority w:val="99"/>
    <w:pPr>
      <w:pBdr>
        <w:bottom w:val="single" w:color="auto" w:sz="6" w:space="1"/>
      </w:pBdr>
      <w:tabs>
        <w:tab w:val="center" w:pos="4153"/>
        <w:tab w:val="right" w:pos="8306"/>
      </w:tabs>
      <w:snapToGrid w:val="0"/>
      <w:jc w:val="center"/>
    </w:pPr>
    <w:rPr>
      <w:sz w:val="18"/>
      <w:szCs w:val="18"/>
    </w:rPr>
  </w:style>
  <w:style w:type="paragraph" w:styleId="52">
    <w:name w:val="Signature"/>
    <w:basedOn w:val="1"/>
    <w:link w:val="128"/>
    <w:semiHidden/>
    <w:qFormat/>
    <w:uiPriority w:val="0"/>
    <w:pPr>
      <w:ind w:left="4320"/>
    </w:pPr>
  </w:style>
  <w:style w:type="paragraph" w:styleId="53">
    <w:name w:val="toc 1"/>
    <w:basedOn w:val="1"/>
    <w:next w:val="1"/>
    <w:qFormat/>
    <w:uiPriority w:val="39"/>
    <w:pPr>
      <w:spacing w:before="120" w:after="120"/>
      <w:jc w:val="left"/>
    </w:pPr>
    <w:rPr>
      <w:b/>
      <w:bCs/>
      <w:caps/>
      <w:sz w:val="20"/>
      <w:szCs w:val="20"/>
    </w:rPr>
  </w:style>
  <w:style w:type="paragraph" w:styleId="54">
    <w:name w:val="List Continue 4"/>
    <w:basedOn w:val="1"/>
    <w:semiHidden/>
    <w:qFormat/>
    <w:uiPriority w:val="0"/>
    <w:pPr>
      <w:spacing w:after="120"/>
      <w:ind w:left="1680"/>
    </w:pPr>
  </w:style>
  <w:style w:type="paragraph" w:styleId="55">
    <w:name w:val="toc 4"/>
    <w:basedOn w:val="1"/>
    <w:next w:val="1"/>
    <w:qFormat/>
    <w:uiPriority w:val="39"/>
    <w:pPr>
      <w:ind w:left="630"/>
      <w:jc w:val="left"/>
    </w:pPr>
    <w:rPr>
      <w:sz w:val="18"/>
      <w:szCs w:val="18"/>
    </w:rPr>
  </w:style>
  <w:style w:type="paragraph" w:styleId="56">
    <w:name w:val="index heading"/>
    <w:basedOn w:val="1"/>
    <w:next w:val="57"/>
    <w:semiHidden/>
    <w:qFormat/>
    <w:uiPriority w:val="0"/>
    <w:rPr>
      <w:szCs w:val="20"/>
    </w:rPr>
  </w:style>
  <w:style w:type="paragraph" w:styleId="57">
    <w:name w:val="index 1"/>
    <w:basedOn w:val="1"/>
    <w:next w:val="1"/>
    <w:semiHidden/>
    <w:qFormat/>
    <w:uiPriority w:val="0"/>
    <w:pPr>
      <w:tabs>
        <w:tab w:val="left" w:pos="3240"/>
      </w:tabs>
      <w:autoSpaceDE w:val="0"/>
      <w:autoSpaceDN w:val="0"/>
      <w:adjustRightInd w:val="0"/>
      <w:snapToGrid w:val="0"/>
    </w:pPr>
    <w:rPr>
      <w:rFonts w:eastAsia="黑体"/>
      <w:bCs/>
      <w:snapToGrid w:val="0"/>
      <w:color w:val="000000"/>
      <w:kern w:val="0"/>
      <w:sz w:val="24"/>
      <w:szCs w:val="20"/>
    </w:rPr>
  </w:style>
  <w:style w:type="paragraph" w:styleId="58">
    <w:name w:val="Subtitle"/>
    <w:basedOn w:val="1"/>
    <w:next w:val="1"/>
    <w:link w:val="129"/>
    <w:qFormat/>
    <w:uiPriority w:val="0"/>
    <w:pPr>
      <w:spacing w:before="240" w:after="60" w:line="312" w:lineRule="auto"/>
      <w:jc w:val="center"/>
      <w:outlineLvl w:val="1"/>
    </w:pPr>
    <w:rPr>
      <w:rFonts w:ascii="Cambria" w:hAnsi="Cambria"/>
      <w:b/>
      <w:bCs/>
      <w:kern w:val="28"/>
      <w:sz w:val="32"/>
      <w:szCs w:val="32"/>
    </w:rPr>
  </w:style>
  <w:style w:type="paragraph" w:styleId="59">
    <w:name w:val="List Number 5"/>
    <w:basedOn w:val="1"/>
    <w:semiHidden/>
    <w:qFormat/>
    <w:uiPriority w:val="0"/>
    <w:pPr>
      <w:tabs>
        <w:tab w:val="left" w:pos="2040"/>
      </w:tabs>
      <w:ind w:left="2040" w:hanging="360"/>
    </w:pPr>
  </w:style>
  <w:style w:type="paragraph" w:styleId="60">
    <w:name w:val="List"/>
    <w:basedOn w:val="1"/>
    <w:next w:val="1"/>
    <w:semiHidden/>
    <w:qFormat/>
    <w:uiPriority w:val="0"/>
    <w:pPr>
      <w:autoSpaceDE w:val="0"/>
      <w:autoSpaceDN w:val="0"/>
      <w:spacing w:before="120" w:beforeLines="50" w:after="120" w:afterLines="50"/>
      <w:jc w:val="center"/>
    </w:pPr>
    <w:rPr>
      <w:kern w:val="0"/>
    </w:rPr>
  </w:style>
  <w:style w:type="paragraph" w:styleId="61">
    <w:name w:val="footnote text"/>
    <w:basedOn w:val="1"/>
    <w:link w:val="130"/>
    <w:semiHidden/>
    <w:qFormat/>
    <w:uiPriority w:val="0"/>
    <w:pPr>
      <w:snapToGrid w:val="0"/>
      <w:jc w:val="left"/>
    </w:pPr>
    <w:rPr>
      <w:sz w:val="18"/>
      <w:szCs w:val="18"/>
    </w:rPr>
  </w:style>
  <w:style w:type="paragraph" w:styleId="62">
    <w:name w:val="toc 6"/>
    <w:basedOn w:val="1"/>
    <w:next w:val="1"/>
    <w:qFormat/>
    <w:uiPriority w:val="39"/>
    <w:pPr>
      <w:ind w:left="1050"/>
      <w:jc w:val="left"/>
    </w:pPr>
    <w:rPr>
      <w:sz w:val="18"/>
      <w:szCs w:val="18"/>
    </w:rPr>
  </w:style>
  <w:style w:type="paragraph" w:styleId="63">
    <w:name w:val="List 5"/>
    <w:basedOn w:val="1"/>
    <w:semiHidden/>
    <w:qFormat/>
    <w:uiPriority w:val="0"/>
    <w:pPr>
      <w:ind w:left="2100" w:hanging="420"/>
    </w:pPr>
  </w:style>
  <w:style w:type="paragraph" w:styleId="64">
    <w:name w:val="Body Text Indent 3"/>
    <w:basedOn w:val="1"/>
    <w:link w:val="131"/>
    <w:semiHidden/>
    <w:qFormat/>
    <w:uiPriority w:val="0"/>
    <w:pPr>
      <w:spacing w:after="120"/>
      <w:ind w:left="420" w:leftChars="200"/>
    </w:pPr>
    <w:rPr>
      <w:sz w:val="16"/>
      <w:szCs w:val="16"/>
    </w:rPr>
  </w:style>
  <w:style w:type="paragraph" w:styleId="65">
    <w:name w:val="table of figures"/>
    <w:basedOn w:val="1"/>
    <w:next w:val="1"/>
    <w:semiHidden/>
    <w:qFormat/>
    <w:uiPriority w:val="0"/>
    <w:pPr>
      <w:ind w:left="840" w:leftChars="200" w:hanging="420" w:hangingChars="200"/>
    </w:pPr>
  </w:style>
  <w:style w:type="paragraph" w:styleId="66">
    <w:name w:val="toc 2"/>
    <w:basedOn w:val="1"/>
    <w:next w:val="1"/>
    <w:qFormat/>
    <w:uiPriority w:val="39"/>
    <w:pPr>
      <w:ind w:left="210"/>
      <w:jc w:val="left"/>
    </w:pPr>
    <w:rPr>
      <w:smallCaps/>
      <w:sz w:val="20"/>
      <w:szCs w:val="20"/>
    </w:rPr>
  </w:style>
  <w:style w:type="paragraph" w:styleId="67">
    <w:name w:val="toc 9"/>
    <w:basedOn w:val="1"/>
    <w:next w:val="1"/>
    <w:qFormat/>
    <w:uiPriority w:val="39"/>
    <w:pPr>
      <w:ind w:left="1680"/>
      <w:jc w:val="left"/>
    </w:pPr>
    <w:rPr>
      <w:sz w:val="18"/>
      <w:szCs w:val="18"/>
    </w:rPr>
  </w:style>
  <w:style w:type="paragraph" w:styleId="68">
    <w:name w:val="Body Text 2"/>
    <w:basedOn w:val="1"/>
    <w:link w:val="132"/>
    <w:semiHidden/>
    <w:qFormat/>
    <w:uiPriority w:val="0"/>
    <w:pPr>
      <w:autoSpaceDE w:val="0"/>
      <w:autoSpaceDN w:val="0"/>
      <w:adjustRightInd w:val="0"/>
      <w:jc w:val="center"/>
    </w:pPr>
    <w:rPr>
      <w:rFonts w:ascii="宋体"/>
      <w:b/>
      <w:bCs/>
      <w:kern w:val="0"/>
      <w:sz w:val="52"/>
      <w:szCs w:val="20"/>
      <w:lang w:val="zh-CN"/>
    </w:rPr>
  </w:style>
  <w:style w:type="paragraph" w:styleId="69">
    <w:name w:val="List 4"/>
    <w:basedOn w:val="1"/>
    <w:semiHidden/>
    <w:qFormat/>
    <w:uiPriority w:val="0"/>
    <w:pPr>
      <w:ind w:left="1680" w:hanging="420"/>
    </w:pPr>
  </w:style>
  <w:style w:type="paragraph" w:styleId="70">
    <w:name w:val="List Continue 2"/>
    <w:basedOn w:val="1"/>
    <w:semiHidden/>
    <w:qFormat/>
    <w:uiPriority w:val="0"/>
    <w:pPr>
      <w:spacing w:after="120"/>
      <w:ind w:left="400" w:leftChars="400"/>
    </w:pPr>
    <w:rPr>
      <w:szCs w:val="20"/>
    </w:rPr>
  </w:style>
  <w:style w:type="paragraph" w:styleId="71">
    <w:name w:val="Message Header"/>
    <w:basedOn w:val="1"/>
    <w:link w:val="133"/>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rPr>
  </w:style>
  <w:style w:type="paragraph" w:styleId="72">
    <w:name w:val="HTML Preformatted"/>
    <w:basedOn w:val="1"/>
    <w:link w:val="134"/>
    <w:semiHidden/>
    <w:qFormat/>
    <w:uiPriority w:val="0"/>
    <w:rPr>
      <w:rFonts w:ascii="Courier New" w:hAnsi="Courier New"/>
      <w:sz w:val="20"/>
      <w:szCs w:val="20"/>
    </w:rPr>
  </w:style>
  <w:style w:type="paragraph" w:styleId="73">
    <w:name w:val="Normal (Web)"/>
    <w:basedOn w:val="1"/>
    <w:semiHidden/>
    <w:qFormat/>
    <w:uiPriority w:val="99"/>
    <w:pPr>
      <w:widowControl/>
      <w:spacing w:before="100" w:beforeAutospacing="1" w:after="100" w:afterAutospacing="1" w:line="360" w:lineRule="auto"/>
      <w:jc w:val="left"/>
    </w:pPr>
    <w:rPr>
      <w:rFonts w:ascii="宋体" w:hAnsi="宋体"/>
      <w:kern w:val="0"/>
      <w:sz w:val="18"/>
      <w:szCs w:val="18"/>
    </w:rPr>
  </w:style>
  <w:style w:type="paragraph" w:styleId="74">
    <w:name w:val="List Continue 3"/>
    <w:basedOn w:val="1"/>
    <w:semiHidden/>
    <w:qFormat/>
    <w:uiPriority w:val="0"/>
    <w:pPr>
      <w:spacing w:after="120"/>
      <w:ind w:left="1260"/>
    </w:pPr>
  </w:style>
  <w:style w:type="paragraph" w:styleId="75">
    <w:name w:val="Title"/>
    <w:basedOn w:val="1"/>
    <w:link w:val="135"/>
    <w:qFormat/>
    <w:uiPriority w:val="0"/>
    <w:pPr>
      <w:adjustRightInd w:val="0"/>
      <w:spacing w:before="300" w:after="300"/>
      <w:jc w:val="center"/>
      <w:textAlignment w:val="baseline"/>
      <w:outlineLvl w:val="0"/>
    </w:pPr>
    <w:rPr>
      <w:rFonts w:eastAsia="黑体"/>
      <w:kern w:val="0"/>
      <w:sz w:val="36"/>
      <w:szCs w:val="36"/>
    </w:rPr>
  </w:style>
  <w:style w:type="paragraph" w:styleId="76">
    <w:name w:val="annotation subject"/>
    <w:basedOn w:val="24"/>
    <w:next w:val="24"/>
    <w:link w:val="136"/>
    <w:semiHidden/>
    <w:qFormat/>
    <w:uiPriority w:val="0"/>
    <w:rPr>
      <w:b/>
      <w:bCs/>
    </w:rPr>
  </w:style>
  <w:style w:type="paragraph" w:styleId="77">
    <w:name w:val="Body Text First Indent"/>
    <w:basedOn w:val="29"/>
    <w:link w:val="137"/>
    <w:semiHidden/>
    <w:qFormat/>
    <w:uiPriority w:val="0"/>
    <w:pPr>
      <w:ind w:firstLine="420" w:firstLineChars="100"/>
    </w:pPr>
  </w:style>
  <w:style w:type="paragraph" w:styleId="78">
    <w:name w:val="Body Text First Indent 2"/>
    <w:basedOn w:val="30"/>
    <w:link w:val="138"/>
    <w:semiHidden/>
    <w:qFormat/>
    <w:uiPriority w:val="0"/>
    <w:pPr>
      <w:spacing w:after="120" w:line="240" w:lineRule="auto"/>
      <w:ind w:left="420" w:leftChars="200" w:firstLine="200" w:firstLineChars="200"/>
    </w:pPr>
    <w:rPr>
      <w:rFonts w:ascii="Times New Roman" w:eastAsia="宋体"/>
      <w:sz w:val="21"/>
      <w:szCs w:val="24"/>
    </w:rPr>
  </w:style>
  <w:style w:type="table" w:styleId="80">
    <w:name w:val="Table Grid"/>
    <w:basedOn w:val="79"/>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1">
    <w:name w:val="Table Elegant"/>
    <w:basedOn w:val="79"/>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op w:val="nil"/>
          <w:left w:val="nil"/>
          <w:bottom w:val="nil"/>
          <w:right w:val="nil"/>
          <w:insideH w:val="nil"/>
          <w:insideV w:val="nil"/>
          <w:tl2br w:val="nil"/>
          <w:tr2bl w:val="nil"/>
        </w:tcBorders>
      </w:tcPr>
    </w:tblStylePr>
  </w:style>
  <w:style w:type="character" w:styleId="83">
    <w:name w:val="Strong"/>
    <w:qFormat/>
    <w:uiPriority w:val="0"/>
    <w:rPr>
      <w:b/>
      <w:bCs/>
    </w:rPr>
  </w:style>
  <w:style w:type="character" w:styleId="84">
    <w:name w:val="endnote reference"/>
    <w:semiHidden/>
    <w:qFormat/>
    <w:uiPriority w:val="0"/>
    <w:rPr>
      <w:rFonts w:ascii="Tahoma" w:hAnsi="Tahoma" w:eastAsia="宋体" w:cs="Tahoma"/>
      <w:kern w:val="2"/>
      <w:sz w:val="24"/>
      <w:szCs w:val="24"/>
      <w:vertAlign w:val="superscript"/>
      <w:lang w:val="en-US" w:eastAsia="zh-CN" w:bidi="ar-SA"/>
    </w:rPr>
  </w:style>
  <w:style w:type="character" w:styleId="85">
    <w:name w:val="page number"/>
    <w:semiHidden/>
    <w:qFormat/>
    <w:uiPriority w:val="0"/>
    <w:rPr>
      <w:rFonts w:hint="default" w:ascii="Tahoma" w:hAnsi="Tahoma" w:eastAsia="宋体" w:cs="Tahoma"/>
      <w:kern w:val="2"/>
      <w:sz w:val="24"/>
      <w:szCs w:val="24"/>
      <w:lang w:val="en-US" w:eastAsia="zh-CN" w:bidi="ar"/>
    </w:rPr>
  </w:style>
  <w:style w:type="character" w:styleId="86">
    <w:name w:val="FollowedHyperlink"/>
    <w:semiHidden/>
    <w:qFormat/>
    <w:uiPriority w:val="99"/>
    <w:rPr>
      <w:rFonts w:ascii="Tahoma" w:hAnsi="Tahoma" w:eastAsia="宋体" w:cs="Tahoma"/>
      <w:color w:val="800080"/>
      <w:kern w:val="2"/>
      <w:sz w:val="24"/>
      <w:szCs w:val="24"/>
      <w:u w:val="single"/>
      <w:lang w:val="en-US" w:eastAsia="zh-CN" w:bidi="ar-SA"/>
    </w:rPr>
  </w:style>
  <w:style w:type="character" w:styleId="87">
    <w:name w:val="Emphasis"/>
    <w:qFormat/>
    <w:uiPriority w:val="0"/>
    <w:rPr>
      <w:rFonts w:ascii="Arial" w:hAnsi="Arial"/>
      <w:iCs/>
      <w:sz w:val="32"/>
    </w:rPr>
  </w:style>
  <w:style w:type="character" w:styleId="88">
    <w:name w:val="line number"/>
    <w:semiHidden/>
    <w:qFormat/>
    <w:uiPriority w:val="0"/>
    <w:rPr>
      <w:rFonts w:hint="default" w:ascii="Tahoma" w:hAnsi="Tahoma" w:eastAsia="宋体" w:cs="Tahoma"/>
      <w:kern w:val="2"/>
      <w:sz w:val="24"/>
      <w:szCs w:val="24"/>
      <w:lang w:val="en-US" w:eastAsia="zh-CN" w:bidi="ar"/>
    </w:rPr>
  </w:style>
  <w:style w:type="character" w:styleId="89">
    <w:name w:val="HTML Definition"/>
    <w:semiHidden/>
    <w:qFormat/>
    <w:uiPriority w:val="0"/>
    <w:rPr>
      <w:i/>
      <w:iCs/>
    </w:rPr>
  </w:style>
  <w:style w:type="character" w:styleId="90">
    <w:name w:val="HTML Typewriter"/>
    <w:semiHidden/>
    <w:qFormat/>
    <w:uiPriority w:val="0"/>
    <w:rPr>
      <w:rFonts w:ascii="Courier New" w:hAnsi="Courier New" w:cs="Courier New"/>
      <w:sz w:val="20"/>
      <w:szCs w:val="20"/>
    </w:rPr>
  </w:style>
  <w:style w:type="character" w:styleId="91">
    <w:name w:val="HTML Acronym"/>
    <w:semiHidden/>
    <w:qFormat/>
    <w:uiPriority w:val="0"/>
    <w:rPr>
      <w:rFonts w:hint="default" w:ascii="Tahoma" w:hAnsi="Tahoma" w:eastAsia="宋体" w:cs="Tahoma"/>
      <w:kern w:val="2"/>
      <w:sz w:val="24"/>
      <w:szCs w:val="24"/>
      <w:lang w:val="en-US" w:eastAsia="zh-CN" w:bidi="ar"/>
    </w:rPr>
  </w:style>
  <w:style w:type="character" w:styleId="92">
    <w:name w:val="HTML Variable"/>
    <w:semiHidden/>
    <w:qFormat/>
    <w:uiPriority w:val="0"/>
    <w:rPr>
      <w:i/>
      <w:iCs/>
    </w:rPr>
  </w:style>
  <w:style w:type="character" w:styleId="93">
    <w:name w:val="Hyperlink"/>
    <w:qFormat/>
    <w:uiPriority w:val="99"/>
    <w:rPr>
      <w:rFonts w:ascii="Tahoma" w:hAnsi="Tahoma" w:eastAsia="宋体" w:cs="Tahoma"/>
      <w:color w:val="0000FF"/>
      <w:kern w:val="2"/>
      <w:sz w:val="24"/>
      <w:szCs w:val="24"/>
      <w:u w:val="single"/>
      <w:lang w:val="en-US" w:eastAsia="zh-CN" w:bidi="ar-SA"/>
    </w:rPr>
  </w:style>
  <w:style w:type="character" w:styleId="94">
    <w:name w:val="HTML Code"/>
    <w:semiHidden/>
    <w:qFormat/>
    <w:uiPriority w:val="0"/>
    <w:rPr>
      <w:rFonts w:ascii="Courier New" w:hAnsi="Courier New" w:cs="Courier New"/>
      <w:sz w:val="20"/>
      <w:szCs w:val="20"/>
    </w:rPr>
  </w:style>
  <w:style w:type="character" w:styleId="95">
    <w:name w:val="annotation reference"/>
    <w:semiHidden/>
    <w:qFormat/>
    <w:uiPriority w:val="99"/>
    <w:rPr>
      <w:sz w:val="21"/>
      <w:szCs w:val="21"/>
    </w:rPr>
  </w:style>
  <w:style w:type="character" w:styleId="96">
    <w:name w:val="HTML Cite"/>
    <w:semiHidden/>
    <w:qFormat/>
    <w:uiPriority w:val="0"/>
    <w:rPr>
      <w:i/>
      <w:iCs/>
    </w:rPr>
  </w:style>
  <w:style w:type="character" w:styleId="97">
    <w:name w:val="footnote reference"/>
    <w:semiHidden/>
    <w:qFormat/>
    <w:uiPriority w:val="0"/>
    <w:rPr>
      <w:rFonts w:ascii="Tahoma" w:hAnsi="Tahoma" w:eastAsia="宋体" w:cs="Tahoma"/>
      <w:kern w:val="2"/>
      <w:sz w:val="24"/>
      <w:szCs w:val="24"/>
      <w:vertAlign w:val="superscript"/>
      <w:lang w:val="en-US" w:eastAsia="zh-CN" w:bidi="ar-SA"/>
    </w:rPr>
  </w:style>
  <w:style w:type="character" w:styleId="98">
    <w:name w:val="HTML Keyboard"/>
    <w:semiHidden/>
    <w:qFormat/>
    <w:uiPriority w:val="0"/>
    <w:rPr>
      <w:rFonts w:ascii="Courier New" w:hAnsi="Courier New" w:cs="Courier New"/>
      <w:sz w:val="20"/>
      <w:szCs w:val="20"/>
    </w:rPr>
  </w:style>
  <w:style w:type="character" w:styleId="99">
    <w:name w:val="HTML Sample"/>
    <w:semiHidden/>
    <w:qFormat/>
    <w:uiPriority w:val="0"/>
    <w:rPr>
      <w:rFonts w:ascii="Courier New" w:hAnsi="Courier New" w:cs="Courier New"/>
    </w:rPr>
  </w:style>
  <w:style w:type="character" w:customStyle="1" w:styleId="100">
    <w:name w:val="标题 1 字符2"/>
    <w:link w:val="2"/>
    <w:qFormat/>
    <w:uiPriority w:val="0"/>
    <w:rPr>
      <w:rFonts w:ascii="Tahoma" w:hAnsi="Tahoma" w:eastAsia="黑体" w:cs="Tahoma"/>
      <w:bCs/>
      <w:snapToGrid w:val="0"/>
      <w:spacing w:val="4"/>
      <w:kern w:val="2"/>
      <w:sz w:val="32"/>
      <w:szCs w:val="32"/>
      <w:lang w:val="zh-CN" w:eastAsia="zh-CN" w:bidi="ar-SA"/>
    </w:rPr>
  </w:style>
  <w:style w:type="character" w:customStyle="1" w:styleId="101">
    <w:name w:val="标题 2 字符4"/>
    <w:link w:val="3"/>
    <w:qFormat/>
    <w:uiPriority w:val="0"/>
    <w:rPr>
      <w:rFonts w:hint="eastAsia" w:ascii="黑体" w:hAnsi="宋体" w:eastAsia="黑体" w:cs="黑体"/>
      <w:snapToGrid/>
      <w:kern w:val="2"/>
      <w:sz w:val="28"/>
      <w:szCs w:val="28"/>
      <w:lang w:val="en-US" w:eastAsia="zh-CN" w:bidi="ar-SA"/>
    </w:rPr>
  </w:style>
  <w:style w:type="character" w:customStyle="1" w:styleId="102">
    <w:name w:val="标题 3 字符3"/>
    <w:link w:val="4"/>
    <w:qFormat/>
    <w:uiPriority w:val="0"/>
    <w:rPr>
      <w:rFonts w:eastAsia="黑体"/>
      <w:snapToGrid/>
      <w:sz w:val="24"/>
      <w:szCs w:val="24"/>
    </w:rPr>
  </w:style>
  <w:style w:type="character" w:customStyle="1" w:styleId="103">
    <w:name w:val="标题 4 字符2"/>
    <w:link w:val="5"/>
    <w:uiPriority w:val="9"/>
    <w:rPr>
      <w:rFonts w:eastAsia="宋体"/>
      <w:bCs/>
      <w:kern w:val="2"/>
      <w:sz w:val="24"/>
      <w:szCs w:val="24"/>
      <w:lang w:bidi="ar-SA"/>
    </w:rPr>
  </w:style>
  <w:style w:type="character" w:customStyle="1" w:styleId="104">
    <w:name w:val="标题 5 字符4"/>
    <w:link w:val="6"/>
    <w:qFormat/>
    <w:uiPriority w:val="0"/>
    <w:rPr>
      <w:rFonts w:ascii="黑体" w:hAnsi="黑体" w:eastAsia="黑体"/>
      <w:bCs/>
      <w:kern w:val="2"/>
      <w:sz w:val="24"/>
      <w:szCs w:val="24"/>
    </w:rPr>
  </w:style>
  <w:style w:type="character" w:customStyle="1" w:styleId="105">
    <w:name w:val="标题 6 字符2"/>
    <w:link w:val="7"/>
    <w:qFormat/>
    <w:uiPriority w:val="9"/>
    <w:rPr>
      <w:rFonts w:eastAsia="黑体"/>
      <w:bCs/>
      <w:kern w:val="2"/>
      <w:sz w:val="24"/>
      <w:szCs w:val="24"/>
    </w:rPr>
  </w:style>
  <w:style w:type="character" w:customStyle="1" w:styleId="106">
    <w:name w:val="标题 7 字符3"/>
    <w:link w:val="8"/>
    <w:qFormat/>
    <w:uiPriority w:val="0"/>
    <w:rPr>
      <w:rFonts w:eastAsia="黑体"/>
      <w:bCs/>
      <w:kern w:val="2"/>
      <w:sz w:val="24"/>
      <w:szCs w:val="24"/>
      <w:lang w:val="en-US" w:eastAsia="zh-CN" w:bidi="ar-SA"/>
    </w:rPr>
  </w:style>
  <w:style w:type="character" w:customStyle="1" w:styleId="107">
    <w:name w:val="标题 8 字符2"/>
    <w:link w:val="9"/>
    <w:qFormat/>
    <w:uiPriority w:val="0"/>
    <w:rPr>
      <w:rFonts w:hint="eastAsia" w:ascii="黑体" w:hAnsi="宋体" w:eastAsia="黑体" w:cs="黑体"/>
      <w:kern w:val="2"/>
      <w:sz w:val="24"/>
      <w:szCs w:val="24"/>
      <w:lang w:val="en-US" w:eastAsia="zh-CN" w:bidi="ar-SA"/>
    </w:rPr>
  </w:style>
  <w:style w:type="character" w:customStyle="1" w:styleId="108">
    <w:name w:val="标题 9 字符3"/>
    <w:link w:val="10"/>
    <w:qFormat/>
    <w:uiPriority w:val="0"/>
    <w:rPr>
      <w:sz w:val="24"/>
      <w:szCs w:val="24"/>
    </w:rPr>
  </w:style>
  <w:style w:type="character" w:customStyle="1" w:styleId="109">
    <w:name w:val="注释标题 字符3"/>
    <w:link w:val="14"/>
    <w:qFormat/>
    <w:uiPriority w:val="0"/>
    <w:rPr>
      <w:rFonts w:ascii="Tahoma" w:hAnsi="Tahoma" w:eastAsia="宋体" w:cs="Tahoma"/>
      <w:kern w:val="2"/>
      <w:sz w:val="21"/>
      <w:szCs w:val="24"/>
      <w:lang w:val="en-US" w:eastAsia="zh-CN" w:bidi="ar-SA"/>
    </w:rPr>
  </w:style>
  <w:style w:type="character" w:customStyle="1" w:styleId="110">
    <w:name w:val="电子邮件签名 字符3"/>
    <w:link w:val="16"/>
    <w:qFormat/>
    <w:uiPriority w:val="0"/>
    <w:rPr>
      <w:rFonts w:ascii="Tahoma" w:hAnsi="Tahoma" w:eastAsia="宋体" w:cs="Tahoma"/>
      <w:kern w:val="2"/>
      <w:sz w:val="21"/>
      <w:szCs w:val="24"/>
      <w:lang w:val="en-US" w:eastAsia="zh-CN" w:bidi="ar-SA"/>
    </w:rPr>
  </w:style>
  <w:style w:type="character" w:customStyle="1" w:styleId="111">
    <w:name w:val="正文缩进 字符2"/>
    <w:link w:val="18"/>
    <w:qFormat/>
    <w:uiPriority w:val="0"/>
    <w:rPr>
      <w:rFonts w:ascii="Tahoma" w:hAnsi="Tahoma" w:eastAsia="宋体" w:cs="Tahoma"/>
      <w:kern w:val="2"/>
      <w:sz w:val="21"/>
      <w:szCs w:val="24"/>
      <w:lang w:val="en-US" w:eastAsia="zh-CN" w:bidi="ar-SA"/>
    </w:rPr>
  </w:style>
  <w:style w:type="character" w:customStyle="1" w:styleId="112">
    <w:name w:val="题注 字符"/>
    <w:link w:val="19"/>
    <w:qFormat/>
    <w:uiPriority w:val="0"/>
    <w:rPr>
      <w:rFonts w:eastAsia="宋体" w:cs="Arial"/>
      <w:kern w:val="2"/>
      <w:sz w:val="21"/>
      <w:lang w:val="en-US" w:eastAsia="zh-CN" w:bidi="ar-SA"/>
    </w:rPr>
  </w:style>
  <w:style w:type="character" w:customStyle="1" w:styleId="113">
    <w:name w:val="文档结构图 字符3"/>
    <w:link w:val="22"/>
    <w:qFormat/>
    <w:uiPriority w:val="0"/>
    <w:rPr>
      <w:rFonts w:ascii="Tahoma" w:hAnsi="Tahoma" w:eastAsia="宋体" w:cs="Tahoma"/>
      <w:kern w:val="2"/>
      <w:sz w:val="21"/>
      <w:szCs w:val="24"/>
      <w:shd w:val="clear" w:color="auto" w:fill="000080"/>
      <w:lang w:val="en-US" w:eastAsia="zh-CN" w:bidi="ar-SA"/>
    </w:rPr>
  </w:style>
  <w:style w:type="character" w:customStyle="1" w:styleId="114">
    <w:name w:val="批注文字 字符4"/>
    <w:link w:val="24"/>
    <w:qFormat/>
    <w:uiPriority w:val="0"/>
    <w:rPr>
      <w:rFonts w:ascii="Tahoma" w:hAnsi="Tahoma" w:eastAsia="宋体" w:cs="Tahoma"/>
      <w:kern w:val="2"/>
      <w:sz w:val="21"/>
      <w:szCs w:val="24"/>
      <w:lang w:val="en-US" w:eastAsia="zh-CN" w:bidi="ar-SA"/>
    </w:rPr>
  </w:style>
  <w:style w:type="character" w:customStyle="1" w:styleId="115">
    <w:name w:val="称呼 字符3"/>
    <w:link w:val="25"/>
    <w:qFormat/>
    <w:uiPriority w:val="0"/>
    <w:rPr>
      <w:rFonts w:ascii="Tahoma" w:hAnsi="Tahoma" w:eastAsia="宋体" w:cs="Tahoma"/>
      <w:kern w:val="2"/>
      <w:sz w:val="21"/>
      <w:szCs w:val="24"/>
      <w:lang w:val="en-US" w:eastAsia="zh-CN" w:bidi="ar-SA"/>
    </w:rPr>
  </w:style>
  <w:style w:type="character" w:customStyle="1" w:styleId="116">
    <w:name w:val="正文文本 3 字符3"/>
    <w:link w:val="26"/>
    <w:qFormat/>
    <w:uiPriority w:val="0"/>
    <w:rPr>
      <w:rFonts w:ascii="Tahoma" w:hAnsi="Tahoma" w:eastAsia="宋体" w:cs="Tahoma"/>
      <w:kern w:val="2"/>
      <w:sz w:val="16"/>
      <w:szCs w:val="16"/>
      <w:lang w:val="en-US" w:eastAsia="zh-CN" w:bidi="ar-SA"/>
    </w:rPr>
  </w:style>
  <w:style w:type="character" w:customStyle="1" w:styleId="117">
    <w:name w:val="结束语 字符3"/>
    <w:link w:val="27"/>
    <w:qFormat/>
    <w:uiPriority w:val="0"/>
    <w:rPr>
      <w:rFonts w:ascii="Tahoma" w:hAnsi="Tahoma" w:eastAsia="宋体" w:cs="Tahoma"/>
      <w:kern w:val="2"/>
      <w:sz w:val="21"/>
      <w:szCs w:val="24"/>
      <w:lang w:val="en-US" w:eastAsia="zh-CN" w:bidi="ar-SA"/>
    </w:rPr>
  </w:style>
  <w:style w:type="character" w:customStyle="1" w:styleId="118">
    <w:name w:val="正文文本 字符2"/>
    <w:link w:val="29"/>
    <w:qFormat/>
    <w:uiPriority w:val="0"/>
    <w:rPr>
      <w:rFonts w:ascii="Tahoma" w:hAnsi="Tahoma" w:eastAsia="宋体" w:cs="Tahoma"/>
      <w:kern w:val="2"/>
      <w:sz w:val="21"/>
      <w:szCs w:val="24"/>
      <w:lang w:val="en-US" w:eastAsia="zh-CN" w:bidi="ar-SA"/>
    </w:rPr>
  </w:style>
  <w:style w:type="character" w:customStyle="1" w:styleId="119">
    <w:name w:val="正文文本缩进 字符2"/>
    <w:link w:val="30"/>
    <w:qFormat/>
    <w:uiPriority w:val="0"/>
    <w:rPr>
      <w:rFonts w:hint="eastAsia" w:ascii="仿宋_GB2312" w:hAnsi="Tahoma" w:eastAsia="仿宋_GB2312" w:cs="仿宋_GB2312"/>
      <w:kern w:val="2"/>
      <w:sz w:val="28"/>
      <w:szCs w:val="24"/>
      <w:lang w:val="en-US" w:eastAsia="zh-CN" w:bidi="ar-SA"/>
    </w:rPr>
  </w:style>
  <w:style w:type="character" w:customStyle="1" w:styleId="120">
    <w:name w:val="HTML 地址 字符3"/>
    <w:link w:val="36"/>
    <w:qFormat/>
    <w:uiPriority w:val="0"/>
    <w:rPr>
      <w:rFonts w:ascii="Tahoma" w:hAnsi="Tahoma" w:eastAsia="宋体" w:cs="Tahoma"/>
      <w:i/>
      <w:kern w:val="2"/>
      <w:sz w:val="21"/>
      <w:szCs w:val="24"/>
      <w:lang w:val="en-US" w:eastAsia="zh-CN" w:bidi="ar-SA"/>
    </w:rPr>
  </w:style>
  <w:style w:type="character" w:customStyle="1" w:styleId="121">
    <w:name w:val="纯文本 字符4"/>
    <w:link w:val="39"/>
    <w:qFormat/>
    <w:uiPriority w:val="0"/>
    <w:rPr>
      <w:rFonts w:hint="eastAsia" w:ascii="宋体" w:hAnsi="Courier New" w:eastAsia="宋体" w:cs="宋体"/>
      <w:kern w:val="2"/>
      <w:sz w:val="21"/>
      <w:szCs w:val="21"/>
      <w:lang w:val="en-US" w:eastAsia="zh-CN" w:bidi="ar-SA"/>
    </w:rPr>
  </w:style>
  <w:style w:type="character" w:customStyle="1" w:styleId="122">
    <w:name w:val="日期 字符3"/>
    <w:link w:val="44"/>
    <w:qFormat/>
    <w:uiPriority w:val="0"/>
    <w:rPr>
      <w:rFonts w:ascii="Tahoma" w:hAnsi="Tahoma" w:eastAsia="宋体" w:cs="Tahoma"/>
      <w:kern w:val="2"/>
      <w:sz w:val="21"/>
      <w:szCs w:val="24"/>
      <w:lang w:val="en-US" w:eastAsia="zh-CN" w:bidi="ar-SA"/>
    </w:rPr>
  </w:style>
  <w:style w:type="character" w:customStyle="1" w:styleId="123">
    <w:name w:val="正文文本缩进 2 字符3"/>
    <w:link w:val="45"/>
    <w:qFormat/>
    <w:uiPriority w:val="0"/>
    <w:rPr>
      <w:rFonts w:ascii="Tahoma" w:hAnsi="Tahoma" w:eastAsia="宋体" w:cs="Tahoma"/>
      <w:kern w:val="2"/>
      <w:sz w:val="24"/>
      <w:szCs w:val="24"/>
      <w:lang w:val="en-US" w:eastAsia="zh-CN" w:bidi="ar-SA"/>
    </w:rPr>
  </w:style>
  <w:style w:type="character" w:customStyle="1" w:styleId="124">
    <w:name w:val="尾注文本 字符3"/>
    <w:link w:val="46"/>
    <w:qFormat/>
    <w:uiPriority w:val="0"/>
    <w:rPr>
      <w:rFonts w:ascii="Tahoma" w:hAnsi="Tahoma" w:eastAsia="宋体" w:cs="Tahoma"/>
      <w:kern w:val="2"/>
      <w:sz w:val="21"/>
      <w:szCs w:val="24"/>
      <w:lang w:val="en-US" w:eastAsia="zh-CN" w:bidi="ar-SA"/>
    </w:rPr>
  </w:style>
  <w:style w:type="character" w:customStyle="1" w:styleId="125">
    <w:name w:val="批注框文本 字符3"/>
    <w:link w:val="48"/>
    <w:qFormat/>
    <w:uiPriority w:val="0"/>
    <w:rPr>
      <w:rFonts w:ascii="Tahoma" w:hAnsi="Tahoma" w:eastAsia="宋体" w:cs="Tahoma"/>
      <w:kern w:val="2"/>
      <w:sz w:val="18"/>
      <w:szCs w:val="18"/>
      <w:lang w:val="en-US" w:eastAsia="zh-CN" w:bidi="ar-SA"/>
    </w:rPr>
  </w:style>
  <w:style w:type="character" w:customStyle="1" w:styleId="126">
    <w:name w:val="页脚 字符3"/>
    <w:link w:val="49"/>
    <w:qFormat/>
    <w:uiPriority w:val="0"/>
    <w:rPr>
      <w:rFonts w:ascii="Tahoma" w:hAnsi="Tahoma" w:eastAsia="宋体" w:cs="Tahoma"/>
      <w:kern w:val="2"/>
      <w:sz w:val="18"/>
      <w:szCs w:val="18"/>
      <w:lang w:val="en-US" w:eastAsia="zh-CN" w:bidi="ar-SA"/>
    </w:rPr>
  </w:style>
  <w:style w:type="character" w:customStyle="1" w:styleId="127">
    <w:name w:val="页眉 字符3"/>
    <w:link w:val="51"/>
    <w:qFormat/>
    <w:uiPriority w:val="0"/>
    <w:rPr>
      <w:rFonts w:ascii="Tahoma" w:hAnsi="Tahoma" w:eastAsia="宋体" w:cs="Tahoma"/>
      <w:kern w:val="2"/>
      <w:sz w:val="18"/>
      <w:szCs w:val="18"/>
      <w:lang w:val="en-US" w:eastAsia="zh-CN" w:bidi="ar-SA"/>
    </w:rPr>
  </w:style>
  <w:style w:type="character" w:customStyle="1" w:styleId="128">
    <w:name w:val="签名 字符3"/>
    <w:link w:val="52"/>
    <w:qFormat/>
    <w:uiPriority w:val="0"/>
    <w:rPr>
      <w:rFonts w:ascii="Tahoma" w:hAnsi="Tahoma" w:eastAsia="宋体" w:cs="Tahoma"/>
      <w:kern w:val="2"/>
      <w:sz w:val="21"/>
      <w:szCs w:val="24"/>
      <w:lang w:val="en-US" w:eastAsia="zh-CN" w:bidi="ar-SA"/>
    </w:rPr>
  </w:style>
  <w:style w:type="character" w:customStyle="1" w:styleId="129">
    <w:name w:val="副标题 字符3"/>
    <w:link w:val="58"/>
    <w:qFormat/>
    <w:uiPriority w:val="0"/>
    <w:rPr>
      <w:rFonts w:hint="default" w:ascii="Cambria" w:hAnsi="Cambria" w:eastAsia="Cambria" w:cs="Cambria"/>
      <w:b/>
      <w:kern w:val="28"/>
      <w:sz w:val="32"/>
      <w:szCs w:val="32"/>
      <w:lang w:val="en-US" w:eastAsia="zh-CN" w:bidi="ar-SA"/>
    </w:rPr>
  </w:style>
  <w:style w:type="character" w:customStyle="1" w:styleId="130">
    <w:name w:val="脚注文本 字符3"/>
    <w:link w:val="61"/>
    <w:qFormat/>
    <w:uiPriority w:val="0"/>
    <w:rPr>
      <w:rFonts w:ascii="Tahoma" w:hAnsi="Tahoma" w:eastAsia="宋体" w:cs="Tahoma"/>
      <w:kern w:val="2"/>
      <w:sz w:val="18"/>
      <w:szCs w:val="18"/>
      <w:lang w:val="en-US" w:eastAsia="zh-CN" w:bidi="ar-SA"/>
    </w:rPr>
  </w:style>
  <w:style w:type="character" w:customStyle="1" w:styleId="131">
    <w:name w:val="正文文本缩进 3 字符3"/>
    <w:link w:val="64"/>
    <w:qFormat/>
    <w:uiPriority w:val="0"/>
    <w:rPr>
      <w:rFonts w:ascii="Tahoma" w:hAnsi="Tahoma" w:eastAsia="宋体" w:cs="Tahoma"/>
      <w:kern w:val="2"/>
      <w:sz w:val="16"/>
      <w:szCs w:val="16"/>
      <w:lang w:val="en-US" w:eastAsia="zh-CN" w:bidi="ar-SA"/>
    </w:rPr>
  </w:style>
  <w:style w:type="character" w:customStyle="1" w:styleId="132">
    <w:name w:val="正文文本 2 字符3"/>
    <w:link w:val="68"/>
    <w:qFormat/>
    <w:uiPriority w:val="0"/>
    <w:rPr>
      <w:rFonts w:hint="eastAsia" w:ascii="宋体" w:hAnsi="宋体" w:eastAsia="宋体" w:cs="宋体"/>
      <w:b/>
      <w:kern w:val="2"/>
      <w:sz w:val="52"/>
      <w:szCs w:val="24"/>
      <w:lang w:val="zh-CN" w:eastAsia="zh-CN" w:bidi="ar-SA"/>
    </w:rPr>
  </w:style>
  <w:style w:type="character" w:customStyle="1" w:styleId="133">
    <w:name w:val="信息标题 字符3"/>
    <w:link w:val="71"/>
    <w:qFormat/>
    <w:uiPriority w:val="0"/>
    <w:rPr>
      <w:rFonts w:hint="default" w:ascii="Arial" w:hAnsi="Arial" w:eastAsia="宋体" w:cs="Arial"/>
      <w:kern w:val="2"/>
      <w:sz w:val="24"/>
      <w:szCs w:val="24"/>
      <w:shd w:val="pct20" w:color="auto" w:fill="auto"/>
      <w:lang w:val="en-US" w:eastAsia="zh-CN" w:bidi="ar-SA"/>
    </w:rPr>
  </w:style>
  <w:style w:type="character" w:customStyle="1" w:styleId="134">
    <w:name w:val="HTML 预设格式 字符3"/>
    <w:link w:val="72"/>
    <w:qFormat/>
    <w:uiPriority w:val="0"/>
    <w:rPr>
      <w:rFonts w:hint="default" w:ascii="Courier New" w:hAnsi="Courier New" w:eastAsia="宋体" w:cs="Courier New"/>
      <w:kern w:val="2"/>
      <w:sz w:val="24"/>
      <w:szCs w:val="24"/>
      <w:lang w:val="en-US" w:eastAsia="zh-CN" w:bidi="ar-SA"/>
    </w:rPr>
  </w:style>
  <w:style w:type="character" w:customStyle="1" w:styleId="135">
    <w:name w:val="标题 字符3"/>
    <w:link w:val="75"/>
    <w:qFormat/>
    <w:uiPriority w:val="0"/>
    <w:rPr>
      <w:rFonts w:hint="eastAsia" w:ascii="黑体" w:hAnsi="宋体" w:eastAsia="黑体" w:cs="黑体"/>
      <w:kern w:val="2"/>
      <w:sz w:val="36"/>
      <w:szCs w:val="36"/>
      <w:lang w:val="en-US" w:eastAsia="zh-CN" w:bidi="ar-SA"/>
    </w:rPr>
  </w:style>
  <w:style w:type="character" w:customStyle="1" w:styleId="136">
    <w:name w:val="批注主题 字符3"/>
    <w:link w:val="76"/>
    <w:qFormat/>
    <w:uiPriority w:val="0"/>
    <w:rPr>
      <w:rFonts w:ascii="Tahoma" w:hAnsi="Tahoma" w:eastAsia="宋体" w:cs="Tahoma"/>
      <w:b/>
      <w:kern w:val="2"/>
      <w:sz w:val="21"/>
      <w:szCs w:val="24"/>
      <w:lang w:val="en-US" w:eastAsia="zh-CN" w:bidi="ar-SA"/>
    </w:rPr>
  </w:style>
  <w:style w:type="character" w:customStyle="1" w:styleId="137">
    <w:name w:val="正文文本首行缩进 字符2"/>
    <w:link w:val="77"/>
    <w:qFormat/>
    <w:uiPriority w:val="0"/>
    <w:rPr>
      <w:rFonts w:hint="eastAsia" w:ascii="宋体" w:hAnsi="宋体" w:eastAsia="宋体" w:cs="宋体"/>
      <w:kern w:val="2"/>
      <w:sz w:val="21"/>
      <w:szCs w:val="24"/>
      <w:lang w:val="en-US" w:eastAsia="zh-CN" w:bidi="ar"/>
    </w:rPr>
  </w:style>
  <w:style w:type="character" w:customStyle="1" w:styleId="138">
    <w:name w:val="正文文本首行缩进 2 字符2"/>
    <w:link w:val="78"/>
    <w:qFormat/>
    <w:uiPriority w:val="0"/>
    <w:rPr>
      <w:rFonts w:hint="eastAsia" w:ascii="宋体" w:hAnsi="宋体" w:eastAsia="宋体" w:cs="宋体"/>
      <w:kern w:val="2"/>
      <w:sz w:val="21"/>
      <w:szCs w:val="24"/>
      <w:lang w:val="en-US" w:eastAsia="zh-CN" w:bidi="ar"/>
    </w:rPr>
  </w:style>
  <w:style w:type="character" w:customStyle="1" w:styleId="139">
    <w:name w:val="标题 1 字符3"/>
    <w:qFormat/>
    <w:uiPriority w:val="0"/>
    <w:rPr>
      <w:rFonts w:eastAsia="黑体"/>
      <w:bCs/>
      <w:snapToGrid w:val="0"/>
      <w:spacing w:val="4"/>
      <w:sz w:val="32"/>
      <w:szCs w:val="32"/>
      <w:lang w:val="zh-CN" w:eastAsia="zh-CN" w:bidi="ar-SA"/>
    </w:rPr>
  </w:style>
  <w:style w:type="character" w:customStyle="1" w:styleId="140">
    <w:name w:val="标题 2 字符3"/>
    <w:link w:val="3"/>
    <w:qFormat/>
    <w:uiPriority w:val="0"/>
    <w:rPr>
      <w:rFonts w:eastAsia="黑体"/>
      <w:snapToGrid/>
      <w:sz w:val="28"/>
      <w:szCs w:val="28"/>
    </w:rPr>
  </w:style>
  <w:style w:type="character" w:customStyle="1" w:styleId="141">
    <w:name w:val="标题 3 字符2"/>
    <w:qFormat/>
    <w:uiPriority w:val="0"/>
    <w:rPr>
      <w:rFonts w:hint="eastAsia" w:ascii="黑体" w:hAnsi="宋体" w:eastAsia="黑体" w:cs="黑体"/>
      <w:snapToGrid/>
      <w:kern w:val="2"/>
      <w:sz w:val="24"/>
      <w:szCs w:val="24"/>
      <w:lang w:val="en-US" w:eastAsia="zh-CN" w:bidi="ar-SA"/>
    </w:rPr>
  </w:style>
  <w:style w:type="character" w:customStyle="1" w:styleId="142">
    <w:name w:val="标题 4 字符3"/>
    <w:qFormat/>
    <w:uiPriority w:val="0"/>
    <w:rPr>
      <w:rFonts w:ascii="Tahoma" w:hAnsi="Tahoma" w:eastAsia="宋体" w:cs="Tahoma"/>
      <w:bCs/>
      <w:kern w:val="2"/>
      <w:sz w:val="24"/>
      <w:szCs w:val="24"/>
      <w:lang w:val="en-US" w:eastAsia="zh-CN" w:bidi="ar-SA"/>
    </w:rPr>
  </w:style>
  <w:style w:type="character" w:customStyle="1" w:styleId="143">
    <w:name w:val="标题 5 字符2"/>
    <w:qFormat/>
    <w:uiPriority w:val="0"/>
    <w:rPr>
      <w:rFonts w:eastAsia="黑体"/>
      <w:bCs/>
      <w:kern w:val="2"/>
      <w:sz w:val="24"/>
      <w:szCs w:val="24"/>
      <w:lang w:val="en-US" w:eastAsia="zh-CN" w:bidi="ar-SA"/>
    </w:rPr>
  </w:style>
  <w:style w:type="character" w:customStyle="1" w:styleId="144">
    <w:name w:val="标题 6 字符3"/>
    <w:qFormat/>
    <w:uiPriority w:val="0"/>
    <w:rPr>
      <w:rFonts w:hint="eastAsia" w:ascii="黑体" w:hAnsi="宋体" w:eastAsia="黑体" w:cs="黑体"/>
      <w:bCs/>
      <w:kern w:val="2"/>
      <w:sz w:val="24"/>
      <w:szCs w:val="24"/>
      <w:lang w:val="en-US" w:eastAsia="zh-CN" w:bidi="ar-SA"/>
    </w:rPr>
  </w:style>
  <w:style w:type="character" w:customStyle="1" w:styleId="145">
    <w:name w:val="标题 7 字符2"/>
    <w:qFormat/>
    <w:uiPriority w:val="0"/>
    <w:rPr>
      <w:rFonts w:hint="eastAsia" w:ascii="黑体" w:hAnsi="宋体" w:eastAsia="黑体" w:cs="黑体"/>
      <w:bCs/>
      <w:kern w:val="2"/>
      <w:sz w:val="24"/>
      <w:szCs w:val="24"/>
      <w:lang w:val="en-US" w:eastAsia="zh-CN" w:bidi="ar-SA"/>
    </w:rPr>
  </w:style>
  <w:style w:type="character" w:customStyle="1" w:styleId="146">
    <w:name w:val="标题 8 字符3"/>
    <w:qFormat/>
    <w:uiPriority w:val="0"/>
    <w:rPr>
      <w:rFonts w:eastAsia="黑体"/>
      <w:kern w:val="2"/>
      <w:sz w:val="24"/>
      <w:szCs w:val="24"/>
      <w:lang w:val="en-US" w:eastAsia="zh-CN" w:bidi="ar-SA"/>
    </w:rPr>
  </w:style>
  <w:style w:type="character" w:customStyle="1" w:styleId="147">
    <w:name w:val="标题 9 字符2"/>
    <w:qFormat/>
    <w:uiPriority w:val="0"/>
    <w:rPr>
      <w:rFonts w:eastAsia="宋体"/>
      <w:sz w:val="24"/>
      <w:szCs w:val="24"/>
      <w:lang w:val="en-US" w:eastAsia="zh-CN" w:bidi="ar-SA"/>
    </w:rPr>
  </w:style>
  <w:style w:type="character" w:customStyle="1" w:styleId="148">
    <w:name w:val="正文文本缩进 字符1"/>
    <w:semiHidden/>
    <w:qFormat/>
    <w:uiPriority w:val="0"/>
    <w:rPr>
      <w:rFonts w:hint="eastAsia" w:ascii="仿宋_GB2312" w:hAnsi="Tahoma" w:eastAsia="仿宋_GB2312" w:cs="仿宋_GB2312"/>
      <w:kern w:val="2"/>
      <w:sz w:val="28"/>
      <w:szCs w:val="24"/>
      <w:lang w:val="en-US" w:eastAsia="zh-CN" w:bidi="ar-SA"/>
    </w:rPr>
  </w:style>
  <w:style w:type="character" w:customStyle="1" w:styleId="149">
    <w:name w:val="Char Char114"/>
    <w:semiHidden/>
    <w:qFormat/>
    <w:locked/>
    <w:uiPriority w:val="0"/>
    <w:rPr>
      <w:rFonts w:ascii="宋体" w:hAnsi="宋体" w:eastAsia="宋体"/>
      <w:kern w:val="2"/>
      <w:sz w:val="18"/>
      <w:szCs w:val="18"/>
      <w:lang w:val="en-US" w:eastAsia="zh-CN" w:bidi="ar-SA"/>
    </w:rPr>
  </w:style>
  <w:style w:type="character" w:customStyle="1" w:styleId="150">
    <w:name w:val="文档结构图 字符"/>
    <w:semiHidden/>
    <w:qFormat/>
    <w:uiPriority w:val="0"/>
    <w:rPr>
      <w:rFonts w:ascii="宋体" w:hAnsi="Calibri" w:eastAsia="宋体" w:cs="Times New Roman"/>
      <w:sz w:val="18"/>
      <w:szCs w:val="18"/>
    </w:rPr>
  </w:style>
  <w:style w:type="character" w:customStyle="1" w:styleId="151">
    <w:name w:val="Char Char6"/>
    <w:semiHidden/>
    <w:qFormat/>
    <w:uiPriority w:val="0"/>
    <w:rPr>
      <w:rFonts w:eastAsia="黑体"/>
      <w:bCs/>
      <w:color w:val="000000"/>
      <w:kern w:val="44"/>
      <w:sz w:val="32"/>
      <w:szCs w:val="44"/>
      <w:lang w:val="en-US" w:eastAsia="zh-CN" w:bidi="ar-SA"/>
    </w:rPr>
  </w:style>
  <w:style w:type="character" w:customStyle="1" w:styleId="152">
    <w:name w:val="正文文本 3 Char4"/>
    <w:semiHidden/>
    <w:qFormat/>
    <w:uiPriority w:val="99"/>
    <w:rPr>
      <w:rFonts w:ascii="Times New Roman" w:hAnsi="Times New Roman" w:eastAsia="宋体" w:cs="Times New Roman"/>
      <w:sz w:val="16"/>
      <w:szCs w:val="16"/>
    </w:rPr>
  </w:style>
  <w:style w:type="character" w:customStyle="1" w:styleId="153">
    <w:name w:val="项 Char Char"/>
    <w:semiHidden/>
    <w:qFormat/>
    <w:uiPriority w:val="0"/>
    <w:rPr>
      <w:rFonts w:ascii="Arial" w:hAnsi="Arial" w:eastAsia="黑体"/>
      <w:b/>
      <w:bCs/>
      <w:kern w:val="2"/>
      <w:sz w:val="28"/>
      <w:szCs w:val="28"/>
      <w:lang w:val="en-US" w:eastAsia="zh-CN" w:bidi="ar-SA"/>
    </w:rPr>
  </w:style>
  <w:style w:type="character" w:customStyle="1" w:styleId="154">
    <w:name w:val="结束语 字符1"/>
    <w:semiHidden/>
    <w:qFormat/>
    <w:uiPriority w:val="0"/>
    <w:rPr>
      <w:rFonts w:hint="default" w:ascii="Tahoma" w:hAnsi="Tahoma" w:eastAsia="宋体" w:cs="Tahoma"/>
      <w:kern w:val="2"/>
      <w:sz w:val="21"/>
      <w:szCs w:val="24"/>
      <w:lang w:val="en-US" w:eastAsia="zh-CN" w:bidi="ar"/>
    </w:rPr>
  </w:style>
  <w:style w:type="character" w:customStyle="1" w:styleId="155">
    <w:name w:val="标题3 A敦化 Char Char"/>
    <w:link w:val="156"/>
    <w:qFormat/>
    <w:uiPriority w:val="0"/>
    <w:rPr>
      <w:b/>
      <w:bCs/>
      <w:sz w:val="28"/>
      <w:szCs w:val="24"/>
      <w:lang w:val="zh-CN"/>
    </w:rPr>
  </w:style>
  <w:style w:type="paragraph" w:customStyle="1" w:styleId="156">
    <w:name w:val="标题3 A敦化"/>
    <w:basedOn w:val="4"/>
    <w:link w:val="155"/>
    <w:semiHidden/>
    <w:qFormat/>
    <w:uiPriority w:val="0"/>
    <w:pPr>
      <w:tabs>
        <w:tab w:val="left" w:pos="720"/>
      </w:tabs>
      <w:adjustRightInd w:val="0"/>
      <w:snapToGrid w:val="0"/>
      <w:spacing w:before="120" w:afterLines="50" w:line="440" w:lineRule="exact"/>
      <w:ind w:left="720" w:hanging="720"/>
      <w:jc w:val="left"/>
    </w:pPr>
    <w:rPr>
      <w:rFonts w:eastAsia="宋体"/>
      <w:b/>
      <w:bCs/>
      <w:snapToGrid/>
      <w:sz w:val="28"/>
      <w:lang w:val="zh-CN"/>
    </w:rPr>
  </w:style>
  <w:style w:type="character" w:customStyle="1" w:styleId="157">
    <w:name w:val="Char Char162"/>
    <w:semiHidden/>
    <w:qFormat/>
    <w:locked/>
    <w:uiPriority w:val="0"/>
    <w:rPr>
      <w:rFonts w:ascii="宋体" w:hAnsi="宋体" w:eastAsia="宋体"/>
      <w:kern w:val="2"/>
      <w:sz w:val="21"/>
      <w:szCs w:val="24"/>
      <w:lang w:val="en-US" w:eastAsia="zh-CN" w:bidi="ar-SA"/>
    </w:rPr>
  </w:style>
  <w:style w:type="character" w:customStyle="1" w:styleId="158">
    <w:name w:val="white1"/>
    <w:semiHidden/>
    <w:qFormat/>
    <w:uiPriority w:val="0"/>
    <w:rPr>
      <w:color w:val="666666"/>
      <w:u w:val="none"/>
    </w:rPr>
  </w:style>
  <w:style w:type="character" w:customStyle="1" w:styleId="159">
    <w:name w:val="正文缩进 字符"/>
    <w:semiHidden/>
    <w:qFormat/>
    <w:uiPriority w:val="0"/>
    <w:rPr>
      <w:rFonts w:ascii="宋体" w:hAnsi="Times New Roman" w:eastAsia="宋体" w:cs="Times New Roman"/>
      <w:sz w:val="24"/>
      <w:szCs w:val="24"/>
    </w:rPr>
  </w:style>
  <w:style w:type="character" w:customStyle="1" w:styleId="160">
    <w:name w:val="页脚 字符2"/>
    <w:semiHidden/>
    <w:qFormat/>
    <w:uiPriority w:val="0"/>
    <w:rPr>
      <w:rFonts w:ascii="Tahoma" w:hAnsi="Tahoma" w:eastAsia="宋体" w:cs="Tahoma"/>
      <w:kern w:val="2"/>
      <w:sz w:val="18"/>
      <w:szCs w:val="18"/>
      <w:lang w:val="en-US" w:eastAsia="zh-CN" w:bidi="ar-SA"/>
    </w:rPr>
  </w:style>
  <w:style w:type="character" w:customStyle="1" w:styleId="161">
    <w:name w:val="副标题 Char2"/>
    <w:semiHidden/>
    <w:qFormat/>
    <w:uiPriority w:val="0"/>
    <w:rPr>
      <w:rFonts w:hint="default" w:ascii="Calibri Light" w:hAnsi="Calibri Light" w:eastAsia="宋体" w:cs="Times New Roman"/>
      <w:b/>
      <w:kern w:val="28"/>
      <w:sz w:val="32"/>
      <w:szCs w:val="32"/>
      <w:lang w:val="en-US" w:eastAsia="zh-CN" w:bidi="ar"/>
    </w:rPr>
  </w:style>
  <w:style w:type="character" w:customStyle="1" w:styleId="162">
    <w:name w:val="Char Char182"/>
    <w:semiHidden/>
    <w:qFormat/>
    <w:locked/>
    <w:uiPriority w:val="0"/>
    <w:rPr>
      <w:rFonts w:ascii="Arial" w:hAnsi="Arial" w:eastAsia="黑体"/>
      <w:kern w:val="2"/>
      <w:sz w:val="24"/>
      <w:szCs w:val="24"/>
      <w:lang w:val="en-US" w:eastAsia="zh-CN" w:bidi="ar-SA"/>
    </w:rPr>
  </w:style>
  <w:style w:type="character" w:customStyle="1" w:styleId="163">
    <w:name w:val="Char Char191"/>
    <w:semiHidden/>
    <w:qFormat/>
    <w:locked/>
    <w:uiPriority w:val="0"/>
    <w:rPr>
      <w:rFonts w:ascii="Arial" w:hAnsi="Arial" w:eastAsia="宋体"/>
      <w:b/>
      <w:bCs/>
      <w:kern w:val="2"/>
      <w:sz w:val="24"/>
      <w:szCs w:val="24"/>
      <w:lang w:val="en-US" w:eastAsia="zh-CN" w:bidi="ar-SA"/>
    </w:rPr>
  </w:style>
  <w:style w:type="character" w:customStyle="1" w:styleId="164">
    <w:name w:val="Char Char8"/>
    <w:semiHidden/>
    <w:qFormat/>
    <w:locked/>
    <w:uiPriority w:val="0"/>
    <w:rPr>
      <w:rFonts w:ascii="仿宋_GB2312" w:eastAsia="仿宋体"/>
      <w:kern w:val="2"/>
      <w:sz w:val="24"/>
      <w:lang w:val="en-US" w:eastAsia="zh-CN" w:bidi="ar-SA"/>
    </w:rPr>
  </w:style>
  <w:style w:type="character" w:customStyle="1" w:styleId="165">
    <w:name w:val="标题 Char4"/>
    <w:semiHidden/>
    <w:qFormat/>
    <w:uiPriority w:val="10"/>
    <w:rPr>
      <w:rFonts w:ascii="Calibri Light" w:hAnsi="Calibri Light" w:eastAsia="宋体" w:cs="Times New Roman"/>
      <w:b/>
      <w:bCs/>
      <w:sz w:val="32"/>
      <w:szCs w:val="32"/>
    </w:rPr>
  </w:style>
  <w:style w:type="character" w:customStyle="1" w:styleId="166">
    <w:name w:val="尾注文本 Char"/>
    <w:semiHidden/>
    <w:qFormat/>
    <w:uiPriority w:val="0"/>
    <w:rPr>
      <w:rFonts w:eastAsia="宋体"/>
      <w:kern w:val="2"/>
      <w:sz w:val="21"/>
      <w:szCs w:val="24"/>
      <w:lang w:bidi="ar-SA"/>
    </w:rPr>
  </w:style>
  <w:style w:type="character" w:customStyle="1" w:styleId="167">
    <w:name w:val="Char Char5"/>
    <w:semiHidden/>
    <w:qFormat/>
    <w:uiPriority w:val="0"/>
    <w:rPr>
      <w:rFonts w:eastAsia="黑体"/>
      <w:color w:val="000000"/>
      <w:sz w:val="28"/>
      <w:szCs w:val="28"/>
      <w:lang w:val="zh-CN" w:eastAsia="zh-CN" w:bidi="ar-SA"/>
    </w:rPr>
  </w:style>
  <w:style w:type="character" w:customStyle="1" w:styleId="168">
    <w:name w:val="结束语 Char2"/>
    <w:semiHidden/>
    <w:qFormat/>
    <w:uiPriority w:val="0"/>
    <w:rPr>
      <w:rFonts w:hint="default" w:ascii="Tahoma" w:hAnsi="Tahoma" w:eastAsia="宋体" w:cs="Tahoma"/>
      <w:kern w:val="2"/>
      <w:sz w:val="21"/>
      <w:szCs w:val="24"/>
      <w:lang w:val="en-US" w:eastAsia="zh-CN" w:bidi="ar"/>
    </w:rPr>
  </w:style>
  <w:style w:type="character" w:customStyle="1" w:styleId="169">
    <w:name w:val="正文首行缩进2 Char"/>
    <w:link w:val="170"/>
    <w:qFormat/>
    <w:uiPriority w:val="0"/>
  </w:style>
  <w:style w:type="paragraph" w:customStyle="1" w:styleId="170">
    <w:name w:val="正文首行缩进2"/>
    <w:basedOn w:val="1"/>
    <w:link w:val="169"/>
    <w:semiHidden/>
    <w:qFormat/>
    <w:uiPriority w:val="0"/>
    <w:pPr>
      <w:spacing w:line="480" w:lineRule="exact"/>
      <w:ind w:firstLine="960" w:firstLineChars="200"/>
    </w:pPr>
    <w:rPr>
      <w:kern w:val="0"/>
      <w:sz w:val="20"/>
      <w:szCs w:val="20"/>
    </w:rPr>
  </w:style>
  <w:style w:type="character" w:customStyle="1" w:styleId="171">
    <w:name w:val="Char Char18"/>
    <w:semiHidden/>
    <w:qFormat/>
    <w:uiPriority w:val="0"/>
    <w:rPr>
      <w:rFonts w:ascii="Times New Roman" w:hAnsi="Times New Roman" w:eastAsia="黑体" w:cs="Times New Roman"/>
      <w:sz w:val="28"/>
      <w:szCs w:val="32"/>
    </w:rPr>
  </w:style>
  <w:style w:type="character" w:customStyle="1" w:styleId="172">
    <w:name w:val="签名 Char4"/>
    <w:semiHidden/>
    <w:qFormat/>
    <w:uiPriority w:val="99"/>
    <w:rPr>
      <w:rFonts w:ascii="Times New Roman" w:hAnsi="Times New Roman" w:eastAsia="宋体" w:cs="Times New Roman"/>
      <w:szCs w:val="24"/>
    </w:rPr>
  </w:style>
  <w:style w:type="character" w:customStyle="1" w:styleId="173">
    <w:name w:val="样式 标题 3标题 3 Char1标题 3XW Char1标题 3XW Char Char1标题 3XW Char Ch... Char"/>
    <w:semiHidden/>
    <w:qFormat/>
    <w:uiPriority w:val="0"/>
    <w:rPr>
      <w:rFonts w:ascii="Arial" w:hAnsi="Arial" w:eastAsia="黑体"/>
      <w:bCs/>
      <w:kern w:val="2"/>
      <w:sz w:val="28"/>
      <w:szCs w:val="28"/>
      <w:lang w:val="en-US" w:eastAsia="zh-CN" w:bidi="ar-SA"/>
    </w:rPr>
  </w:style>
  <w:style w:type="character" w:customStyle="1" w:styleId="174">
    <w:name w:val="页脚 Char5"/>
    <w:semiHidden/>
    <w:qFormat/>
    <w:uiPriority w:val="0"/>
    <w:rPr>
      <w:rFonts w:ascii="Tahoma" w:hAnsi="Tahoma" w:eastAsia="宋体" w:cs="Tahoma"/>
      <w:kern w:val="2"/>
      <w:sz w:val="18"/>
      <w:szCs w:val="18"/>
      <w:lang w:val="en-US" w:eastAsia="zh-CN" w:bidi="ar-SA"/>
    </w:rPr>
  </w:style>
  <w:style w:type="character" w:customStyle="1" w:styleId="175">
    <w:name w:val="gyy正文 Char Char Char"/>
    <w:semiHidden/>
    <w:qFormat/>
    <w:uiPriority w:val="0"/>
    <w:rPr>
      <w:rFonts w:eastAsia="宋体"/>
      <w:kern w:val="2"/>
      <w:sz w:val="24"/>
      <w:szCs w:val="24"/>
      <w:lang w:val="en-US" w:eastAsia="zh-CN" w:bidi="ar-SA"/>
    </w:rPr>
  </w:style>
  <w:style w:type="character" w:customStyle="1" w:styleId="176">
    <w:name w:val="标题 6 字符1"/>
    <w:semiHidden/>
    <w:qFormat/>
    <w:uiPriority w:val="0"/>
    <w:rPr>
      <w:rFonts w:hint="eastAsia" w:ascii="黑体" w:hAnsi="宋体" w:eastAsia="黑体" w:cs="黑体"/>
      <w:bCs/>
      <w:kern w:val="2"/>
      <w:sz w:val="24"/>
      <w:szCs w:val="24"/>
      <w:lang w:val="en-US" w:eastAsia="zh-CN" w:bidi="ar-SA"/>
    </w:rPr>
  </w:style>
  <w:style w:type="character" w:customStyle="1" w:styleId="177">
    <w:name w:val="纯文本 Char2"/>
    <w:semiHidden/>
    <w:qFormat/>
    <w:locked/>
    <w:uiPriority w:val="0"/>
    <w:rPr>
      <w:rFonts w:ascii="宋体" w:hAnsi="宋体" w:eastAsia="System"/>
      <w:b/>
      <w:sz w:val="21"/>
      <w:szCs w:val="24"/>
    </w:rPr>
  </w:style>
  <w:style w:type="character" w:customStyle="1" w:styleId="178">
    <w:name w:val="标题 5 Char3"/>
    <w:semiHidden/>
    <w:qFormat/>
    <w:uiPriority w:val="9"/>
    <w:rPr>
      <w:rFonts w:hint="eastAsia" w:ascii="黑体" w:hAnsi="宋体" w:eastAsia="黑体" w:cs="黑体"/>
      <w:bCs/>
      <w:kern w:val="2"/>
      <w:sz w:val="24"/>
      <w:szCs w:val="24"/>
      <w:lang w:val="en-US" w:eastAsia="zh-CN" w:bidi="ar-SA"/>
    </w:rPr>
  </w:style>
  <w:style w:type="character" w:customStyle="1" w:styleId="179">
    <w:name w:val="正文缩进 字符1"/>
    <w:semiHidden/>
    <w:qFormat/>
    <w:uiPriority w:val="0"/>
    <w:rPr>
      <w:rFonts w:ascii="Tahoma" w:hAnsi="Tahoma" w:eastAsia="宋体" w:cs="Tahoma"/>
      <w:kern w:val="2"/>
      <w:sz w:val="21"/>
      <w:szCs w:val="24"/>
      <w:lang w:val="en-US" w:eastAsia="zh-CN" w:bidi="ar-SA"/>
    </w:rPr>
  </w:style>
  <w:style w:type="character" w:customStyle="1" w:styleId="180">
    <w:name w:val="Char Char82"/>
    <w:semiHidden/>
    <w:qFormat/>
    <w:uiPriority w:val="0"/>
    <w:rPr>
      <w:rFonts w:eastAsia="宋体"/>
      <w:kern w:val="2"/>
      <w:sz w:val="28"/>
      <w:szCs w:val="28"/>
      <w:lang w:val="en-US" w:eastAsia="zh-CN" w:bidi="ar-SA"/>
    </w:rPr>
  </w:style>
  <w:style w:type="character" w:customStyle="1" w:styleId="181">
    <w:name w:val="h1 Char1"/>
    <w:semiHidden/>
    <w:qFormat/>
    <w:uiPriority w:val="0"/>
    <w:rPr>
      <w:rFonts w:eastAsia="黑体"/>
      <w:bCs/>
      <w:kern w:val="44"/>
      <w:sz w:val="32"/>
      <w:szCs w:val="32"/>
      <w:lang w:val="en-US" w:eastAsia="zh-CN" w:bidi="ar-SA"/>
    </w:rPr>
  </w:style>
  <w:style w:type="character" w:customStyle="1" w:styleId="182">
    <w:name w:val="0-正 文 字符"/>
    <w:link w:val="183"/>
    <w:qFormat/>
    <w:uiPriority w:val="0"/>
    <w:rPr>
      <w:kern w:val="2"/>
      <w:sz w:val="24"/>
      <w:szCs w:val="24"/>
    </w:rPr>
  </w:style>
  <w:style w:type="paragraph" w:customStyle="1" w:styleId="183">
    <w:name w:val="0-正 文"/>
    <w:basedOn w:val="184"/>
    <w:link w:val="182"/>
    <w:semiHidden/>
    <w:qFormat/>
    <w:uiPriority w:val="0"/>
    <w:pPr>
      <w:spacing w:line="460" w:lineRule="exact"/>
      <w:ind w:firstLine="426" w:firstLineChars="0"/>
      <w:jc w:val="both"/>
    </w:pPr>
    <w:rPr>
      <w:rFonts w:eastAsia="宋体"/>
      <w:sz w:val="24"/>
      <w:szCs w:val="24"/>
    </w:rPr>
  </w:style>
  <w:style w:type="paragraph" w:customStyle="1" w:styleId="184">
    <w:name w:val="标准正文"/>
    <w:basedOn w:val="1"/>
    <w:link w:val="185"/>
    <w:semiHidden/>
    <w:qFormat/>
    <w:uiPriority w:val="0"/>
    <w:pPr>
      <w:spacing w:line="520" w:lineRule="exact"/>
      <w:ind w:firstLine="560" w:firstLineChars="200"/>
      <w:jc w:val="center"/>
    </w:pPr>
    <w:rPr>
      <w:rFonts w:eastAsia="仿宋_GB2312"/>
      <w:sz w:val="28"/>
      <w:szCs w:val="28"/>
    </w:rPr>
  </w:style>
  <w:style w:type="character" w:customStyle="1" w:styleId="185">
    <w:name w:val="标准正文 Char"/>
    <w:link w:val="184"/>
    <w:qFormat/>
    <w:uiPriority w:val="0"/>
    <w:rPr>
      <w:rFonts w:eastAsia="仿宋_GB2312"/>
      <w:kern w:val="2"/>
      <w:sz w:val="28"/>
      <w:szCs w:val="28"/>
    </w:rPr>
  </w:style>
  <w:style w:type="character" w:customStyle="1" w:styleId="186">
    <w:name w:val="样式11 Char"/>
    <w:link w:val="187"/>
    <w:qFormat/>
    <w:uiPriority w:val="0"/>
    <w:rPr>
      <w:rFonts w:eastAsia="华文中宋"/>
      <w:bCs/>
      <w:kern w:val="2"/>
      <w:sz w:val="24"/>
      <w:szCs w:val="28"/>
      <w:lang w:val="en-US" w:eastAsia="zh-CN" w:bidi="ar-SA"/>
    </w:rPr>
  </w:style>
  <w:style w:type="paragraph" w:customStyle="1" w:styleId="187">
    <w:name w:val="样式11"/>
    <w:basedOn w:val="44"/>
    <w:link w:val="186"/>
    <w:semiHidden/>
    <w:qFormat/>
    <w:uiPriority w:val="0"/>
    <w:pPr>
      <w:ind w:firstLine="472" w:firstLineChars="200"/>
      <w:outlineLvl w:val="0"/>
    </w:pPr>
    <w:rPr>
      <w:rFonts w:eastAsia="华文中宋"/>
      <w:bCs/>
      <w:sz w:val="24"/>
      <w:szCs w:val="28"/>
    </w:rPr>
  </w:style>
  <w:style w:type="character" w:customStyle="1" w:styleId="188">
    <w:name w:val="尾注文本 字符"/>
    <w:semiHidden/>
    <w:qFormat/>
    <w:uiPriority w:val="0"/>
    <w:rPr>
      <w:kern w:val="2"/>
      <w:sz w:val="21"/>
      <w:szCs w:val="24"/>
      <w:lang w:val="zh-CN" w:eastAsia="zh-CN"/>
    </w:rPr>
  </w:style>
  <w:style w:type="character" w:customStyle="1" w:styleId="189">
    <w:name w:val="Char Char64"/>
    <w:semiHidden/>
    <w:qFormat/>
    <w:locked/>
    <w:uiPriority w:val="0"/>
    <w:rPr>
      <w:rFonts w:ascii="Cambria" w:hAnsi="Cambria" w:eastAsia="宋体"/>
      <w:b/>
      <w:bCs/>
      <w:kern w:val="2"/>
      <w:sz w:val="32"/>
      <w:szCs w:val="32"/>
      <w:lang w:val="en-US" w:eastAsia="zh-CN" w:bidi="ar-SA"/>
    </w:rPr>
  </w:style>
  <w:style w:type="character" w:customStyle="1" w:styleId="190">
    <w:name w:val="标题 6 字符"/>
    <w:semiHidden/>
    <w:qFormat/>
    <w:uiPriority w:val="9"/>
    <w:rPr>
      <w:rFonts w:eastAsia="黑体"/>
      <w:bCs/>
      <w:kern w:val="2"/>
      <w:sz w:val="24"/>
      <w:szCs w:val="24"/>
      <w:lang w:val="zh-CN" w:eastAsia="zh-CN"/>
    </w:rPr>
  </w:style>
  <w:style w:type="character" w:customStyle="1" w:styleId="191">
    <w:name w:val="Char Char122"/>
    <w:semiHidden/>
    <w:qFormat/>
    <w:locked/>
    <w:uiPriority w:val="0"/>
    <w:rPr>
      <w:rFonts w:ascii="宋体" w:hAnsi="宋体" w:eastAsia="宋体"/>
      <w:spacing w:val="20"/>
      <w:sz w:val="28"/>
      <w:szCs w:val="24"/>
      <w:lang w:val="en-US" w:eastAsia="zh-CN" w:bidi="ar-SA"/>
    </w:rPr>
  </w:style>
  <w:style w:type="character" w:customStyle="1" w:styleId="192">
    <w:name w:val="Char Char223"/>
    <w:semiHidden/>
    <w:qFormat/>
    <w:uiPriority w:val="0"/>
    <w:rPr>
      <w:rFonts w:hint="eastAsia" w:ascii="黑体" w:eastAsia="黑体"/>
      <w:bCs/>
      <w:snapToGrid w:val="0"/>
      <w:sz w:val="24"/>
      <w:szCs w:val="24"/>
      <w:lang w:val="en-US" w:eastAsia="zh-CN" w:bidi="ar-SA"/>
    </w:rPr>
  </w:style>
  <w:style w:type="character" w:customStyle="1" w:styleId="193">
    <w:name w:val="Char Char54"/>
    <w:semiHidden/>
    <w:qFormat/>
    <w:locked/>
    <w:uiPriority w:val="0"/>
    <w:rPr>
      <w:rFonts w:ascii="Arial" w:hAnsi="Arial" w:eastAsia="宋体" w:cs="Arial"/>
      <w:b/>
      <w:bCs/>
      <w:kern w:val="28"/>
      <w:sz w:val="32"/>
      <w:szCs w:val="32"/>
      <w:lang w:val="en-US" w:eastAsia="zh-CN" w:bidi="ar-SA"/>
    </w:rPr>
  </w:style>
  <w:style w:type="character" w:customStyle="1" w:styleId="194">
    <w:name w:val="文档结构图 Char"/>
    <w:semiHidden/>
    <w:qFormat/>
    <w:uiPriority w:val="0"/>
    <w:rPr>
      <w:rFonts w:eastAsia="宋体"/>
      <w:kern w:val="2"/>
      <w:sz w:val="21"/>
      <w:szCs w:val="24"/>
      <w:lang w:val="en-US" w:eastAsia="zh-CN" w:bidi="ar-SA"/>
    </w:rPr>
  </w:style>
  <w:style w:type="character" w:customStyle="1" w:styleId="195">
    <w:name w:val="正文文本缩进 Char5"/>
    <w:semiHidden/>
    <w:qFormat/>
    <w:uiPriority w:val="99"/>
    <w:rPr>
      <w:rFonts w:ascii="Times New Roman" w:hAnsi="Times New Roman" w:eastAsia="宋体" w:cs="Times New Roman"/>
      <w:szCs w:val="24"/>
    </w:rPr>
  </w:style>
  <w:style w:type="character" w:customStyle="1" w:styleId="196">
    <w:name w:val="副标题 字符2"/>
    <w:semiHidden/>
    <w:qFormat/>
    <w:uiPriority w:val="0"/>
    <w:rPr>
      <w:rFonts w:hint="default" w:ascii="Cambria" w:hAnsi="Cambria" w:eastAsia="Cambria" w:cs="Cambria"/>
      <w:b/>
      <w:kern w:val="28"/>
      <w:sz w:val="32"/>
      <w:szCs w:val="32"/>
      <w:lang w:val="en-US" w:eastAsia="zh-CN" w:bidi="ar-SA"/>
    </w:rPr>
  </w:style>
  <w:style w:type="character" w:customStyle="1" w:styleId="197">
    <w:name w:val="称呼 Char4"/>
    <w:semiHidden/>
    <w:qFormat/>
    <w:uiPriority w:val="99"/>
    <w:rPr>
      <w:rFonts w:ascii="Times New Roman" w:hAnsi="Times New Roman" w:eastAsia="宋体" w:cs="Times New Roman"/>
      <w:szCs w:val="24"/>
    </w:rPr>
  </w:style>
  <w:style w:type="character" w:customStyle="1" w:styleId="198">
    <w:name w:val="样式7表名 Char"/>
    <w:link w:val="199"/>
    <w:qFormat/>
    <w:uiPriority w:val="0"/>
    <w:rPr>
      <w:rFonts w:ascii="黑体" w:eastAsia="黑体"/>
      <w:sz w:val="24"/>
    </w:rPr>
  </w:style>
  <w:style w:type="paragraph" w:customStyle="1" w:styleId="199">
    <w:name w:val="样式7表名"/>
    <w:next w:val="200"/>
    <w:link w:val="198"/>
    <w:semiHidden/>
    <w:qFormat/>
    <w:uiPriority w:val="0"/>
    <w:pPr>
      <w:spacing w:before="120" w:line="360" w:lineRule="auto"/>
      <w:jc w:val="center"/>
    </w:pPr>
    <w:rPr>
      <w:rFonts w:ascii="黑体" w:hAnsi="Times New Roman" w:eastAsia="黑体" w:cs="Times New Roman"/>
      <w:sz w:val="24"/>
      <w:lang w:val="en-US" w:eastAsia="zh-CN" w:bidi="ar-SA"/>
    </w:rPr>
  </w:style>
  <w:style w:type="paragraph" w:customStyle="1" w:styleId="200">
    <w:name w:val="样式8表号"/>
    <w:next w:val="1"/>
    <w:semiHidden/>
    <w:qFormat/>
    <w:uiPriority w:val="0"/>
    <w:pPr>
      <w:spacing w:line="360" w:lineRule="auto"/>
      <w:ind w:firstLine="510"/>
      <w:jc w:val="both"/>
    </w:pPr>
    <w:rPr>
      <w:rFonts w:ascii="Times New Roman" w:hAnsi="Times New Roman" w:eastAsia="宋体" w:cs="Times New Roman"/>
      <w:lang w:val="en-US" w:eastAsia="zh-CN" w:bidi="ar-SA"/>
    </w:rPr>
  </w:style>
  <w:style w:type="character" w:customStyle="1" w:styleId="201">
    <w:name w:val="alan正文 Char"/>
    <w:link w:val="202"/>
    <w:qFormat/>
    <w:uiPriority w:val="0"/>
    <w:rPr>
      <w:rFonts w:eastAsia="宋体"/>
      <w:kern w:val="2"/>
      <w:sz w:val="28"/>
      <w:szCs w:val="24"/>
      <w:lang w:val="en-US" w:eastAsia="zh-CN" w:bidi="ar-SA"/>
    </w:rPr>
  </w:style>
  <w:style w:type="paragraph" w:customStyle="1" w:styleId="202">
    <w:name w:val="alan正文"/>
    <w:basedOn w:val="1"/>
    <w:link w:val="201"/>
    <w:semiHidden/>
    <w:qFormat/>
    <w:uiPriority w:val="0"/>
    <w:pPr>
      <w:spacing w:line="520" w:lineRule="exact"/>
      <w:ind w:firstLine="200" w:firstLineChars="200"/>
    </w:pPr>
    <w:rPr>
      <w:sz w:val="28"/>
    </w:rPr>
  </w:style>
  <w:style w:type="character" w:customStyle="1" w:styleId="203">
    <w:name w:val="电子邮件签名 Char2"/>
    <w:semiHidden/>
    <w:qFormat/>
    <w:uiPriority w:val="0"/>
    <w:rPr>
      <w:rFonts w:hint="default" w:ascii="Tahoma" w:hAnsi="Tahoma" w:eastAsia="宋体" w:cs="Tahoma"/>
      <w:kern w:val="2"/>
      <w:sz w:val="21"/>
      <w:szCs w:val="24"/>
      <w:lang w:val="en-US" w:eastAsia="zh-CN" w:bidi="ar"/>
    </w:rPr>
  </w:style>
  <w:style w:type="character" w:customStyle="1" w:styleId="204">
    <w:name w:val="font01"/>
    <w:semiHidden/>
    <w:qFormat/>
    <w:uiPriority w:val="0"/>
    <w:rPr>
      <w:rFonts w:hint="eastAsia" w:ascii="宋体" w:hAnsi="宋体" w:eastAsia="宋体" w:cs="宋体"/>
      <w:color w:val="000000"/>
      <w:sz w:val="22"/>
      <w:szCs w:val="22"/>
      <w:u w:val="none"/>
    </w:rPr>
  </w:style>
  <w:style w:type="character" w:customStyle="1" w:styleId="205">
    <w:name w:val="Char Char84"/>
    <w:semiHidden/>
    <w:qFormat/>
    <w:uiPriority w:val="0"/>
    <w:rPr>
      <w:rFonts w:eastAsia="宋体"/>
      <w:kern w:val="2"/>
      <w:sz w:val="28"/>
      <w:szCs w:val="28"/>
      <w:lang w:val="en-US" w:eastAsia="zh-CN" w:bidi="ar-SA"/>
    </w:rPr>
  </w:style>
  <w:style w:type="character" w:customStyle="1" w:styleId="206">
    <w:name w:val="green1"/>
    <w:semiHidden/>
    <w:qFormat/>
    <w:uiPriority w:val="0"/>
    <w:rPr>
      <w:b/>
      <w:bCs/>
      <w:color w:val="004000"/>
      <w:sz w:val="21"/>
      <w:szCs w:val="21"/>
    </w:rPr>
  </w:style>
  <w:style w:type="character" w:customStyle="1" w:styleId="207">
    <w:name w:val="样式 样式8表号 + 五号 Char"/>
    <w:link w:val="208"/>
    <w:qFormat/>
    <w:uiPriority w:val="0"/>
    <w:rPr>
      <w:lang w:val="en-US" w:eastAsia="zh-CN"/>
    </w:rPr>
  </w:style>
  <w:style w:type="paragraph" w:customStyle="1" w:styleId="208">
    <w:name w:val="样式 样式8表号 + 五号"/>
    <w:basedOn w:val="200"/>
    <w:link w:val="207"/>
    <w:semiHidden/>
    <w:qFormat/>
    <w:uiPriority w:val="0"/>
  </w:style>
  <w:style w:type="character" w:customStyle="1" w:styleId="209">
    <w:name w:val="正文文本缩进 2 Char2"/>
    <w:semiHidden/>
    <w:qFormat/>
    <w:uiPriority w:val="0"/>
    <w:rPr>
      <w:rFonts w:hint="default" w:ascii="Tahoma" w:hAnsi="Tahoma" w:eastAsia="宋体" w:cs="Tahoma"/>
      <w:kern w:val="2"/>
      <w:sz w:val="21"/>
      <w:szCs w:val="24"/>
      <w:lang w:val="en-US" w:eastAsia="zh-CN" w:bidi="ar"/>
    </w:rPr>
  </w:style>
  <w:style w:type="character" w:customStyle="1" w:styleId="210">
    <w:name w:val="批注框文本 Char1"/>
    <w:semiHidden/>
    <w:qFormat/>
    <w:uiPriority w:val="99"/>
    <w:rPr>
      <w:rFonts w:ascii="Times New Roman" w:hAnsi="Times New Roman" w:eastAsia="仿宋_GB2312" w:cs="Times New Roman"/>
      <w:sz w:val="18"/>
      <w:szCs w:val="18"/>
    </w:rPr>
  </w:style>
  <w:style w:type="character" w:customStyle="1" w:styleId="211">
    <w:name w:val="日期 字符1"/>
    <w:semiHidden/>
    <w:qFormat/>
    <w:uiPriority w:val="0"/>
    <w:rPr>
      <w:rFonts w:hint="default" w:ascii="Tahoma" w:hAnsi="Tahoma" w:eastAsia="宋体" w:cs="Tahoma"/>
      <w:kern w:val="2"/>
      <w:sz w:val="21"/>
      <w:szCs w:val="24"/>
      <w:lang w:val="en-US" w:eastAsia="zh-CN" w:bidi="ar"/>
    </w:rPr>
  </w:style>
  <w:style w:type="character" w:customStyle="1" w:styleId="212">
    <w:name w:val="标题 4 Char2"/>
    <w:semiHidden/>
    <w:qFormat/>
    <w:uiPriority w:val="0"/>
    <w:rPr>
      <w:rFonts w:ascii="Arial" w:hAnsi="Arial" w:eastAsia="黑体"/>
      <w:b/>
      <w:bCs/>
      <w:kern w:val="2"/>
      <w:sz w:val="28"/>
      <w:szCs w:val="28"/>
      <w:lang w:val="en-US" w:eastAsia="zh-CN" w:bidi="ar-SA"/>
    </w:rPr>
  </w:style>
  <w:style w:type="character" w:customStyle="1" w:styleId="213">
    <w:name w:val="批注文字 字符3"/>
    <w:semiHidden/>
    <w:qFormat/>
    <w:uiPriority w:val="0"/>
    <w:rPr>
      <w:rFonts w:ascii="Tahoma" w:hAnsi="Tahoma" w:eastAsia="宋体" w:cs="Tahoma"/>
      <w:kern w:val="2"/>
      <w:sz w:val="21"/>
      <w:szCs w:val="24"/>
      <w:lang w:val="en-US" w:eastAsia="zh-CN" w:bidi="ar-SA"/>
    </w:rPr>
  </w:style>
  <w:style w:type="character" w:customStyle="1" w:styleId="214">
    <w:name w:val="首行缩进:  2 字符 Char"/>
    <w:link w:val="215"/>
    <w:qFormat/>
    <w:uiPriority w:val="0"/>
    <w:rPr>
      <w:rFonts w:cs="宋体"/>
      <w:kern w:val="2"/>
      <w:sz w:val="24"/>
    </w:rPr>
  </w:style>
  <w:style w:type="paragraph" w:customStyle="1" w:styleId="215">
    <w:name w:val="首行缩进:  2 字符"/>
    <w:basedOn w:val="1"/>
    <w:link w:val="214"/>
    <w:semiHidden/>
    <w:qFormat/>
    <w:uiPriority w:val="0"/>
    <w:pPr>
      <w:spacing w:line="360" w:lineRule="auto"/>
      <w:ind w:firstLine="480" w:firstLineChars="200"/>
    </w:pPr>
    <w:rPr>
      <w:sz w:val="24"/>
      <w:szCs w:val="20"/>
    </w:rPr>
  </w:style>
  <w:style w:type="character" w:customStyle="1" w:styleId="216">
    <w:name w:val="Char Char19"/>
    <w:semiHidden/>
    <w:qFormat/>
    <w:locked/>
    <w:uiPriority w:val="0"/>
    <w:rPr>
      <w:rFonts w:ascii="Arial" w:hAnsi="Arial" w:eastAsia="宋体"/>
      <w:b/>
      <w:bCs/>
      <w:kern w:val="2"/>
      <w:sz w:val="24"/>
      <w:szCs w:val="24"/>
      <w:lang w:val="en-US" w:eastAsia="zh-CN" w:bidi="ar-SA"/>
    </w:rPr>
  </w:style>
  <w:style w:type="character" w:customStyle="1" w:styleId="217">
    <w:name w:val="Char Char183"/>
    <w:semiHidden/>
    <w:qFormat/>
    <w:locked/>
    <w:uiPriority w:val="0"/>
    <w:rPr>
      <w:rFonts w:ascii="Arial" w:hAnsi="Arial" w:eastAsia="黑体"/>
      <w:kern w:val="2"/>
      <w:sz w:val="24"/>
      <w:szCs w:val="24"/>
      <w:lang w:val="en-US" w:eastAsia="zh-CN" w:bidi="ar-SA"/>
    </w:rPr>
  </w:style>
  <w:style w:type="character" w:customStyle="1" w:styleId="218">
    <w:name w:val="font71"/>
    <w:semiHidden/>
    <w:qFormat/>
    <w:uiPriority w:val="0"/>
    <w:rPr>
      <w:rFonts w:hint="default" w:ascii="Times New Roman" w:hAnsi="Times New Roman" w:eastAsia="宋体" w:cs="Times New Roman"/>
      <w:color w:val="auto"/>
      <w:kern w:val="2"/>
      <w:sz w:val="20"/>
      <w:szCs w:val="20"/>
      <w:u w:val="none"/>
      <w:lang w:val="en-US" w:eastAsia="zh-CN" w:bidi="ar-SA"/>
    </w:rPr>
  </w:style>
  <w:style w:type="character" w:customStyle="1" w:styleId="219">
    <w:name w:val="信息标题 Char4"/>
    <w:semiHidden/>
    <w:qFormat/>
    <w:uiPriority w:val="99"/>
    <w:rPr>
      <w:rFonts w:ascii="Calibri Light" w:hAnsi="Calibri Light" w:eastAsia="宋体" w:cs="Times New Roman"/>
      <w:sz w:val="24"/>
      <w:szCs w:val="24"/>
      <w:shd w:val="pct20" w:color="auto" w:fill="auto"/>
    </w:rPr>
  </w:style>
  <w:style w:type="character" w:customStyle="1" w:styleId="220">
    <w:name w:val="正文文字0 Char"/>
    <w:link w:val="221"/>
    <w:qFormat/>
    <w:uiPriority w:val="0"/>
    <w:rPr>
      <w:rFonts w:eastAsia="宋体"/>
      <w:snapToGrid w:val="0"/>
      <w:sz w:val="24"/>
      <w:szCs w:val="24"/>
      <w:lang w:val="en-US" w:eastAsia="zh-CN" w:bidi="ar-SA"/>
    </w:rPr>
  </w:style>
  <w:style w:type="paragraph" w:customStyle="1" w:styleId="221">
    <w:name w:val="正文文字0"/>
    <w:basedOn w:val="1"/>
    <w:link w:val="220"/>
    <w:semiHidden/>
    <w:qFormat/>
    <w:uiPriority w:val="0"/>
    <w:pPr>
      <w:adjustRightInd w:val="0"/>
      <w:snapToGrid w:val="0"/>
      <w:spacing w:line="430" w:lineRule="exact"/>
      <w:ind w:firstLine="480" w:firstLineChars="200"/>
    </w:pPr>
    <w:rPr>
      <w:snapToGrid w:val="0"/>
      <w:kern w:val="0"/>
      <w:sz w:val="24"/>
    </w:rPr>
  </w:style>
  <w:style w:type="character" w:customStyle="1" w:styleId="222">
    <w:name w:val="Char Char24"/>
    <w:semiHidden/>
    <w:qFormat/>
    <w:uiPriority w:val="0"/>
    <w:rPr>
      <w:rFonts w:hint="eastAsia" w:ascii="黑体" w:eastAsia="黑体"/>
      <w:kern w:val="44"/>
      <w:sz w:val="32"/>
      <w:szCs w:val="32"/>
      <w:lang w:val="en-US" w:eastAsia="zh-CN" w:bidi="ar-SA"/>
    </w:rPr>
  </w:style>
  <w:style w:type="character" w:customStyle="1" w:styleId="223">
    <w:name w:val="样式6 正文 Char"/>
    <w:link w:val="224"/>
    <w:qFormat/>
    <w:uiPriority w:val="0"/>
    <w:rPr>
      <w:sz w:val="24"/>
      <w:lang w:val="en-US" w:eastAsia="zh-CN" w:bidi="ar-SA"/>
    </w:rPr>
  </w:style>
  <w:style w:type="paragraph" w:customStyle="1" w:styleId="224">
    <w:name w:val="样式6 正文"/>
    <w:link w:val="223"/>
    <w:semiHidden/>
    <w:qFormat/>
    <w:uiPriority w:val="0"/>
    <w:pPr>
      <w:spacing w:line="360" w:lineRule="auto"/>
      <w:ind w:firstLine="510"/>
      <w:jc w:val="both"/>
    </w:pPr>
    <w:rPr>
      <w:rFonts w:ascii="Times New Roman" w:hAnsi="Times New Roman" w:eastAsia="宋体" w:cs="Times New Roman"/>
      <w:sz w:val="24"/>
      <w:lang w:val="en-US" w:eastAsia="zh-CN" w:bidi="ar-SA"/>
    </w:rPr>
  </w:style>
  <w:style w:type="character" w:customStyle="1" w:styleId="225">
    <w:name w:val="正文文本 Char4"/>
    <w:semiHidden/>
    <w:qFormat/>
    <w:uiPriority w:val="99"/>
    <w:rPr>
      <w:rFonts w:ascii="Times New Roman" w:hAnsi="Times New Roman" w:eastAsia="宋体" w:cs="Times New Roman"/>
      <w:szCs w:val="24"/>
    </w:rPr>
  </w:style>
  <w:style w:type="character" w:customStyle="1" w:styleId="226">
    <w:name w:val="标题 Char3"/>
    <w:semiHidden/>
    <w:qFormat/>
    <w:uiPriority w:val="0"/>
    <w:rPr>
      <w:rFonts w:hint="eastAsia" w:ascii="黑体" w:hAnsi="宋体" w:eastAsia="黑体" w:cs="黑体"/>
      <w:kern w:val="2"/>
      <w:sz w:val="36"/>
      <w:szCs w:val="36"/>
      <w:lang w:val="en-US" w:eastAsia="zh-CN" w:bidi="ar-SA"/>
    </w:rPr>
  </w:style>
  <w:style w:type="character" w:customStyle="1" w:styleId="227">
    <w:name w:val="表格标题 Char"/>
    <w:link w:val="228"/>
    <w:qFormat/>
    <w:uiPriority w:val="0"/>
    <w:rPr>
      <w:rFonts w:eastAsia="黑体"/>
      <w:snapToGrid/>
      <w:sz w:val="24"/>
      <w:szCs w:val="24"/>
    </w:rPr>
  </w:style>
  <w:style w:type="paragraph" w:customStyle="1" w:styleId="228">
    <w:name w:val="表格标题"/>
    <w:basedOn w:val="1"/>
    <w:next w:val="1"/>
    <w:link w:val="227"/>
    <w:semiHidden/>
    <w:qFormat/>
    <w:uiPriority w:val="0"/>
    <w:pPr>
      <w:autoSpaceDE w:val="0"/>
      <w:autoSpaceDN w:val="0"/>
      <w:adjustRightInd w:val="0"/>
      <w:snapToGrid w:val="0"/>
      <w:spacing w:before="120" w:beforeLines="50" w:line="360" w:lineRule="auto"/>
      <w:jc w:val="center"/>
    </w:pPr>
    <w:rPr>
      <w:rFonts w:eastAsia="黑体"/>
      <w:snapToGrid w:val="0"/>
      <w:kern w:val="0"/>
      <w:sz w:val="24"/>
    </w:rPr>
  </w:style>
  <w:style w:type="character" w:customStyle="1" w:styleId="229">
    <w:name w:val="表格-内容 字符"/>
    <w:link w:val="230"/>
    <w:qFormat/>
    <w:uiPriority w:val="0"/>
    <w:rPr>
      <w:rFonts w:eastAsia="仿宋_GB2312"/>
      <w:color w:val="000000"/>
      <w:sz w:val="22"/>
      <w:szCs w:val="22"/>
    </w:rPr>
  </w:style>
  <w:style w:type="paragraph" w:customStyle="1" w:styleId="230">
    <w:name w:val="表格-内容"/>
    <w:basedOn w:val="1"/>
    <w:link w:val="229"/>
    <w:semiHidden/>
    <w:qFormat/>
    <w:uiPriority w:val="0"/>
    <w:pPr>
      <w:widowControl/>
      <w:overflowPunct w:val="0"/>
      <w:jc w:val="center"/>
    </w:pPr>
    <w:rPr>
      <w:rFonts w:eastAsia="仿宋_GB2312"/>
      <w:color w:val="000000"/>
      <w:kern w:val="0"/>
      <w:sz w:val="22"/>
      <w:szCs w:val="22"/>
    </w:rPr>
  </w:style>
  <w:style w:type="character" w:customStyle="1" w:styleId="231">
    <w:name w:val="标题 3 字符"/>
    <w:semiHidden/>
    <w:qFormat/>
    <w:uiPriority w:val="0"/>
    <w:rPr>
      <w:rFonts w:eastAsia="黑体"/>
      <w:bCs/>
      <w:kern w:val="2"/>
      <w:sz w:val="24"/>
      <w:szCs w:val="24"/>
      <w:lang w:val="en-US" w:eastAsia="zh-CN" w:bidi="ar-SA"/>
    </w:rPr>
  </w:style>
  <w:style w:type="character" w:customStyle="1" w:styleId="232">
    <w:name w:val="Char Char221"/>
    <w:semiHidden/>
    <w:qFormat/>
    <w:uiPriority w:val="0"/>
    <w:rPr>
      <w:rFonts w:hint="eastAsia" w:ascii="黑体" w:eastAsia="黑体"/>
      <w:bCs/>
      <w:snapToGrid/>
      <w:sz w:val="24"/>
      <w:szCs w:val="24"/>
      <w:lang w:val="en-US" w:eastAsia="zh-CN" w:bidi="ar-SA"/>
    </w:rPr>
  </w:style>
  <w:style w:type="character" w:customStyle="1" w:styleId="233">
    <w:name w:val="font31"/>
    <w:semiHidden/>
    <w:qFormat/>
    <w:uiPriority w:val="0"/>
    <w:rPr>
      <w:rFonts w:hint="default" w:ascii="Times New Roman" w:hAnsi="Times New Roman" w:eastAsia="宋体" w:cs="Times New Roman"/>
      <w:color w:val="000000"/>
      <w:kern w:val="2"/>
      <w:sz w:val="22"/>
      <w:szCs w:val="22"/>
      <w:u w:val="none"/>
      <w:lang w:val="en-US" w:eastAsia="zh-CN" w:bidi="ar-SA"/>
    </w:rPr>
  </w:style>
  <w:style w:type="character" w:customStyle="1" w:styleId="234">
    <w:name w:val="样式 样式 样式 行距: 固定值 22 磅 + 首行缩进:  2 字符 + 首行缩进:  2 字符 Char Char"/>
    <w:semiHidden/>
    <w:qFormat/>
    <w:uiPriority w:val="0"/>
    <w:rPr>
      <w:rFonts w:eastAsia="华文中宋" w:cs="宋体"/>
      <w:kern w:val="2"/>
      <w:sz w:val="24"/>
      <w:lang w:val="en-US" w:eastAsia="zh-CN" w:bidi="ar-SA"/>
    </w:rPr>
  </w:style>
  <w:style w:type="character" w:customStyle="1" w:styleId="235">
    <w:name w:val="font51"/>
    <w:semiHidden/>
    <w:qFormat/>
    <w:uiPriority w:val="0"/>
    <w:rPr>
      <w:rFonts w:hint="eastAsia" w:ascii="宋体" w:hAnsi="宋体" w:eastAsia="宋体" w:cs="宋体"/>
      <w:color w:val="auto"/>
      <w:kern w:val="2"/>
      <w:sz w:val="24"/>
      <w:szCs w:val="24"/>
      <w:u w:val="none"/>
      <w:lang w:val="en-US" w:eastAsia="zh-CN" w:bidi="ar-SA"/>
    </w:rPr>
  </w:style>
  <w:style w:type="character" w:customStyle="1" w:styleId="236">
    <w:name w:val="正文文本缩进 2 Char3"/>
    <w:semiHidden/>
    <w:qFormat/>
    <w:uiPriority w:val="0"/>
    <w:rPr>
      <w:rFonts w:ascii="Tahoma" w:hAnsi="Tahoma" w:eastAsia="宋体" w:cs="Tahoma"/>
      <w:kern w:val="2"/>
      <w:sz w:val="24"/>
      <w:szCs w:val="24"/>
      <w:lang w:val="en-US" w:eastAsia="zh-CN" w:bidi="ar-SA"/>
    </w:rPr>
  </w:style>
  <w:style w:type="character" w:customStyle="1" w:styleId="237">
    <w:name w:val="标题 3 Char Char1"/>
    <w:semiHidden/>
    <w:qFormat/>
    <w:uiPriority w:val="0"/>
    <w:rPr>
      <w:rFonts w:eastAsia="黑体"/>
      <w:bCs/>
      <w:snapToGrid w:val="0"/>
      <w:sz w:val="24"/>
      <w:szCs w:val="24"/>
      <w:lang w:val="en-US" w:eastAsia="zh-CN" w:bidi="ar-SA"/>
    </w:rPr>
  </w:style>
  <w:style w:type="character" w:customStyle="1" w:styleId="238">
    <w:name w:val="007 图标题 字符"/>
    <w:link w:val="239"/>
    <w:qFormat/>
    <w:uiPriority w:val="0"/>
  </w:style>
  <w:style w:type="paragraph" w:customStyle="1" w:styleId="239">
    <w:name w:val="007 图标题"/>
    <w:basedOn w:val="240"/>
    <w:link w:val="238"/>
    <w:semiHidden/>
    <w:qFormat/>
    <w:uiPriority w:val="0"/>
  </w:style>
  <w:style w:type="paragraph" w:customStyle="1" w:styleId="240">
    <w:name w:val="006 表标题"/>
    <w:link w:val="241"/>
    <w:semiHidden/>
    <w:qFormat/>
    <w:uiPriority w:val="0"/>
    <w:pPr>
      <w:jc w:val="center"/>
      <w:outlineLvl w:val="5"/>
    </w:pPr>
    <w:rPr>
      <w:rFonts w:ascii="Times New Roman" w:hAnsi="Times New Roman" w:eastAsia="宋体" w:cs="Times New Roman"/>
      <w:b/>
      <w:bCs/>
      <w:kern w:val="2"/>
      <w:sz w:val="24"/>
      <w:szCs w:val="24"/>
      <w:lang w:val="en-US" w:eastAsia="zh-CN" w:bidi="ar-SA"/>
    </w:rPr>
  </w:style>
  <w:style w:type="character" w:customStyle="1" w:styleId="241">
    <w:name w:val="006 表标题 字符"/>
    <w:link w:val="240"/>
    <w:qFormat/>
    <w:uiPriority w:val="0"/>
    <w:rPr>
      <w:b/>
      <w:bCs/>
      <w:kern w:val="2"/>
      <w:sz w:val="24"/>
      <w:szCs w:val="24"/>
    </w:rPr>
  </w:style>
  <w:style w:type="character" w:customStyle="1" w:styleId="242">
    <w:name w:val="正文首行缩进 2 Char3"/>
    <w:semiHidden/>
    <w:qFormat/>
    <w:uiPriority w:val="0"/>
    <w:rPr>
      <w:rFonts w:ascii="宋体" w:hAnsi="宋体"/>
      <w:kern w:val="2"/>
      <w:sz w:val="21"/>
      <w:szCs w:val="24"/>
    </w:rPr>
  </w:style>
  <w:style w:type="character" w:customStyle="1" w:styleId="243">
    <w:name w:val="注释标题 Char4"/>
    <w:semiHidden/>
    <w:qFormat/>
    <w:uiPriority w:val="99"/>
    <w:rPr>
      <w:rFonts w:ascii="Times New Roman" w:hAnsi="Times New Roman" w:eastAsia="宋体" w:cs="Times New Roman"/>
      <w:szCs w:val="24"/>
    </w:rPr>
  </w:style>
  <w:style w:type="character" w:customStyle="1" w:styleId="244">
    <w:name w:val="批注文字 字符1"/>
    <w:semiHidden/>
    <w:qFormat/>
    <w:uiPriority w:val="0"/>
    <w:rPr>
      <w:rFonts w:hint="default" w:ascii="Tahoma" w:hAnsi="Tahoma" w:eastAsia="宋体" w:cs="Tahoma"/>
      <w:kern w:val="2"/>
      <w:sz w:val="21"/>
      <w:szCs w:val="24"/>
      <w:lang w:val="en-US" w:eastAsia="zh-CN" w:bidi="ar"/>
    </w:rPr>
  </w:style>
  <w:style w:type="character" w:customStyle="1" w:styleId="245">
    <w:name w:val="jcfile_multimode_bodymain1"/>
    <w:semiHidden/>
    <w:qFormat/>
    <w:uiPriority w:val="0"/>
    <w:rPr>
      <w:bdr w:val="single" w:color="808080" w:sz="6" w:space="0"/>
      <w:shd w:val="clear" w:color="auto" w:fill="FFFFFF"/>
    </w:rPr>
  </w:style>
  <w:style w:type="character" w:customStyle="1" w:styleId="246">
    <w:name w:val="gyy正文 Char1"/>
    <w:semiHidden/>
    <w:qFormat/>
    <w:uiPriority w:val="0"/>
    <w:rPr>
      <w:rFonts w:eastAsia="宋体"/>
      <w:kern w:val="2"/>
      <w:sz w:val="24"/>
      <w:szCs w:val="24"/>
      <w:lang w:val="en-US" w:eastAsia="zh-CN" w:bidi="ar-SA"/>
    </w:rPr>
  </w:style>
  <w:style w:type="character" w:customStyle="1" w:styleId="247">
    <w:name w:val="批注主题 Char3"/>
    <w:semiHidden/>
    <w:qFormat/>
    <w:uiPriority w:val="0"/>
    <w:rPr>
      <w:rFonts w:ascii="Tahoma" w:hAnsi="Tahoma" w:eastAsia="宋体" w:cs="Tahoma"/>
      <w:b/>
      <w:kern w:val="2"/>
      <w:sz w:val="21"/>
      <w:szCs w:val="24"/>
      <w:lang w:val="en-US" w:eastAsia="zh-CN" w:bidi="ar-SA"/>
    </w:rPr>
  </w:style>
  <w:style w:type="character" w:customStyle="1" w:styleId="248">
    <w:name w:val="Char Char61"/>
    <w:semiHidden/>
    <w:qFormat/>
    <w:locked/>
    <w:uiPriority w:val="0"/>
    <w:rPr>
      <w:rFonts w:ascii="Cambria" w:hAnsi="Cambria" w:eastAsia="宋体"/>
      <w:b/>
      <w:bCs/>
      <w:kern w:val="2"/>
      <w:sz w:val="32"/>
      <w:szCs w:val="32"/>
      <w:lang w:val="en-US" w:eastAsia="zh-CN" w:bidi="ar-SA"/>
    </w:rPr>
  </w:style>
  <w:style w:type="character" w:customStyle="1" w:styleId="249">
    <w:name w:val="报告正文 Char"/>
    <w:link w:val="250"/>
    <w:qFormat/>
    <w:uiPriority w:val="0"/>
    <w:rPr>
      <w:rFonts w:hAnsi="宋体" w:eastAsia="宋体"/>
      <w:sz w:val="24"/>
      <w:szCs w:val="24"/>
      <w:lang w:val="en-US" w:eastAsia="zh-CN" w:bidi="ar-SA"/>
    </w:rPr>
  </w:style>
  <w:style w:type="paragraph" w:customStyle="1" w:styleId="250">
    <w:name w:val="报告正文"/>
    <w:basedOn w:val="1"/>
    <w:link w:val="249"/>
    <w:semiHidden/>
    <w:qFormat/>
    <w:uiPriority w:val="0"/>
    <w:pPr>
      <w:adjustRightInd w:val="0"/>
      <w:spacing w:line="360" w:lineRule="auto"/>
      <w:ind w:firstLine="540" w:firstLineChars="225"/>
      <w:textAlignment w:val="baseline"/>
    </w:pPr>
    <w:rPr>
      <w:rFonts w:hAnsi="宋体"/>
      <w:kern w:val="0"/>
      <w:sz w:val="24"/>
    </w:rPr>
  </w:style>
  <w:style w:type="character" w:customStyle="1" w:styleId="251">
    <w:name w:val="Char Char83"/>
    <w:semiHidden/>
    <w:qFormat/>
    <w:uiPriority w:val="0"/>
    <w:rPr>
      <w:rFonts w:eastAsia="宋体"/>
      <w:kern w:val="2"/>
      <w:sz w:val="28"/>
      <w:szCs w:val="28"/>
      <w:lang w:val="en-US" w:eastAsia="zh-CN" w:bidi="ar-SA"/>
    </w:rPr>
  </w:style>
  <w:style w:type="character" w:customStyle="1" w:styleId="252">
    <w:name w:val="Char Char163"/>
    <w:semiHidden/>
    <w:qFormat/>
    <w:locked/>
    <w:uiPriority w:val="0"/>
    <w:rPr>
      <w:rFonts w:ascii="宋体" w:hAnsi="宋体" w:eastAsia="宋体"/>
      <w:kern w:val="2"/>
      <w:sz w:val="21"/>
      <w:szCs w:val="24"/>
      <w:lang w:val="en-US" w:eastAsia="zh-CN" w:bidi="ar-SA"/>
    </w:rPr>
  </w:style>
  <w:style w:type="character" w:customStyle="1" w:styleId="253">
    <w:name w:val="页脚 字符"/>
    <w:qFormat/>
    <w:uiPriority w:val="99"/>
    <w:rPr>
      <w:kern w:val="2"/>
      <w:sz w:val="18"/>
      <w:szCs w:val="24"/>
    </w:rPr>
  </w:style>
  <w:style w:type="character" w:customStyle="1" w:styleId="254">
    <w:name w:val="页脚 Char3"/>
    <w:semiHidden/>
    <w:qFormat/>
    <w:uiPriority w:val="0"/>
    <w:rPr>
      <w:rFonts w:hint="default" w:ascii="Tahoma" w:hAnsi="Tahoma" w:eastAsia="宋体" w:cs="Tahoma"/>
      <w:kern w:val="2"/>
      <w:sz w:val="18"/>
      <w:szCs w:val="18"/>
      <w:lang w:val="en-US" w:eastAsia="zh-CN" w:bidi="ar"/>
    </w:rPr>
  </w:style>
  <w:style w:type="character" w:customStyle="1" w:styleId="255">
    <w:name w:val="页脚 Char1"/>
    <w:semiHidden/>
    <w:qFormat/>
    <w:uiPriority w:val="0"/>
    <w:rPr>
      <w:kern w:val="2"/>
      <w:sz w:val="18"/>
      <w:szCs w:val="18"/>
    </w:rPr>
  </w:style>
  <w:style w:type="character" w:customStyle="1" w:styleId="256">
    <w:name w:val="副标题 字符"/>
    <w:semiHidden/>
    <w:qFormat/>
    <w:uiPriority w:val="0"/>
    <w:rPr>
      <w:rFonts w:ascii="Cambria" w:hAnsi="Cambria"/>
      <w:b/>
      <w:bCs/>
      <w:kern w:val="28"/>
      <w:sz w:val="32"/>
      <w:szCs w:val="32"/>
      <w:lang w:val="zh-CN" w:eastAsia="zh-CN"/>
    </w:rPr>
  </w:style>
  <w:style w:type="character" w:customStyle="1" w:styleId="257">
    <w:name w:val="HTML 预设格式 字符2"/>
    <w:semiHidden/>
    <w:qFormat/>
    <w:uiPriority w:val="0"/>
    <w:rPr>
      <w:rFonts w:hint="default" w:ascii="Courier New" w:hAnsi="Courier New" w:eastAsia="宋体" w:cs="Courier New"/>
      <w:kern w:val="2"/>
      <w:sz w:val="24"/>
      <w:szCs w:val="24"/>
      <w:lang w:val="en-US" w:eastAsia="zh-CN" w:bidi="ar-SA"/>
    </w:rPr>
  </w:style>
  <w:style w:type="character" w:customStyle="1" w:styleId="258">
    <w:name w:val="文档结构图 Char4"/>
    <w:semiHidden/>
    <w:qFormat/>
    <w:uiPriority w:val="0"/>
    <w:rPr>
      <w:rFonts w:ascii="Tahoma" w:hAnsi="Tahoma" w:eastAsia="宋体" w:cs="Tahoma"/>
      <w:kern w:val="2"/>
      <w:sz w:val="21"/>
      <w:szCs w:val="24"/>
      <w:shd w:val="clear" w:color="auto" w:fill="000080"/>
      <w:lang w:val="en-US" w:eastAsia="zh-CN" w:bidi="ar-SA"/>
    </w:rPr>
  </w:style>
  <w:style w:type="character" w:customStyle="1" w:styleId="259">
    <w:name w:val="Char Char27"/>
    <w:semiHidden/>
    <w:qFormat/>
    <w:uiPriority w:val="0"/>
    <w:rPr>
      <w:rFonts w:hint="eastAsia" w:ascii="宋体" w:hAnsi="宋体" w:eastAsia="宋体"/>
      <w:spacing w:val="20"/>
      <w:sz w:val="28"/>
      <w:szCs w:val="24"/>
      <w:lang w:val="en-US" w:eastAsia="zh-CN" w:bidi="ar-SA"/>
    </w:rPr>
  </w:style>
  <w:style w:type="character" w:customStyle="1" w:styleId="260">
    <w:name w:val="正文缩进 Char4"/>
    <w:semiHidden/>
    <w:qFormat/>
    <w:uiPriority w:val="0"/>
    <w:rPr>
      <w:rFonts w:hint="default" w:ascii="Tahoma" w:hAnsi="Tahoma" w:eastAsia="Tahoma" w:cs="Tahoma"/>
      <w:kern w:val="2"/>
      <w:sz w:val="21"/>
      <w:szCs w:val="24"/>
      <w:lang w:val="en-US" w:eastAsia="zh-CN" w:bidi="ar-SA"/>
    </w:rPr>
  </w:style>
  <w:style w:type="character" w:customStyle="1" w:styleId="261">
    <w:name w:val="标题 3 字符1"/>
    <w:semiHidden/>
    <w:qFormat/>
    <w:uiPriority w:val="0"/>
    <w:rPr>
      <w:rFonts w:hint="eastAsia" w:ascii="黑体" w:hAnsi="宋体" w:eastAsia="黑体" w:cs="黑体"/>
      <w:snapToGrid/>
      <w:kern w:val="2"/>
      <w:sz w:val="24"/>
      <w:szCs w:val="24"/>
      <w:lang w:val="en-US" w:eastAsia="zh-CN" w:bidi="ar-SA"/>
    </w:rPr>
  </w:style>
  <w:style w:type="character" w:customStyle="1" w:styleId="262">
    <w:name w:val="正文首行缩进 2 字符1"/>
    <w:semiHidden/>
    <w:qFormat/>
    <w:uiPriority w:val="0"/>
    <w:rPr>
      <w:rFonts w:hint="eastAsia" w:ascii="宋体" w:hAnsi="宋体" w:eastAsia="宋体" w:cs="宋体"/>
      <w:kern w:val="2"/>
      <w:sz w:val="21"/>
      <w:szCs w:val="24"/>
      <w:lang w:val="en-US" w:eastAsia="zh-CN" w:bidi="ar"/>
    </w:rPr>
  </w:style>
  <w:style w:type="character" w:customStyle="1" w:styleId="263">
    <w:name w:val="正文文本缩进 2 Char"/>
    <w:semiHidden/>
    <w:qFormat/>
    <w:uiPriority w:val="0"/>
    <w:rPr>
      <w:rFonts w:eastAsia="宋体"/>
      <w:kern w:val="2"/>
      <w:sz w:val="24"/>
      <w:lang w:bidi="ar-SA"/>
    </w:rPr>
  </w:style>
  <w:style w:type="character" w:customStyle="1" w:styleId="264">
    <w:name w:val="样式8 Char"/>
    <w:link w:val="265"/>
    <w:qFormat/>
    <w:uiPriority w:val="0"/>
    <w:rPr>
      <w:rFonts w:eastAsia="黑体"/>
      <w:kern w:val="2"/>
      <w:sz w:val="24"/>
      <w:szCs w:val="24"/>
    </w:rPr>
  </w:style>
  <w:style w:type="paragraph" w:customStyle="1" w:styleId="265">
    <w:name w:val="样式8"/>
    <w:basedOn w:val="1"/>
    <w:link w:val="264"/>
    <w:semiHidden/>
    <w:qFormat/>
    <w:uiPriority w:val="0"/>
    <w:pPr>
      <w:adjustRightInd w:val="0"/>
      <w:snapToGrid w:val="0"/>
      <w:spacing w:line="480" w:lineRule="exact"/>
      <w:jc w:val="center"/>
    </w:pPr>
    <w:rPr>
      <w:rFonts w:eastAsia="黑体"/>
      <w:sz w:val="24"/>
    </w:rPr>
  </w:style>
  <w:style w:type="character" w:customStyle="1" w:styleId="266">
    <w:name w:val="HTML 预设格式 Char2"/>
    <w:semiHidden/>
    <w:qFormat/>
    <w:uiPriority w:val="0"/>
    <w:rPr>
      <w:rFonts w:hint="default" w:ascii="Courier New" w:hAnsi="Courier New" w:eastAsia="宋体" w:cs="Courier New"/>
      <w:kern w:val="2"/>
      <w:sz w:val="24"/>
      <w:szCs w:val="24"/>
      <w:lang w:val="en-US" w:eastAsia="zh-CN" w:bidi="ar"/>
    </w:rPr>
  </w:style>
  <w:style w:type="character" w:customStyle="1" w:styleId="267">
    <w:name w:val="日期 Char3"/>
    <w:semiHidden/>
    <w:qFormat/>
    <w:uiPriority w:val="0"/>
    <w:rPr>
      <w:rFonts w:hint="default" w:ascii="Tahoma" w:hAnsi="Tahoma" w:eastAsia="宋体" w:cs="Tahoma"/>
      <w:kern w:val="2"/>
      <w:sz w:val="21"/>
      <w:szCs w:val="24"/>
      <w:lang w:val="en-US" w:eastAsia="zh-CN" w:bidi="ar"/>
    </w:rPr>
  </w:style>
  <w:style w:type="character" w:customStyle="1" w:styleId="268">
    <w:name w:val="txt1"/>
    <w:semiHidden/>
    <w:qFormat/>
    <w:uiPriority w:val="0"/>
    <w:rPr>
      <w:lang w:val="en-US" w:eastAsia="zh-CN" w:bidi="ar-SA"/>
    </w:rPr>
  </w:style>
  <w:style w:type="character" w:customStyle="1" w:styleId="269">
    <w:name w:val="样式2 Char Char"/>
    <w:semiHidden/>
    <w:qFormat/>
    <w:uiPriority w:val="0"/>
    <w:rPr>
      <w:rFonts w:ascii="Arial" w:hAnsi="Arial" w:eastAsia="宋体" w:cs="仿宋_GB2312"/>
      <w:kern w:val="0"/>
      <w:sz w:val="32"/>
      <w:szCs w:val="32"/>
    </w:rPr>
  </w:style>
  <w:style w:type="character" w:customStyle="1" w:styleId="270">
    <w:name w:val="标题 7 Char2"/>
    <w:semiHidden/>
    <w:qFormat/>
    <w:uiPriority w:val="0"/>
    <w:rPr>
      <w:rFonts w:hint="eastAsia" w:ascii="黑体" w:hAnsi="宋体" w:eastAsia="黑体" w:cs="黑体"/>
      <w:bCs/>
      <w:kern w:val="2"/>
      <w:sz w:val="24"/>
      <w:szCs w:val="24"/>
      <w:lang w:val="en-US" w:eastAsia="zh-CN" w:bidi="ar-SA"/>
    </w:rPr>
  </w:style>
  <w:style w:type="character" w:customStyle="1" w:styleId="271">
    <w:name w:val="标题 4 Char4"/>
    <w:semiHidden/>
    <w:qFormat/>
    <w:uiPriority w:val="0"/>
    <w:rPr>
      <w:rFonts w:hint="default" w:ascii="Tahoma" w:hAnsi="Tahoma" w:eastAsia="宋体" w:cs="Tahoma"/>
      <w:bCs/>
      <w:kern w:val="2"/>
      <w:sz w:val="24"/>
      <w:szCs w:val="24"/>
      <w:lang w:val="en-US" w:eastAsia="zh-CN" w:bidi="ar"/>
    </w:rPr>
  </w:style>
  <w:style w:type="character" w:customStyle="1" w:styleId="272">
    <w:name w:val="标准正文 Char1"/>
    <w:semiHidden/>
    <w:qFormat/>
    <w:uiPriority w:val="0"/>
    <w:rPr>
      <w:rFonts w:ascii="仿宋_GB2312" w:eastAsia="仿宋_GB2312"/>
      <w:kern w:val="2"/>
      <w:sz w:val="28"/>
      <w:szCs w:val="24"/>
      <w:lang w:val="en-US" w:eastAsia="zh-CN" w:bidi="ar-SA"/>
    </w:rPr>
  </w:style>
  <w:style w:type="character" w:customStyle="1" w:styleId="273">
    <w:name w:val="标题 2 Char2"/>
    <w:semiHidden/>
    <w:qFormat/>
    <w:uiPriority w:val="0"/>
    <w:rPr>
      <w:rFonts w:eastAsia="黑体"/>
      <w:kern w:val="2"/>
      <w:sz w:val="28"/>
      <w:szCs w:val="28"/>
      <w:lang w:val="en-US" w:eastAsia="zh-CN" w:bidi="ar-SA"/>
    </w:rPr>
  </w:style>
  <w:style w:type="character" w:customStyle="1" w:styleId="274">
    <w:name w:val="articlebody21"/>
    <w:semiHidden/>
    <w:qFormat/>
    <w:uiPriority w:val="0"/>
    <w:rPr>
      <w:sz w:val="21"/>
      <w:szCs w:val="21"/>
    </w:rPr>
  </w:style>
  <w:style w:type="character" w:customStyle="1" w:styleId="275">
    <w:name w:val="Char Char Char Char Char Char"/>
    <w:semiHidden/>
    <w:qFormat/>
    <w:uiPriority w:val="0"/>
    <w:rPr>
      <w:rFonts w:ascii="宋体" w:hAnsi="Courier New" w:eastAsia="宋体" w:cs="Courier New"/>
      <w:szCs w:val="21"/>
    </w:rPr>
  </w:style>
  <w:style w:type="character" w:customStyle="1" w:styleId="276">
    <w:name w:val="Char Char133"/>
    <w:semiHidden/>
    <w:qFormat/>
    <w:locked/>
    <w:uiPriority w:val="0"/>
    <w:rPr>
      <w:rFonts w:ascii="黑体" w:hAnsi="宋体" w:eastAsia="黑体" w:cs="黑体"/>
      <w:color w:val="000000"/>
      <w:kern w:val="2"/>
      <w:sz w:val="24"/>
      <w:szCs w:val="24"/>
      <w:lang w:val="en-US" w:eastAsia="zh-CN" w:bidi="ar-SA"/>
    </w:rPr>
  </w:style>
  <w:style w:type="character" w:customStyle="1" w:styleId="277">
    <w:name w:val="Char Char4"/>
    <w:semiHidden/>
    <w:qFormat/>
    <w:uiPriority w:val="0"/>
    <w:rPr>
      <w:rFonts w:ascii="Arial" w:hAnsi="Arial" w:eastAsia="黑体"/>
      <w:b/>
      <w:bCs/>
      <w:kern w:val="2"/>
      <w:sz w:val="28"/>
      <w:szCs w:val="28"/>
      <w:lang w:val="en-US" w:eastAsia="zh-CN" w:bidi="ar-SA"/>
    </w:rPr>
  </w:style>
  <w:style w:type="character" w:customStyle="1" w:styleId="278">
    <w:name w:val="标题1.1.1.1.1.1 Char Char"/>
    <w:semiHidden/>
    <w:qFormat/>
    <w:uiPriority w:val="0"/>
    <w:rPr>
      <w:rFonts w:ascii="Arial" w:hAnsi="Arial" w:eastAsia="黑体"/>
      <w:b/>
      <w:bCs/>
      <w:kern w:val="2"/>
      <w:sz w:val="24"/>
      <w:szCs w:val="21"/>
      <w:lang w:val="en-US" w:eastAsia="zh-CN" w:bidi="ar-SA"/>
    </w:rPr>
  </w:style>
  <w:style w:type="character" w:customStyle="1" w:styleId="279">
    <w:name w:val="title3"/>
    <w:semiHidden/>
    <w:qFormat/>
    <w:uiPriority w:val="0"/>
    <w:rPr>
      <w:rFonts w:hint="default"/>
      <w:color w:val="996633"/>
      <w:sz w:val="18"/>
      <w:szCs w:val="18"/>
    </w:rPr>
  </w:style>
  <w:style w:type="character" w:customStyle="1" w:styleId="280">
    <w:name w:val="标题1 Char2"/>
    <w:semiHidden/>
    <w:qFormat/>
    <w:uiPriority w:val="0"/>
    <w:rPr>
      <w:rFonts w:eastAsia="宋体" w:cs="Courier New"/>
      <w:kern w:val="2"/>
      <w:sz w:val="21"/>
      <w:szCs w:val="21"/>
      <w:lang w:val="en-US" w:eastAsia="zh-CN" w:bidi="ar-SA"/>
    </w:rPr>
  </w:style>
  <w:style w:type="character" w:customStyle="1" w:styleId="281">
    <w:name w:val="txt"/>
    <w:semiHidden/>
    <w:qFormat/>
    <w:uiPriority w:val="0"/>
    <w:rPr>
      <w:lang w:val="en-US" w:eastAsia="zh-CN" w:bidi="ar-SA"/>
    </w:rPr>
  </w:style>
  <w:style w:type="character" w:customStyle="1" w:styleId="282">
    <w:name w:val="正文文本 2 Char2"/>
    <w:semiHidden/>
    <w:qFormat/>
    <w:uiPriority w:val="0"/>
    <w:rPr>
      <w:rFonts w:hint="default" w:ascii="Tahoma" w:hAnsi="Tahoma" w:eastAsia="宋体" w:cs="Tahoma"/>
      <w:kern w:val="2"/>
      <w:sz w:val="21"/>
      <w:szCs w:val="24"/>
      <w:lang w:val="en-US" w:eastAsia="zh-CN" w:bidi="ar"/>
    </w:rPr>
  </w:style>
  <w:style w:type="character" w:customStyle="1" w:styleId="283">
    <w:name w:val="正文文本缩进 3 字符1"/>
    <w:semiHidden/>
    <w:qFormat/>
    <w:uiPriority w:val="0"/>
    <w:rPr>
      <w:rFonts w:hint="default" w:ascii="Tahoma" w:hAnsi="Tahoma" w:eastAsia="宋体" w:cs="Tahoma"/>
      <w:kern w:val="2"/>
      <w:sz w:val="16"/>
      <w:szCs w:val="16"/>
      <w:lang w:val="en-US" w:eastAsia="zh-CN" w:bidi="ar"/>
    </w:rPr>
  </w:style>
  <w:style w:type="character" w:customStyle="1" w:styleId="284">
    <w:name w:val="日期 字符"/>
    <w:semiHidden/>
    <w:qFormat/>
    <w:uiPriority w:val="99"/>
    <w:rPr>
      <w:kern w:val="2"/>
      <w:sz w:val="21"/>
      <w:szCs w:val="24"/>
      <w:lang w:val="zh-CN" w:eastAsia="zh-CN"/>
    </w:rPr>
  </w:style>
  <w:style w:type="character" w:customStyle="1" w:styleId="285">
    <w:name w:val="Char Char42"/>
    <w:semiHidden/>
    <w:qFormat/>
    <w:locked/>
    <w:uiPriority w:val="0"/>
    <w:rPr>
      <w:rFonts w:ascii="Arial" w:hAnsi="Arial" w:eastAsia="宋体" w:cs="Arial"/>
      <w:kern w:val="2"/>
      <w:sz w:val="24"/>
      <w:szCs w:val="24"/>
      <w:lang w:val="en-US" w:eastAsia="zh-CN" w:bidi="ar-SA"/>
    </w:rPr>
  </w:style>
  <w:style w:type="character" w:customStyle="1" w:styleId="286">
    <w:name w:val="Char Char81"/>
    <w:semiHidden/>
    <w:qFormat/>
    <w:uiPriority w:val="0"/>
    <w:rPr>
      <w:rFonts w:eastAsia="宋体"/>
      <w:kern w:val="2"/>
      <w:sz w:val="28"/>
      <w:szCs w:val="28"/>
      <w:lang w:val="en-US" w:eastAsia="zh-CN" w:bidi="ar-SA"/>
    </w:rPr>
  </w:style>
  <w:style w:type="character" w:customStyle="1" w:styleId="287">
    <w:name w:val="HTML 预设格式 Char"/>
    <w:semiHidden/>
    <w:qFormat/>
    <w:uiPriority w:val="0"/>
    <w:rPr>
      <w:rFonts w:ascii="Courier New" w:hAnsi="Courier New" w:eastAsia="宋体"/>
      <w:kern w:val="2"/>
      <w:lang w:bidi="ar-SA"/>
    </w:rPr>
  </w:style>
  <w:style w:type="character" w:customStyle="1" w:styleId="288">
    <w:name w:val="文档结构图 Char5"/>
    <w:semiHidden/>
    <w:qFormat/>
    <w:uiPriority w:val="99"/>
    <w:rPr>
      <w:rFonts w:ascii="Microsoft YaHei UI" w:hAnsi="Times New Roman" w:eastAsia="Microsoft YaHei UI" w:cs="Times New Roman"/>
      <w:sz w:val="18"/>
      <w:szCs w:val="18"/>
    </w:rPr>
  </w:style>
  <w:style w:type="character" w:customStyle="1" w:styleId="289">
    <w:name w:val="标题 5 字符1"/>
    <w:semiHidden/>
    <w:qFormat/>
    <w:uiPriority w:val="0"/>
    <w:rPr>
      <w:rFonts w:hint="eastAsia" w:ascii="黑体" w:hAnsi="宋体" w:eastAsia="黑体" w:cs="黑体"/>
      <w:bCs/>
      <w:kern w:val="2"/>
      <w:sz w:val="24"/>
      <w:szCs w:val="24"/>
      <w:lang w:val="en-US" w:eastAsia="zh-CN" w:bidi="ar-SA"/>
    </w:rPr>
  </w:style>
  <w:style w:type="character" w:customStyle="1" w:styleId="290">
    <w:name w:val="标题 3 Char2"/>
    <w:semiHidden/>
    <w:qFormat/>
    <w:uiPriority w:val="0"/>
    <w:rPr>
      <w:rFonts w:eastAsia="黑体"/>
      <w:kern w:val="2"/>
      <w:sz w:val="24"/>
      <w:szCs w:val="24"/>
      <w:lang w:val="en-US" w:eastAsia="zh-CN" w:bidi="ar-SA"/>
    </w:rPr>
  </w:style>
  <w:style w:type="character" w:customStyle="1" w:styleId="291">
    <w:name w:val="HTML 地址 字符"/>
    <w:semiHidden/>
    <w:qFormat/>
    <w:uiPriority w:val="0"/>
    <w:rPr>
      <w:i/>
      <w:iCs/>
      <w:kern w:val="2"/>
      <w:sz w:val="21"/>
      <w:szCs w:val="24"/>
      <w:lang w:val="zh-CN" w:eastAsia="zh-CN"/>
    </w:rPr>
  </w:style>
  <w:style w:type="character" w:customStyle="1" w:styleId="292">
    <w:name w:val="正文首行缩进 Char4"/>
    <w:semiHidden/>
    <w:qFormat/>
    <w:uiPriority w:val="99"/>
  </w:style>
  <w:style w:type="character" w:customStyle="1" w:styleId="293">
    <w:name w:val="纯文本 字符1"/>
    <w:semiHidden/>
    <w:qFormat/>
    <w:uiPriority w:val="0"/>
    <w:rPr>
      <w:rFonts w:ascii="宋体" w:hAnsi="Courier New" w:eastAsia="宋体"/>
      <w:kern w:val="2"/>
      <w:sz w:val="21"/>
      <w:szCs w:val="21"/>
      <w:lang w:val="en-US" w:eastAsia="zh-CN" w:bidi="ar-SA"/>
    </w:rPr>
  </w:style>
  <w:style w:type="character" w:customStyle="1" w:styleId="294">
    <w:name w:val="正文文本 2 Char4"/>
    <w:semiHidden/>
    <w:qFormat/>
    <w:uiPriority w:val="99"/>
    <w:rPr>
      <w:rFonts w:ascii="Times New Roman" w:hAnsi="Times New Roman" w:eastAsia="宋体" w:cs="Times New Roman"/>
      <w:szCs w:val="24"/>
    </w:rPr>
  </w:style>
  <w:style w:type="character" w:customStyle="1" w:styleId="295">
    <w:name w:val="HTML 地址 Char3"/>
    <w:semiHidden/>
    <w:qFormat/>
    <w:uiPriority w:val="0"/>
    <w:rPr>
      <w:rFonts w:ascii="Tahoma" w:hAnsi="Tahoma" w:eastAsia="宋体" w:cs="Tahoma"/>
      <w:i/>
      <w:kern w:val="2"/>
      <w:sz w:val="21"/>
      <w:szCs w:val="24"/>
      <w:lang w:val="en-US" w:eastAsia="zh-CN" w:bidi="ar-SA"/>
    </w:rPr>
  </w:style>
  <w:style w:type="character" w:customStyle="1" w:styleId="296">
    <w:name w:val="Char Char123"/>
    <w:semiHidden/>
    <w:qFormat/>
    <w:locked/>
    <w:uiPriority w:val="0"/>
    <w:rPr>
      <w:rFonts w:ascii="宋体" w:hAnsi="宋体" w:eastAsia="宋体"/>
      <w:spacing w:val="20"/>
      <w:sz w:val="28"/>
      <w:szCs w:val="24"/>
      <w:lang w:val="en-US" w:eastAsia="zh-CN" w:bidi="ar-SA"/>
    </w:rPr>
  </w:style>
  <w:style w:type="character" w:customStyle="1" w:styleId="297">
    <w:name w:val="Char Char16"/>
    <w:semiHidden/>
    <w:qFormat/>
    <w:uiPriority w:val="0"/>
    <w:rPr>
      <w:rFonts w:ascii="Arial" w:hAnsi="Arial" w:eastAsia="黑体" w:cs="Times New Roman"/>
      <w:b/>
      <w:bCs/>
      <w:sz w:val="28"/>
      <w:szCs w:val="28"/>
    </w:rPr>
  </w:style>
  <w:style w:type="character" w:customStyle="1" w:styleId="298">
    <w:name w:val="Char Char233"/>
    <w:semiHidden/>
    <w:qFormat/>
    <w:uiPriority w:val="0"/>
    <w:rPr>
      <w:rFonts w:hint="eastAsia" w:ascii="黑体" w:eastAsia="黑体"/>
      <w:kern w:val="2"/>
      <w:sz w:val="28"/>
      <w:szCs w:val="28"/>
      <w:lang w:val="en-US" w:eastAsia="zh-CN" w:bidi="ar-SA"/>
    </w:rPr>
  </w:style>
  <w:style w:type="character" w:customStyle="1" w:styleId="299">
    <w:name w:val="HTML 地址 Char4"/>
    <w:semiHidden/>
    <w:qFormat/>
    <w:uiPriority w:val="99"/>
    <w:rPr>
      <w:rFonts w:ascii="Times New Roman" w:hAnsi="Times New Roman" w:eastAsia="宋体" w:cs="Times New Roman"/>
      <w:i/>
      <w:iCs/>
      <w:szCs w:val="24"/>
    </w:rPr>
  </w:style>
  <w:style w:type="character" w:customStyle="1" w:styleId="300">
    <w:name w:val="Char Char232"/>
    <w:semiHidden/>
    <w:qFormat/>
    <w:uiPriority w:val="0"/>
    <w:rPr>
      <w:rFonts w:hint="eastAsia" w:ascii="黑体" w:eastAsia="黑体"/>
      <w:kern w:val="2"/>
      <w:sz w:val="28"/>
      <w:szCs w:val="28"/>
      <w:lang w:val="en-US" w:eastAsia="zh-CN" w:bidi="ar-SA"/>
    </w:rPr>
  </w:style>
  <w:style w:type="character" w:customStyle="1" w:styleId="301">
    <w:name w:val="正文首行缩进 Char3"/>
    <w:semiHidden/>
    <w:qFormat/>
    <w:uiPriority w:val="0"/>
    <w:rPr>
      <w:rFonts w:hint="eastAsia" w:ascii="宋体" w:hAnsi="宋体" w:eastAsia="宋体" w:cs="宋体"/>
      <w:kern w:val="2"/>
      <w:sz w:val="21"/>
      <w:szCs w:val="24"/>
      <w:lang w:val="en-US" w:eastAsia="zh-CN" w:bidi="ar"/>
    </w:rPr>
  </w:style>
  <w:style w:type="character" w:customStyle="1" w:styleId="302">
    <w:name w:val="批注文字 Char"/>
    <w:semiHidden/>
    <w:qFormat/>
    <w:uiPriority w:val="99"/>
    <w:rPr>
      <w:rFonts w:eastAsia="宋体"/>
      <w:kern w:val="2"/>
      <w:sz w:val="21"/>
      <w:szCs w:val="24"/>
      <w:lang w:bidi="ar-SA"/>
    </w:rPr>
  </w:style>
  <w:style w:type="character" w:customStyle="1" w:styleId="303">
    <w:name w:val="日期 Char"/>
    <w:semiHidden/>
    <w:qFormat/>
    <w:uiPriority w:val="99"/>
    <w:rPr>
      <w:rFonts w:eastAsia="宋体"/>
      <w:kern w:val="2"/>
      <w:sz w:val="21"/>
      <w:szCs w:val="24"/>
      <w:lang w:bidi="ar-SA"/>
    </w:rPr>
  </w:style>
  <w:style w:type="character" w:customStyle="1" w:styleId="304">
    <w:name w:val="占位符文本1"/>
    <w:semiHidden/>
    <w:qFormat/>
    <w:uiPriority w:val="99"/>
    <w:rPr>
      <w:color w:val="808080"/>
    </w:rPr>
  </w:style>
  <w:style w:type="character" w:customStyle="1" w:styleId="305">
    <w:name w:val="Char Char241"/>
    <w:semiHidden/>
    <w:qFormat/>
    <w:uiPriority w:val="0"/>
    <w:rPr>
      <w:rFonts w:hint="eastAsia" w:ascii="黑体" w:eastAsia="黑体"/>
      <w:kern w:val="44"/>
      <w:sz w:val="32"/>
      <w:szCs w:val="32"/>
      <w:lang w:val="en-US" w:eastAsia="zh-CN" w:bidi="ar-SA"/>
    </w:rPr>
  </w:style>
  <w:style w:type="character" w:customStyle="1" w:styleId="306">
    <w:name w:val="正文文本缩进 2 字符2"/>
    <w:semiHidden/>
    <w:qFormat/>
    <w:uiPriority w:val="0"/>
    <w:rPr>
      <w:rFonts w:ascii="Tahoma" w:hAnsi="Tahoma" w:eastAsia="宋体" w:cs="Tahoma"/>
      <w:kern w:val="2"/>
      <w:sz w:val="24"/>
      <w:szCs w:val="24"/>
      <w:lang w:val="en-US" w:eastAsia="zh-CN" w:bidi="ar-SA"/>
    </w:rPr>
  </w:style>
  <w:style w:type="character" w:customStyle="1" w:styleId="307">
    <w:name w:val="样式 样式 标题 3 + (中文) 黑体 小四 非加粗 + Char"/>
    <w:link w:val="308"/>
    <w:qFormat/>
    <w:uiPriority w:val="0"/>
    <w:rPr>
      <w:rFonts w:eastAsia="黑体"/>
      <w:b/>
      <w:kern w:val="2"/>
      <w:sz w:val="24"/>
      <w:szCs w:val="24"/>
    </w:rPr>
  </w:style>
  <w:style w:type="paragraph" w:customStyle="1" w:styleId="308">
    <w:name w:val="样式 样式 标题 3 + (中文) 黑体 小四 非加粗 +"/>
    <w:basedOn w:val="309"/>
    <w:link w:val="307"/>
    <w:semiHidden/>
    <w:qFormat/>
    <w:uiPriority w:val="0"/>
    <w:pPr>
      <w:adjustRightInd w:val="0"/>
      <w:snapToGrid w:val="0"/>
      <w:spacing w:before="60" w:after="60"/>
    </w:pPr>
    <w:rPr>
      <w:b/>
      <w:bCs w:val="0"/>
      <w:snapToGrid/>
      <w:kern w:val="2"/>
      <w:szCs w:val="24"/>
    </w:rPr>
  </w:style>
  <w:style w:type="paragraph" w:customStyle="1" w:styleId="309">
    <w:name w:val="样式 标题 3 + (中文) 黑体 小四 非加粗"/>
    <w:basedOn w:val="4"/>
    <w:link w:val="310"/>
    <w:semiHidden/>
    <w:qFormat/>
    <w:uiPriority w:val="0"/>
    <w:pPr>
      <w:spacing w:before="0" w:after="0"/>
    </w:pPr>
    <w:rPr>
      <w:bCs/>
      <w:szCs w:val="32"/>
    </w:rPr>
  </w:style>
  <w:style w:type="character" w:customStyle="1" w:styleId="310">
    <w:name w:val="样式 标题 3 + (中文) 黑体 小四 非加粗 Char"/>
    <w:link w:val="309"/>
    <w:qFormat/>
    <w:uiPriority w:val="0"/>
    <w:rPr>
      <w:rFonts w:eastAsia="黑体"/>
      <w:bCs/>
      <w:snapToGrid/>
      <w:sz w:val="24"/>
      <w:szCs w:val="32"/>
    </w:rPr>
  </w:style>
  <w:style w:type="character" w:customStyle="1" w:styleId="311">
    <w:name w:val="样式 (中文) 黑体 一号 加粗 加宽量  12.75 磅 适应文字: 无"/>
    <w:semiHidden/>
    <w:qFormat/>
    <w:uiPriority w:val="0"/>
    <w:rPr>
      <w:rFonts w:eastAsia="黑体"/>
      <w:b/>
      <w:bCs/>
      <w:spacing w:val="0"/>
      <w:kern w:val="0"/>
      <w:sz w:val="52"/>
      <w:szCs w:val="52"/>
    </w:rPr>
  </w:style>
  <w:style w:type="character" w:customStyle="1" w:styleId="312">
    <w:name w:val="alan正文 Char Char"/>
    <w:semiHidden/>
    <w:qFormat/>
    <w:uiPriority w:val="0"/>
    <w:rPr>
      <w:rFonts w:ascii="Times New Roman" w:hAnsi="Times New Roman" w:eastAsia="宋体" w:cs="Times New Roman"/>
      <w:sz w:val="28"/>
      <w:szCs w:val="24"/>
    </w:rPr>
  </w:style>
  <w:style w:type="character" w:customStyle="1" w:styleId="313">
    <w:name w:val="gyy表名图名 Char"/>
    <w:semiHidden/>
    <w:qFormat/>
    <w:uiPriority w:val="0"/>
    <w:rPr>
      <w:rFonts w:eastAsia="黑体"/>
      <w:kern w:val="2"/>
      <w:sz w:val="24"/>
      <w:szCs w:val="24"/>
      <w:lang w:val="en-US" w:eastAsia="zh-CN" w:bidi="ar-SA"/>
    </w:rPr>
  </w:style>
  <w:style w:type="character" w:customStyle="1" w:styleId="314">
    <w:name w:val="签名 字符2"/>
    <w:semiHidden/>
    <w:qFormat/>
    <w:uiPriority w:val="0"/>
    <w:rPr>
      <w:rFonts w:ascii="Tahoma" w:hAnsi="Tahoma" w:eastAsia="宋体" w:cs="Tahoma"/>
      <w:kern w:val="2"/>
      <w:sz w:val="21"/>
      <w:szCs w:val="24"/>
      <w:lang w:val="en-US" w:eastAsia="zh-CN" w:bidi="ar-SA"/>
    </w:rPr>
  </w:style>
  <w:style w:type="character" w:customStyle="1" w:styleId="315">
    <w:name w:val="尾注文本 字符2"/>
    <w:semiHidden/>
    <w:qFormat/>
    <w:uiPriority w:val="0"/>
    <w:rPr>
      <w:rFonts w:ascii="Tahoma" w:hAnsi="Tahoma" w:eastAsia="宋体" w:cs="Tahoma"/>
      <w:kern w:val="2"/>
      <w:sz w:val="21"/>
      <w:szCs w:val="24"/>
      <w:lang w:val="en-US" w:eastAsia="zh-CN" w:bidi="ar-SA"/>
    </w:rPr>
  </w:style>
  <w:style w:type="character" w:customStyle="1" w:styleId="316">
    <w:name w:val="称呼 Char"/>
    <w:semiHidden/>
    <w:qFormat/>
    <w:uiPriority w:val="0"/>
    <w:rPr>
      <w:rFonts w:eastAsia="宋体"/>
      <w:kern w:val="2"/>
      <w:sz w:val="21"/>
      <w:szCs w:val="24"/>
      <w:lang w:bidi="ar-SA"/>
    </w:rPr>
  </w:style>
  <w:style w:type="character" w:customStyle="1" w:styleId="317">
    <w:name w:val="文档结构图 字符2"/>
    <w:semiHidden/>
    <w:qFormat/>
    <w:uiPriority w:val="0"/>
    <w:rPr>
      <w:rFonts w:ascii="Tahoma" w:hAnsi="Tahoma" w:eastAsia="宋体" w:cs="Tahoma"/>
      <w:kern w:val="2"/>
      <w:sz w:val="21"/>
      <w:szCs w:val="24"/>
      <w:shd w:val="clear" w:color="auto" w:fill="000080"/>
      <w:lang w:val="en-US" w:eastAsia="zh-CN" w:bidi="ar-SA"/>
    </w:rPr>
  </w:style>
  <w:style w:type="character" w:customStyle="1" w:styleId="318">
    <w:name w:val="日期 Char1"/>
    <w:semiHidden/>
    <w:qFormat/>
    <w:uiPriority w:val="99"/>
    <w:rPr>
      <w:kern w:val="2"/>
      <w:sz w:val="21"/>
      <w:szCs w:val="24"/>
    </w:rPr>
  </w:style>
  <w:style w:type="character" w:customStyle="1" w:styleId="319">
    <w:name w:val="电子邮件签名 Char3"/>
    <w:semiHidden/>
    <w:qFormat/>
    <w:uiPriority w:val="0"/>
    <w:rPr>
      <w:rFonts w:ascii="Tahoma" w:hAnsi="Tahoma" w:eastAsia="宋体" w:cs="Tahoma"/>
      <w:kern w:val="2"/>
      <w:sz w:val="21"/>
      <w:szCs w:val="24"/>
      <w:lang w:val="en-US" w:eastAsia="zh-CN" w:bidi="ar-SA"/>
    </w:rPr>
  </w:style>
  <w:style w:type="character" w:customStyle="1" w:styleId="320">
    <w:name w:val="结束语 字符2"/>
    <w:semiHidden/>
    <w:qFormat/>
    <w:uiPriority w:val="0"/>
    <w:rPr>
      <w:rFonts w:ascii="Tahoma" w:hAnsi="Tahoma" w:eastAsia="宋体" w:cs="Tahoma"/>
      <w:kern w:val="2"/>
      <w:sz w:val="21"/>
      <w:szCs w:val="24"/>
      <w:lang w:val="en-US" w:eastAsia="zh-CN" w:bidi="ar-SA"/>
    </w:rPr>
  </w:style>
  <w:style w:type="character" w:customStyle="1" w:styleId="321">
    <w:name w:val="称呼 字符1"/>
    <w:semiHidden/>
    <w:qFormat/>
    <w:uiPriority w:val="0"/>
    <w:rPr>
      <w:rFonts w:hint="default" w:ascii="Tahoma" w:hAnsi="Tahoma" w:eastAsia="宋体" w:cs="Tahoma"/>
      <w:kern w:val="2"/>
      <w:sz w:val="21"/>
      <w:szCs w:val="24"/>
      <w:lang w:val="en-US" w:eastAsia="zh-CN" w:bidi="ar"/>
    </w:rPr>
  </w:style>
  <w:style w:type="character" w:customStyle="1" w:styleId="322">
    <w:name w:val="表标题 Char"/>
    <w:link w:val="323"/>
    <w:qFormat/>
    <w:locked/>
    <w:uiPriority w:val="0"/>
    <w:rPr>
      <w:rFonts w:eastAsia="黑体"/>
      <w:kern w:val="2"/>
      <w:sz w:val="24"/>
      <w:szCs w:val="24"/>
    </w:rPr>
  </w:style>
  <w:style w:type="paragraph" w:customStyle="1" w:styleId="323">
    <w:name w:val="表标题"/>
    <w:basedOn w:val="1"/>
    <w:link w:val="322"/>
    <w:semiHidden/>
    <w:qFormat/>
    <w:uiPriority w:val="0"/>
    <w:pPr>
      <w:spacing w:before="120" w:line="460" w:lineRule="exact"/>
    </w:pPr>
    <w:rPr>
      <w:rFonts w:eastAsia="黑体"/>
      <w:sz w:val="24"/>
    </w:rPr>
  </w:style>
  <w:style w:type="character" w:customStyle="1" w:styleId="324">
    <w:name w:val="脚注文本 字符"/>
    <w:semiHidden/>
    <w:qFormat/>
    <w:uiPriority w:val="0"/>
    <w:rPr>
      <w:kern w:val="2"/>
      <w:sz w:val="18"/>
      <w:szCs w:val="18"/>
      <w:lang w:val="zh-CN" w:eastAsia="zh-CN"/>
    </w:rPr>
  </w:style>
  <w:style w:type="character" w:customStyle="1" w:styleId="325">
    <w:name w:val="标题 9 Char2"/>
    <w:semiHidden/>
    <w:qFormat/>
    <w:uiPriority w:val="0"/>
    <w:rPr>
      <w:rFonts w:ascii="Tahoma" w:hAnsi="Tahoma" w:eastAsia="宋体" w:cs="Tahoma"/>
      <w:kern w:val="2"/>
      <w:sz w:val="24"/>
      <w:szCs w:val="24"/>
      <w:lang w:val="en-US" w:eastAsia="zh-CN" w:bidi="ar-SA"/>
    </w:rPr>
  </w:style>
  <w:style w:type="character" w:customStyle="1" w:styleId="326">
    <w:name w:val="正文文本 3 Char3"/>
    <w:semiHidden/>
    <w:qFormat/>
    <w:uiPriority w:val="0"/>
    <w:rPr>
      <w:rFonts w:ascii="Tahoma" w:hAnsi="Tahoma" w:eastAsia="宋体" w:cs="Tahoma"/>
      <w:kern w:val="2"/>
      <w:sz w:val="16"/>
      <w:szCs w:val="16"/>
      <w:lang w:val="en-US" w:eastAsia="zh-CN" w:bidi="ar-SA"/>
    </w:rPr>
  </w:style>
  <w:style w:type="character" w:customStyle="1" w:styleId="327">
    <w:name w:val="页脚 Char"/>
    <w:semiHidden/>
    <w:qFormat/>
    <w:uiPriority w:val="99"/>
    <w:rPr>
      <w:rFonts w:eastAsia="宋体"/>
      <w:kern w:val="2"/>
      <w:sz w:val="18"/>
      <w:szCs w:val="18"/>
      <w:lang w:val="en-US" w:eastAsia="zh-CN" w:bidi="ar-SA"/>
    </w:rPr>
  </w:style>
  <w:style w:type="character" w:customStyle="1" w:styleId="328">
    <w:name w:val="正文首行缩进 2 Char4"/>
    <w:semiHidden/>
    <w:qFormat/>
    <w:uiPriority w:val="99"/>
  </w:style>
  <w:style w:type="character" w:customStyle="1" w:styleId="329">
    <w:name w:val="标题 5 字符3"/>
    <w:semiHidden/>
    <w:qFormat/>
    <w:uiPriority w:val="0"/>
    <w:rPr>
      <w:rFonts w:ascii="黑体" w:hAnsi="黑体" w:eastAsia="黑体"/>
      <w:bCs/>
      <w:kern w:val="2"/>
      <w:sz w:val="24"/>
      <w:szCs w:val="24"/>
    </w:rPr>
  </w:style>
  <w:style w:type="character" w:customStyle="1" w:styleId="330">
    <w:name w:val="Char Char21"/>
    <w:semiHidden/>
    <w:qFormat/>
    <w:locked/>
    <w:uiPriority w:val="0"/>
    <w:rPr>
      <w:rFonts w:eastAsia="宋体"/>
      <w:kern w:val="2"/>
      <w:sz w:val="24"/>
      <w:szCs w:val="24"/>
      <w:lang w:val="en-US" w:eastAsia="zh-CN" w:bidi="ar-SA"/>
    </w:rPr>
  </w:style>
  <w:style w:type="character" w:customStyle="1" w:styleId="331">
    <w:name w:val="正文文本缩进 Char"/>
    <w:semiHidden/>
    <w:qFormat/>
    <w:uiPriority w:val="0"/>
    <w:rPr>
      <w:rFonts w:ascii="仿宋_GB2312" w:eastAsia="仿宋_GB2312"/>
      <w:kern w:val="2"/>
      <w:sz w:val="28"/>
      <w:lang w:val="en-US" w:eastAsia="zh-CN" w:bidi="ar-SA"/>
    </w:rPr>
  </w:style>
  <w:style w:type="character" w:customStyle="1" w:styleId="332">
    <w:name w:val="Char Char52"/>
    <w:semiHidden/>
    <w:qFormat/>
    <w:locked/>
    <w:uiPriority w:val="0"/>
    <w:rPr>
      <w:rFonts w:ascii="Arial" w:hAnsi="Arial" w:eastAsia="宋体" w:cs="Arial"/>
      <w:b/>
      <w:bCs/>
      <w:kern w:val="28"/>
      <w:sz w:val="32"/>
      <w:szCs w:val="32"/>
      <w:lang w:val="en-US" w:eastAsia="zh-CN" w:bidi="ar-SA"/>
    </w:rPr>
  </w:style>
  <w:style w:type="character" w:customStyle="1" w:styleId="333">
    <w:name w:val="信息标题 字符1"/>
    <w:semiHidden/>
    <w:qFormat/>
    <w:uiPriority w:val="0"/>
    <w:rPr>
      <w:rFonts w:hint="default" w:ascii="等线 Light" w:hAnsi="等线 Light" w:eastAsia="等线 Light" w:cs="Times New Roman"/>
      <w:kern w:val="2"/>
      <w:sz w:val="24"/>
      <w:szCs w:val="24"/>
      <w:shd w:val="pct20" w:color="auto" w:fill="auto"/>
      <w:lang w:val="en-US" w:eastAsia="zh-CN" w:bidi="ar"/>
    </w:rPr>
  </w:style>
  <w:style w:type="character" w:customStyle="1" w:styleId="334">
    <w:name w:val="日期 字符2"/>
    <w:semiHidden/>
    <w:qFormat/>
    <w:uiPriority w:val="0"/>
    <w:rPr>
      <w:rFonts w:ascii="Tahoma" w:hAnsi="Tahoma" w:eastAsia="宋体" w:cs="Tahoma"/>
      <w:kern w:val="2"/>
      <w:sz w:val="21"/>
      <w:szCs w:val="24"/>
      <w:lang w:val="en-US" w:eastAsia="zh-CN" w:bidi="ar-SA"/>
    </w:rPr>
  </w:style>
  <w:style w:type="character" w:customStyle="1" w:styleId="335">
    <w:name w:val="15"/>
    <w:semiHidden/>
    <w:qFormat/>
    <w:uiPriority w:val="0"/>
    <w:rPr>
      <w:rFonts w:hint="default" w:ascii="黑体" w:hAnsi="宋体" w:eastAsia="黑体" w:cs="黑体"/>
      <w:kern w:val="2"/>
      <w:sz w:val="24"/>
      <w:szCs w:val="24"/>
      <w:lang w:val="en-US" w:eastAsia="zh-CN" w:bidi="ar-SA"/>
    </w:rPr>
  </w:style>
  <w:style w:type="character" w:customStyle="1" w:styleId="336">
    <w:name w:val="Char Char112"/>
    <w:semiHidden/>
    <w:qFormat/>
    <w:locked/>
    <w:uiPriority w:val="0"/>
    <w:rPr>
      <w:rFonts w:ascii="宋体" w:hAnsi="宋体" w:eastAsia="宋体"/>
      <w:kern w:val="2"/>
      <w:sz w:val="18"/>
      <w:szCs w:val="18"/>
      <w:lang w:val="en-US" w:eastAsia="zh-CN" w:bidi="ar-SA"/>
    </w:rPr>
  </w:style>
  <w:style w:type="character" w:customStyle="1" w:styleId="337">
    <w:name w:val="正文首行缩进 字符1"/>
    <w:semiHidden/>
    <w:qFormat/>
    <w:uiPriority w:val="0"/>
    <w:rPr>
      <w:rFonts w:hint="eastAsia" w:ascii="宋体" w:hAnsi="宋体" w:eastAsia="宋体" w:cs="宋体"/>
      <w:kern w:val="2"/>
      <w:sz w:val="21"/>
      <w:szCs w:val="24"/>
      <w:lang w:val="en-US" w:eastAsia="zh-CN" w:bidi="ar"/>
    </w:rPr>
  </w:style>
  <w:style w:type="character" w:customStyle="1" w:styleId="338">
    <w:name w:val="信息标题 Char"/>
    <w:semiHidden/>
    <w:qFormat/>
    <w:uiPriority w:val="0"/>
    <w:rPr>
      <w:rFonts w:ascii="Arial" w:hAnsi="Arial" w:eastAsia="宋体"/>
      <w:kern w:val="2"/>
      <w:sz w:val="24"/>
      <w:szCs w:val="24"/>
      <w:lang w:bidi="ar-SA"/>
    </w:rPr>
  </w:style>
  <w:style w:type="character" w:customStyle="1" w:styleId="339">
    <w:name w:val="Unresolved Mention"/>
    <w:unhideWhenUsed/>
    <w:qFormat/>
    <w:uiPriority w:val="99"/>
    <w:rPr>
      <w:rFonts w:ascii="Tahoma" w:hAnsi="Tahoma" w:eastAsia="宋体" w:cs="Tahoma"/>
      <w:color w:val="605E5C"/>
      <w:kern w:val="2"/>
      <w:sz w:val="24"/>
      <w:szCs w:val="24"/>
      <w:shd w:val="clear" w:color="auto" w:fill="E1DFDD"/>
      <w:lang w:val="en-US" w:eastAsia="zh-CN" w:bidi="ar-SA"/>
    </w:rPr>
  </w:style>
  <w:style w:type="character" w:customStyle="1" w:styleId="340">
    <w:name w:val="正文文本 2 Char3"/>
    <w:semiHidden/>
    <w:qFormat/>
    <w:uiPriority w:val="0"/>
    <w:rPr>
      <w:rFonts w:hint="eastAsia" w:ascii="宋体" w:hAnsi="宋体" w:eastAsia="宋体" w:cs="宋体"/>
      <w:b/>
      <w:kern w:val="2"/>
      <w:sz w:val="52"/>
      <w:szCs w:val="24"/>
      <w:lang w:val="zh-CN" w:eastAsia="zh-CN" w:bidi="ar-SA"/>
    </w:rPr>
  </w:style>
  <w:style w:type="character" w:customStyle="1" w:styleId="341">
    <w:name w:val="Char Char Char Char Char Char Char Char Char"/>
    <w:semiHidden/>
    <w:qFormat/>
    <w:uiPriority w:val="0"/>
    <w:rPr>
      <w:lang w:val="en-US" w:eastAsia="zh-CN" w:bidi="ar-SA"/>
    </w:rPr>
  </w:style>
  <w:style w:type="character" w:customStyle="1" w:styleId="342">
    <w:name w:val="Char Char132"/>
    <w:semiHidden/>
    <w:qFormat/>
    <w:locked/>
    <w:uiPriority w:val="0"/>
    <w:rPr>
      <w:rFonts w:ascii="黑体" w:hAnsi="宋体" w:eastAsia="黑体" w:cs="黑体"/>
      <w:color w:val="000000"/>
      <w:kern w:val="2"/>
      <w:sz w:val="24"/>
      <w:szCs w:val="24"/>
      <w:lang w:val="en-US" w:eastAsia="zh-CN" w:bidi="ar-SA"/>
    </w:rPr>
  </w:style>
  <w:style w:type="character" w:customStyle="1" w:styleId="343">
    <w:name w:val="标题 4 字符"/>
    <w:semiHidden/>
    <w:qFormat/>
    <w:uiPriority w:val="0"/>
    <w:rPr>
      <w:rFonts w:ascii="Times New Roman" w:hAnsi="Times New Roman" w:eastAsia="宋体" w:cs="Times New Roman"/>
      <w:bCs/>
      <w:sz w:val="24"/>
      <w:szCs w:val="28"/>
    </w:rPr>
  </w:style>
  <w:style w:type="character" w:customStyle="1" w:styleId="344">
    <w:name w:val="报告图题 Char1"/>
    <w:link w:val="345"/>
    <w:qFormat/>
    <w:uiPriority w:val="0"/>
    <w:rPr>
      <w:rFonts w:ascii="黑体" w:eastAsia="黑体"/>
      <w:kern w:val="2"/>
      <w:sz w:val="21"/>
    </w:rPr>
  </w:style>
  <w:style w:type="paragraph" w:customStyle="1" w:styleId="345">
    <w:name w:val="报告图题"/>
    <w:basedOn w:val="1"/>
    <w:next w:val="1"/>
    <w:link w:val="344"/>
    <w:semiHidden/>
    <w:qFormat/>
    <w:uiPriority w:val="0"/>
    <w:pPr>
      <w:spacing w:before="120" w:after="120" w:line="400" w:lineRule="exact"/>
      <w:jc w:val="center"/>
    </w:pPr>
    <w:rPr>
      <w:rFonts w:ascii="黑体" w:eastAsia="黑体"/>
      <w:szCs w:val="20"/>
    </w:rPr>
  </w:style>
  <w:style w:type="character" w:customStyle="1" w:styleId="346">
    <w:name w:val="批注文字 字符2"/>
    <w:semiHidden/>
    <w:qFormat/>
    <w:uiPriority w:val="0"/>
    <w:rPr>
      <w:rFonts w:hint="default" w:ascii="Tahoma" w:hAnsi="Tahoma" w:eastAsia="宋体" w:cs="Tahoma"/>
      <w:kern w:val="2"/>
      <w:sz w:val="21"/>
      <w:szCs w:val="24"/>
      <w:lang w:val="en-US" w:eastAsia="zh-CN" w:bidi="ar"/>
    </w:rPr>
  </w:style>
  <w:style w:type="character" w:customStyle="1" w:styleId="347">
    <w:name w:val="标题 3 Char Char"/>
    <w:semiHidden/>
    <w:qFormat/>
    <w:uiPriority w:val="0"/>
    <w:rPr>
      <w:rFonts w:ascii="Tahoma" w:hAnsi="Tahoma" w:eastAsia="黑体" w:cs="Tahoma"/>
      <w:bCs/>
      <w:kern w:val="2"/>
      <w:sz w:val="24"/>
      <w:szCs w:val="32"/>
      <w:lang w:val="en-US" w:eastAsia="zh-CN" w:bidi="ar-SA"/>
    </w:rPr>
  </w:style>
  <w:style w:type="character" w:customStyle="1" w:styleId="348">
    <w:name w:val="Char Char13"/>
    <w:semiHidden/>
    <w:qFormat/>
    <w:locked/>
    <w:uiPriority w:val="0"/>
    <w:rPr>
      <w:rFonts w:ascii="宋体" w:hAnsi="宋体" w:eastAsia="宋体"/>
      <w:kern w:val="2"/>
      <w:sz w:val="21"/>
      <w:szCs w:val="24"/>
      <w:lang w:val="en-US" w:eastAsia="zh-CN" w:bidi="ar-SA"/>
    </w:rPr>
  </w:style>
  <w:style w:type="character" w:customStyle="1" w:styleId="349">
    <w:name w:val="Char Char"/>
    <w:semiHidden/>
    <w:qFormat/>
    <w:uiPriority w:val="0"/>
    <w:rPr>
      <w:rFonts w:hint="eastAsia" w:ascii="宋体" w:hAnsi="宋体" w:eastAsia="宋体"/>
      <w:spacing w:val="20"/>
      <w:sz w:val="28"/>
      <w:szCs w:val="24"/>
      <w:lang w:val="en-US" w:eastAsia="zh-CN" w:bidi="ar-SA"/>
    </w:rPr>
  </w:style>
  <w:style w:type="character" w:customStyle="1" w:styleId="350">
    <w:name w:val="页眉 Char Char1"/>
    <w:semiHidden/>
    <w:qFormat/>
    <w:uiPriority w:val="0"/>
    <w:rPr>
      <w:sz w:val="18"/>
      <w:szCs w:val="18"/>
    </w:rPr>
  </w:style>
  <w:style w:type="character" w:customStyle="1" w:styleId="351">
    <w:name w:val="标题 9 字符1"/>
    <w:semiHidden/>
    <w:qFormat/>
    <w:uiPriority w:val="0"/>
    <w:rPr>
      <w:rFonts w:ascii="Tahoma" w:hAnsi="Tahoma" w:eastAsia="宋体" w:cs="Tahoma"/>
      <w:kern w:val="2"/>
      <w:sz w:val="24"/>
      <w:szCs w:val="24"/>
      <w:lang w:val="en-US" w:eastAsia="zh-CN" w:bidi="ar-SA"/>
    </w:rPr>
  </w:style>
  <w:style w:type="character" w:customStyle="1" w:styleId="352">
    <w:name w:val="Char Char11"/>
    <w:semiHidden/>
    <w:qFormat/>
    <w:uiPriority w:val="0"/>
    <w:rPr>
      <w:sz w:val="18"/>
      <w:szCs w:val="18"/>
    </w:rPr>
  </w:style>
  <w:style w:type="character" w:customStyle="1" w:styleId="353">
    <w:name w:val="正文首行缩进 2 Char2"/>
    <w:semiHidden/>
    <w:qFormat/>
    <w:uiPriority w:val="0"/>
    <w:rPr>
      <w:rFonts w:hint="default" w:ascii="Tahoma" w:hAnsi="Tahoma" w:eastAsia="宋体" w:cs="Tahoma"/>
      <w:kern w:val="2"/>
      <w:sz w:val="21"/>
      <w:szCs w:val="24"/>
      <w:lang w:val="en-US" w:eastAsia="zh-CN" w:bidi="ar"/>
    </w:rPr>
  </w:style>
  <w:style w:type="character" w:customStyle="1" w:styleId="354">
    <w:name w:val="样式 标题 2 + Times New Roman 四号 非加粗 Char"/>
    <w:link w:val="355"/>
    <w:qFormat/>
    <w:uiPriority w:val="0"/>
    <w:rPr>
      <w:rFonts w:eastAsia="黑体"/>
      <w:b/>
      <w:kern w:val="2"/>
      <w:sz w:val="28"/>
      <w:szCs w:val="28"/>
    </w:rPr>
  </w:style>
  <w:style w:type="paragraph" w:customStyle="1" w:styleId="355">
    <w:name w:val="样式 标题 2 + Times New Roman 四号 非加粗"/>
    <w:basedOn w:val="3"/>
    <w:link w:val="354"/>
    <w:semiHidden/>
    <w:qFormat/>
    <w:uiPriority w:val="0"/>
    <w:pPr>
      <w:adjustRightInd w:val="0"/>
      <w:snapToGrid w:val="0"/>
    </w:pPr>
    <w:rPr>
      <w:b/>
      <w:snapToGrid/>
      <w:kern w:val="2"/>
    </w:rPr>
  </w:style>
  <w:style w:type="character" w:customStyle="1" w:styleId="356">
    <w:name w:val="敦化表格1 Char"/>
    <w:link w:val="357"/>
    <w:qFormat/>
    <w:uiPriority w:val="0"/>
    <w:rPr>
      <w:rFonts w:ascii="宋体" w:hAnsi="MS Shell Dlg 2"/>
      <w:snapToGrid/>
      <w:spacing w:val="2"/>
      <w:szCs w:val="21"/>
      <w:lang w:val="zh-CN"/>
    </w:rPr>
  </w:style>
  <w:style w:type="paragraph" w:customStyle="1" w:styleId="357">
    <w:name w:val="敦化表格1"/>
    <w:basedOn w:val="358"/>
    <w:link w:val="356"/>
    <w:semiHidden/>
    <w:qFormat/>
    <w:uiPriority w:val="0"/>
    <w:pPr>
      <w:spacing w:line="240" w:lineRule="auto"/>
      <w:ind w:firstLine="0"/>
    </w:pPr>
    <w:rPr>
      <w:sz w:val="20"/>
    </w:rPr>
  </w:style>
  <w:style w:type="paragraph" w:customStyle="1" w:styleId="358">
    <w:name w:val="敦化正文样式"/>
    <w:basedOn w:val="1"/>
    <w:link w:val="359"/>
    <w:semiHidden/>
    <w:qFormat/>
    <w:uiPriority w:val="0"/>
    <w:pPr>
      <w:spacing w:line="440" w:lineRule="exact"/>
      <w:ind w:firstLine="454"/>
    </w:pPr>
    <w:rPr>
      <w:rFonts w:ascii="宋体" w:hAnsi="MS Shell Dlg 2"/>
      <w:snapToGrid w:val="0"/>
      <w:spacing w:val="2"/>
      <w:kern w:val="0"/>
      <w:sz w:val="24"/>
      <w:lang w:val="zh-CN"/>
    </w:rPr>
  </w:style>
  <w:style w:type="character" w:customStyle="1" w:styleId="359">
    <w:name w:val="敦化正文样式 Char"/>
    <w:link w:val="358"/>
    <w:qFormat/>
    <w:uiPriority w:val="0"/>
    <w:rPr>
      <w:rFonts w:ascii="宋体" w:hAnsi="MS Shell Dlg 2"/>
      <w:snapToGrid/>
      <w:spacing w:val="2"/>
      <w:sz w:val="24"/>
      <w:szCs w:val="21"/>
      <w:lang w:val="zh-CN"/>
    </w:rPr>
  </w:style>
  <w:style w:type="character" w:customStyle="1" w:styleId="360">
    <w:name w:val="表格内容 Char"/>
    <w:semiHidden/>
    <w:qFormat/>
    <w:uiPriority w:val="0"/>
    <w:rPr>
      <w:rFonts w:ascii="宋体" w:hAnsi="宋体" w:eastAsia="仿宋_GB2312" w:cs="宋体"/>
      <w:bCs/>
      <w:color w:val="000000"/>
      <w:sz w:val="21"/>
      <w:szCs w:val="18"/>
      <w:lang w:val="en-US" w:eastAsia="zh-CN" w:bidi="ar-SA"/>
    </w:rPr>
  </w:style>
  <w:style w:type="character" w:customStyle="1" w:styleId="361">
    <w:name w:val="标题 8 Char2"/>
    <w:semiHidden/>
    <w:qFormat/>
    <w:uiPriority w:val="0"/>
    <w:rPr>
      <w:rFonts w:hint="eastAsia" w:ascii="黑体" w:hAnsi="宋体" w:eastAsia="黑体" w:cs="黑体"/>
      <w:kern w:val="2"/>
      <w:sz w:val="24"/>
      <w:szCs w:val="24"/>
      <w:lang w:val="en-US" w:eastAsia="zh-CN" w:bidi="ar-SA"/>
    </w:rPr>
  </w:style>
  <w:style w:type="character" w:customStyle="1" w:styleId="362">
    <w:name w:val="style15"/>
    <w:semiHidden/>
    <w:qFormat/>
    <w:uiPriority w:val="0"/>
    <w:rPr>
      <w:lang w:val="en-US" w:eastAsia="zh-CN" w:bidi="ar-SA"/>
    </w:rPr>
  </w:style>
  <w:style w:type="character" w:customStyle="1" w:styleId="363">
    <w:name w:val="表标题1 Char"/>
    <w:link w:val="364"/>
    <w:qFormat/>
    <w:uiPriority w:val="0"/>
    <w:rPr>
      <w:rFonts w:eastAsia="宋体" w:cs="宋体"/>
      <w:b/>
      <w:bCs/>
      <w:snapToGrid w:val="0"/>
      <w:sz w:val="24"/>
      <w:lang w:val="en-US" w:eastAsia="zh-CN" w:bidi="ar-SA"/>
    </w:rPr>
  </w:style>
  <w:style w:type="paragraph" w:customStyle="1" w:styleId="364">
    <w:name w:val="表标题1"/>
    <w:basedOn w:val="1"/>
    <w:link w:val="363"/>
    <w:semiHidden/>
    <w:qFormat/>
    <w:uiPriority w:val="0"/>
    <w:pPr>
      <w:widowControl/>
      <w:spacing w:line="460" w:lineRule="exact"/>
      <w:ind w:left="187" w:firstLine="482" w:firstLineChars="200"/>
      <w:jc w:val="center"/>
      <w:textAlignment w:val="baseline"/>
    </w:pPr>
    <w:rPr>
      <w:b/>
      <w:bCs/>
      <w:snapToGrid w:val="0"/>
      <w:kern w:val="0"/>
      <w:sz w:val="24"/>
      <w:szCs w:val="20"/>
    </w:rPr>
  </w:style>
  <w:style w:type="character" w:customStyle="1" w:styleId="365">
    <w:name w:val="样式23 Char"/>
    <w:link w:val="366"/>
    <w:qFormat/>
    <w:uiPriority w:val="0"/>
    <w:rPr>
      <w:rFonts w:eastAsia="黑体"/>
      <w:sz w:val="24"/>
      <w:szCs w:val="24"/>
    </w:rPr>
  </w:style>
  <w:style w:type="paragraph" w:customStyle="1" w:styleId="366">
    <w:name w:val="样式23"/>
    <w:basedOn w:val="1"/>
    <w:link w:val="365"/>
    <w:semiHidden/>
    <w:qFormat/>
    <w:uiPriority w:val="0"/>
    <w:pPr>
      <w:widowControl/>
      <w:adjustRightInd w:val="0"/>
      <w:snapToGrid w:val="0"/>
      <w:spacing w:line="480" w:lineRule="exact"/>
      <w:jc w:val="center"/>
    </w:pPr>
    <w:rPr>
      <w:rFonts w:eastAsia="黑体"/>
      <w:kern w:val="0"/>
      <w:sz w:val="24"/>
    </w:rPr>
  </w:style>
  <w:style w:type="character" w:customStyle="1" w:styleId="367">
    <w:name w:val="正文文本 2 Char"/>
    <w:semiHidden/>
    <w:qFormat/>
    <w:uiPriority w:val="0"/>
    <w:rPr>
      <w:rFonts w:ascii="宋体" w:eastAsia="宋体"/>
      <w:b/>
      <w:bCs/>
      <w:sz w:val="52"/>
      <w:lang w:val="zh-CN" w:bidi="ar-SA"/>
    </w:rPr>
  </w:style>
  <w:style w:type="character" w:customStyle="1" w:styleId="368">
    <w:name w:val="表头 Char Char3"/>
    <w:semiHidden/>
    <w:qFormat/>
    <w:uiPriority w:val="0"/>
    <w:rPr>
      <w:rFonts w:eastAsia="黑体"/>
      <w:bCs/>
      <w:sz w:val="24"/>
      <w:szCs w:val="24"/>
      <w:lang w:val="en-US" w:eastAsia="zh-CN" w:bidi="ar-SA"/>
    </w:rPr>
  </w:style>
  <w:style w:type="character" w:customStyle="1" w:styleId="369">
    <w:name w:val="本文正文 Char"/>
    <w:link w:val="370"/>
    <w:qFormat/>
    <w:uiPriority w:val="0"/>
    <w:rPr>
      <w:sz w:val="24"/>
      <w:szCs w:val="44"/>
    </w:rPr>
  </w:style>
  <w:style w:type="paragraph" w:customStyle="1" w:styleId="370">
    <w:name w:val="本文正文"/>
    <w:basedOn w:val="1"/>
    <w:link w:val="369"/>
    <w:semiHidden/>
    <w:qFormat/>
    <w:uiPriority w:val="0"/>
    <w:pPr>
      <w:tabs>
        <w:tab w:val="left" w:pos="4500"/>
      </w:tabs>
      <w:adjustRightInd w:val="0"/>
      <w:snapToGrid w:val="0"/>
      <w:spacing w:line="460" w:lineRule="exact"/>
      <w:ind w:firstLine="200" w:firstLineChars="200"/>
    </w:pPr>
    <w:rPr>
      <w:kern w:val="0"/>
      <w:sz w:val="24"/>
      <w:szCs w:val="44"/>
    </w:rPr>
  </w:style>
  <w:style w:type="character" w:customStyle="1" w:styleId="371">
    <w:name w:val="批注文字 Char5"/>
    <w:semiHidden/>
    <w:qFormat/>
    <w:uiPriority w:val="99"/>
    <w:rPr>
      <w:rFonts w:ascii="Times New Roman" w:hAnsi="Times New Roman" w:eastAsia="宋体" w:cs="Times New Roman"/>
      <w:szCs w:val="24"/>
    </w:rPr>
  </w:style>
  <w:style w:type="character" w:customStyle="1" w:styleId="372">
    <w:name w:val="表头 Char Char"/>
    <w:semiHidden/>
    <w:qFormat/>
    <w:uiPriority w:val="0"/>
    <w:rPr>
      <w:rFonts w:eastAsia="黑体"/>
      <w:bCs/>
      <w:sz w:val="24"/>
      <w:szCs w:val="24"/>
      <w:lang w:val="en-US" w:eastAsia="zh-CN" w:bidi="ar-SA"/>
    </w:rPr>
  </w:style>
  <w:style w:type="character" w:customStyle="1" w:styleId="373">
    <w:name w:val="标题 9 字符"/>
    <w:semiHidden/>
    <w:qFormat/>
    <w:uiPriority w:val="0"/>
    <w:rPr>
      <w:sz w:val="24"/>
      <w:szCs w:val="24"/>
      <w:lang w:val="zh-CN" w:eastAsia="zh-CN"/>
    </w:rPr>
  </w:style>
  <w:style w:type="character" w:customStyle="1" w:styleId="374">
    <w:name w:val="称呼 Char2"/>
    <w:semiHidden/>
    <w:qFormat/>
    <w:uiPriority w:val="0"/>
    <w:rPr>
      <w:rFonts w:hint="default" w:ascii="Tahoma" w:hAnsi="Tahoma" w:eastAsia="宋体" w:cs="Tahoma"/>
      <w:kern w:val="2"/>
      <w:sz w:val="21"/>
      <w:szCs w:val="24"/>
      <w:lang w:val="en-US" w:eastAsia="zh-CN" w:bidi="ar"/>
    </w:rPr>
  </w:style>
  <w:style w:type="character" w:customStyle="1" w:styleId="375">
    <w:name w:val="标题 字符2"/>
    <w:semiHidden/>
    <w:qFormat/>
    <w:uiPriority w:val="0"/>
    <w:rPr>
      <w:rFonts w:hint="eastAsia" w:ascii="黑体" w:hAnsi="宋体" w:eastAsia="黑体" w:cs="黑体"/>
      <w:kern w:val="2"/>
      <w:sz w:val="36"/>
      <w:szCs w:val="36"/>
      <w:lang w:val="en-US" w:eastAsia="zh-CN" w:bidi="ar-SA"/>
    </w:rPr>
  </w:style>
  <w:style w:type="character" w:customStyle="1" w:styleId="376">
    <w:name w:val="签名 字符1"/>
    <w:semiHidden/>
    <w:qFormat/>
    <w:uiPriority w:val="0"/>
    <w:rPr>
      <w:rFonts w:hint="default" w:ascii="Tahoma" w:hAnsi="Tahoma" w:eastAsia="宋体" w:cs="Tahoma"/>
      <w:kern w:val="2"/>
      <w:sz w:val="21"/>
      <w:szCs w:val="24"/>
      <w:lang w:val="en-US" w:eastAsia="zh-CN" w:bidi="ar"/>
    </w:rPr>
  </w:style>
  <w:style w:type="character" w:customStyle="1" w:styleId="377">
    <w:name w:val="Char Char17"/>
    <w:semiHidden/>
    <w:qFormat/>
    <w:uiPriority w:val="0"/>
    <w:rPr>
      <w:rFonts w:ascii="Times New Roman" w:hAnsi="Times New Roman" w:eastAsia="黑体"/>
      <w:bCs/>
      <w:sz w:val="24"/>
      <w:szCs w:val="28"/>
    </w:rPr>
  </w:style>
  <w:style w:type="character" w:customStyle="1" w:styleId="378">
    <w:name w:val="正文文本 2 字符"/>
    <w:semiHidden/>
    <w:qFormat/>
    <w:uiPriority w:val="0"/>
    <w:rPr>
      <w:rFonts w:ascii="宋体"/>
      <w:b/>
      <w:bCs/>
      <w:sz w:val="52"/>
      <w:lang w:val="zh-CN" w:eastAsia="zh-CN"/>
    </w:rPr>
  </w:style>
  <w:style w:type="character" w:customStyle="1" w:styleId="379">
    <w:name w:val="标题 Char"/>
    <w:semiHidden/>
    <w:qFormat/>
    <w:uiPriority w:val="0"/>
    <w:rPr>
      <w:rFonts w:eastAsia="黑体"/>
      <w:sz w:val="36"/>
      <w:szCs w:val="36"/>
      <w:lang w:val="en-US" w:eastAsia="zh-CN" w:bidi="ar-SA"/>
    </w:rPr>
  </w:style>
  <w:style w:type="character" w:customStyle="1" w:styleId="380">
    <w:name w:val="Char Char51"/>
    <w:semiHidden/>
    <w:qFormat/>
    <w:locked/>
    <w:uiPriority w:val="0"/>
    <w:rPr>
      <w:rFonts w:ascii="Arial" w:hAnsi="Arial" w:eastAsia="宋体" w:cs="Arial"/>
      <w:b/>
      <w:bCs/>
      <w:kern w:val="28"/>
      <w:sz w:val="32"/>
      <w:szCs w:val="32"/>
      <w:lang w:val="en-US" w:eastAsia="zh-CN" w:bidi="ar-SA"/>
    </w:rPr>
  </w:style>
  <w:style w:type="character" w:customStyle="1" w:styleId="381">
    <w:name w:val="正文文本 3 Char2"/>
    <w:semiHidden/>
    <w:qFormat/>
    <w:uiPriority w:val="0"/>
    <w:rPr>
      <w:rFonts w:hint="default" w:ascii="Tahoma" w:hAnsi="Tahoma" w:eastAsia="宋体" w:cs="Tahoma"/>
      <w:kern w:val="2"/>
      <w:sz w:val="16"/>
      <w:szCs w:val="16"/>
      <w:lang w:val="en-US" w:eastAsia="zh-CN" w:bidi="ar"/>
    </w:rPr>
  </w:style>
  <w:style w:type="character" w:customStyle="1" w:styleId="382">
    <w:name w:val="Char Char23"/>
    <w:semiHidden/>
    <w:qFormat/>
    <w:uiPriority w:val="0"/>
    <w:rPr>
      <w:rFonts w:eastAsia="黑体"/>
      <w:kern w:val="2"/>
      <w:sz w:val="28"/>
      <w:szCs w:val="28"/>
      <w:lang w:val="en-US" w:eastAsia="zh-CN" w:bidi="ar-SA"/>
    </w:rPr>
  </w:style>
  <w:style w:type="character" w:customStyle="1" w:styleId="383">
    <w:name w:val="页眉 Char5"/>
    <w:semiHidden/>
    <w:qFormat/>
    <w:uiPriority w:val="0"/>
    <w:rPr>
      <w:rFonts w:ascii="Tahoma" w:hAnsi="Tahoma" w:eastAsia="宋体" w:cs="Tahoma"/>
      <w:kern w:val="2"/>
      <w:sz w:val="18"/>
      <w:szCs w:val="18"/>
      <w:lang w:val="en-US" w:eastAsia="zh-CN" w:bidi="ar-SA"/>
    </w:rPr>
  </w:style>
  <w:style w:type="character" w:customStyle="1" w:styleId="384">
    <w:name w:val="注释标题 字符2"/>
    <w:semiHidden/>
    <w:qFormat/>
    <w:uiPriority w:val="0"/>
    <w:rPr>
      <w:rFonts w:ascii="Tahoma" w:hAnsi="Tahoma" w:eastAsia="宋体" w:cs="Tahoma"/>
      <w:kern w:val="2"/>
      <w:sz w:val="21"/>
      <w:szCs w:val="24"/>
      <w:lang w:val="en-US" w:eastAsia="zh-CN" w:bidi="ar-SA"/>
    </w:rPr>
  </w:style>
  <w:style w:type="character" w:customStyle="1" w:styleId="385">
    <w:name w:val="信息标题 字符2"/>
    <w:semiHidden/>
    <w:qFormat/>
    <w:uiPriority w:val="0"/>
    <w:rPr>
      <w:rFonts w:hint="default" w:ascii="Arial" w:hAnsi="Arial" w:eastAsia="宋体" w:cs="Arial"/>
      <w:kern w:val="2"/>
      <w:sz w:val="24"/>
      <w:szCs w:val="24"/>
      <w:shd w:val="pct20" w:color="auto" w:fill="auto"/>
      <w:lang w:val="en-US" w:eastAsia="zh-CN" w:bidi="ar-SA"/>
    </w:rPr>
  </w:style>
  <w:style w:type="character" w:customStyle="1" w:styleId="386">
    <w:name w:val="标题 8 字符1"/>
    <w:semiHidden/>
    <w:qFormat/>
    <w:uiPriority w:val="0"/>
    <w:rPr>
      <w:rFonts w:hint="eastAsia" w:ascii="黑体" w:hAnsi="宋体" w:eastAsia="黑体" w:cs="黑体"/>
      <w:kern w:val="2"/>
      <w:sz w:val="24"/>
      <w:szCs w:val="24"/>
      <w:lang w:val="en-US" w:eastAsia="zh-CN" w:bidi="ar-SA"/>
    </w:rPr>
  </w:style>
  <w:style w:type="character" w:customStyle="1" w:styleId="387">
    <w:name w:val="日期 Char5"/>
    <w:semiHidden/>
    <w:qFormat/>
    <w:uiPriority w:val="99"/>
    <w:rPr>
      <w:rFonts w:ascii="Times New Roman" w:hAnsi="Times New Roman" w:eastAsia="宋体" w:cs="Times New Roman"/>
      <w:szCs w:val="24"/>
    </w:rPr>
  </w:style>
  <w:style w:type="character" w:customStyle="1" w:styleId="388">
    <w:name w:val="Char Char20"/>
    <w:semiHidden/>
    <w:qFormat/>
    <w:locked/>
    <w:uiPriority w:val="0"/>
    <w:rPr>
      <w:lang w:val="en-US" w:eastAsia="zh-CN" w:bidi="ar-SA"/>
    </w:rPr>
  </w:style>
  <w:style w:type="character" w:customStyle="1" w:styleId="389">
    <w:name w:val="样式11 Char Char"/>
    <w:semiHidden/>
    <w:qFormat/>
    <w:uiPriority w:val="0"/>
    <w:rPr>
      <w:rFonts w:ascii="Times New Roman" w:hAnsi="Times New Roman" w:eastAsia="华文中宋" w:cs="Times New Roman"/>
      <w:bCs/>
      <w:sz w:val="24"/>
      <w:szCs w:val="28"/>
    </w:rPr>
  </w:style>
  <w:style w:type="character" w:customStyle="1" w:styleId="390">
    <w:name w:val="正文缩进 Char3"/>
    <w:semiHidden/>
    <w:qFormat/>
    <w:uiPriority w:val="0"/>
    <w:rPr>
      <w:rFonts w:ascii="Tahoma" w:hAnsi="Tahoma" w:eastAsia="宋体" w:cs="Tahoma"/>
      <w:kern w:val="2"/>
      <w:sz w:val="21"/>
      <w:szCs w:val="24"/>
      <w:lang w:val="en-US" w:eastAsia="zh-CN" w:bidi="ar-SA"/>
    </w:rPr>
  </w:style>
  <w:style w:type="character" w:customStyle="1" w:styleId="391">
    <w:name w:val="txtcontent11"/>
    <w:semiHidden/>
    <w:qFormat/>
    <w:uiPriority w:val="0"/>
    <w:rPr>
      <w:rFonts w:hint="default" w:ascii="ˎ̥" w:hAnsi="ˎ̥"/>
      <w:color w:val="000000"/>
      <w:sz w:val="21"/>
      <w:szCs w:val="21"/>
    </w:rPr>
  </w:style>
  <w:style w:type="character" w:customStyle="1" w:styleId="392">
    <w:name w:val="标题 字符1"/>
    <w:semiHidden/>
    <w:qFormat/>
    <w:uiPriority w:val="0"/>
    <w:rPr>
      <w:rFonts w:hint="default" w:ascii="等线 Light" w:hAnsi="等线 Light" w:eastAsia="等线 Light" w:cs="Times New Roman"/>
      <w:b/>
      <w:kern w:val="2"/>
      <w:sz w:val="32"/>
      <w:szCs w:val="32"/>
      <w:lang w:val="en-US" w:eastAsia="zh-CN" w:bidi="ar"/>
    </w:rPr>
  </w:style>
  <w:style w:type="character" w:customStyle="1" w:styleId="393">
    <w:name w:val="正文文本 字符"/>
    <w:semiHidden/>
    <w:qFormat/>
    <w:uiPriority w:val="0"/>
    <w:rPr>
      <w:kern w:val="2"/>
      <w:sz w:val="21"/>
      <w:szCs w:val="24"/>
    </w:rPr>
  </w:style>
  <w:style w:type="character" w:customStyle="1" w:styleId="394">
    <w:name w:val="NormalCharacter"/>
    <w:semiHidden/>
    <w:qFormat/>
    <w:uiPriority w:val="0"/>
    <w:rPr>
      <w:kern w:val="2"/>
      <w:sz w:val="21"/>
      <w:szCs w:val="24"/>
      <w:lang w:val="en-US" w:eastAsia="zh-CN" w:bidi="ar-SA"/>
    </w:rPr>
  </w:style>
  <w:style w:type="character" w:customStyle="1" w:styleId="395">
    <w:name w:val="标题 Char2"/>
    <w:semiHidden/>
    <w:qFormat/>
    <w:uiPriority w:val="0"/>
    <w:rPr>
      <w:rFonts w:hint="default" w:ascii="Calibri Light" w:hAnsi="Calibri Light" w:eastAsia="宋体" w:cs="Times New Roman"/>
      <w:b/>
      <w:kern w:val="2"/>
      <w:sz w:val="32"/>
      <w:szCs w:val="32"/>
      <w:lang w:val="en-US" w:eastAsia="zh-CN" w:bidi="ar"/>
    </w:rPr>
  </w:style>
  <w:style w:type="character" w:customStyle="1" w:styleId="396">
    <w:name w:val="正文文本首行缩进 字符"/>
    <w:link w:val="397"/>
    <w:qFormat/>
    <w:uiPriority w:val="0"/>
    <w:rPr>
      <w:kern w:val="2"/>
      <w:sz w:val="21"/>
      <w:szCs w:val="24"/>
    </w:rPr>
  </w:style>
  <w:style w:type="paragraph" w:customStyle="1" w:styleId="397">
    <w:name w:val="2"/>
    <w:basedOn w:val="1"/>
    <w:next w:val="1"/>
    <w:link w:val="396"/>
    <w:semiHidden/>
    <w:qFormat/>
    <w:uiPriority w:val="0"/>
    <w:pPr>
      <w:ind w:left="2520" w:leftChars="1200"/>
    </w:pPr>
  </w:style>
  <w:style w:type="character" w:customStyle="1" w:styleId="398">
    <w:name w:val="信息标题 Char2"/>
    <w:semiHidden/>
    <w:qFormat/>
    <w:uiPriority w:val="0"/>
    <w:rPr>
      <w:rFonts w:hint="default" w:ascii="Calibri Light" w:hAnsi="Calibri Light" w:eastAsia="宋体" w:cs="Times New Roman"/>
      <w:kern w:val="2"/>
      <w:sz w:val="24"/>
      <w:szCs w:val="24"/>
      <w:shd w:val="pct20" w:color="auto" w:fill="auto"/>
      <w:lang w:val="en-US" w:eastAsia="zh-CN" w:bidi="ar"/>
    </w:rPr>
  </w:style>
  <w:style w:type="character" w:customStyle="1" w:styleId="399">
    <w:name w:val="font21"/>
    <w:semiHidden/>
    <w:qFormat/>
    <w:uiPriority w:val="0"/>
    <w:rPr>
      <w:rFonts w:hint="default" w:ascii="Times New Roman" w:hAnsi="Times New Roman" w:eastAsia="宋体" w:cs="Times New Roman"/>
      <w:color w:val="000000"/>
      <w:kern w:val="2"/>
      <w:sz w:val="21"/>
      <w:szCs w:val="21"/>
      <w:u w:val="none"/>
      <w:lang w:val="en-US" w:eastAsia="zh-CN" w:bidi="ar-SA"/>
    </w:rPr>
  </w:style>
  <w:style w:type="character" w:customStyle="1" w:styleId="400">
    <w:name w:val="图表样式 字符"/>
    <w:link w:val="401"/>
    <w:qFormat/>
    <w:uiPriority w:val="0"/>
    <w:rPr>
      <w:rFonts w:eastAsia="仿宋_GB2312"/>
      <w:sz w:val="24"/>
      <w:szCs w:val="24"/>
    </w:rPr>
  </w:style>
  <w:style w:type="paragraph" w:customStyle="1" w:styleId="401">
    <w:name w:val="图表样式"/>
    <w:basedOn w:val="1"/>
    <w:next w:val="1"/>
    <w:link w:val="400"/>
    <w:semiHidden/>
    <w:qFormat/>
    <w:uiPriority w:val="0"/>
    <w:pPr>
      <w:widowControl/>
      <w:adjustRightInd w:val="0"/>
      <w:snapToGrid w:val="0"/>
      <w:jc w:val="center"/>
    </w:pPr>
    <w:rPr>
      <w:rFonts w:eastAsia="仿宋_GB2312"/>
      <w:kern w:val="0"/>
      <w:sz w:val="24"/>
    </w:rPr>
  </w:style>
  <w:style w:type="character" w:customStyle="1" w:styleId="402">
    <w:name w:val="样式14 Char"/>
    <w:semiHidden/>
    <w:qFormat/>
    <w:uiPriority w:val="0"/>
    <w:rPr>
      <w:rFonts w:eastAsia="黑体" w:cs="Calibri"/>
      <w:kern w:val="2"/>
      <w:sz w:val="24"/>
      <w:szCs w:val="22"/>
      <w:lang w:val="en-US" w:eastAsia="zh-CN" w:bidi="ar-SA"/>
    </w:rPr>
  </w:style>
  <w:style w:type="character" w:customStyle="1" w:styleId="403">
    <w:name w:val="称呼 字符2"/>
    <w:semiHidden/>
    <w:qFormat/>
    <w:uiPriority w:val="0"/>
    <w:rPr>
      <w:rFonts w:ascii="Tahoma" w:hAnsi="Tahoma" w:eastAsia="宋体" w:cs="Tahoma"/>
      <w:kern w:val="2"/>
      <w:sz w:val="21"/>
      <w:szCs w:val="24"/>
      <w:lang w:val="en-US" w:eastAsia="zh-CN" w:bidi="ar-SA"/>
    </w:rPr>
  </w:style>
  <w:style w:type="character" w:customStyle="1" w:styleId="404">
    <w:name w:val="尾注文本 字符1"/>
    <w:semiHidden/>
    <w:qFormat/>
    <w:uiPriority w:val="0"/>
    <w:rPr>
      <w:rFonts w:hint="default" w:ascii="Tahoma" w:hAnsi="Tahoma" w:eastAsia="宋体" w:cs="Tahoma"/>
      <w:kern w:val="2"/>
      <w:sz w:val="21"/>
      <w:szCs w:val="24"/>
      <w:lang w:val="en-US" w:eastAsia="zh-CN" w:bidi="ar"/>
    </w:rPr>
  </w:style>
  <w:style w:type="character" w:customStyle="1" w:styleId="405">
    <w:name w:val="批注文字 字符"/>
    <w:semiHidden/>
    <w:qFormat/>
    <w:uiPriority w:val="99"/>
    <w:rPr>
      <w:rFonts w:hint="eastAsia" w:ascii="宋体" w:hAnsi="宋体" w:eastAsia="宋体" w:cs="宋体"/>
      <w:kern w:val="2"/>
      <w:sz w:val="21"/>
      <w:szCs w:val="24"/>
      <w:lang w:val="en-US" w:eastAsia="zh-CN" w:bidi="ar"/>
    </w:rPr>
  </w:style>
  <w:style w:type="character" w:customStyle="1" w:styleId="406">
    <w:name w:val="正文文本 2 字符2"/>
    <w:semiHidden/>
    <w:qFormat/>
    <w:uiPriority w:val="0"/>
    <w:rPr>
      <w:rFonts w:hint="eastAsia" w:ascii="宋体" w:hAnsi="宋体" w:eastAsia="宋体" w:cs="宋体"/>
      <w:b/>
      <w:kern w:val="2"/>
      <w:sz w:val="52"/>
      <w:szCs w:val="24"/>
      <w:lang w:val="zh-CN" w:eastAsia="zh-CN" w:bidi="ar-SA"/>
    </w:rPr>
  </w:style>
  <w:style w:type="character" w:customStyle="1" w:styleId="407">
    <w:name w:val="标题4 Char"/>
    <w:link w:val="408"/>
    <w:qFormat/>
    <w:uiPriority w:val="0"/>
    <w:rPr>
      <w:b/>
      <w:kern w:val="2"/>
      <w:sz w:val="24"/>
    </w:rPr>
  </w:style>
  <w:style w:type="paragraph" w:customStyle="1" w:styleId="408">
    <w:name w:val="标题4"/>
    <w:basedOn w:val="1"/>
    <w:next w:val="1"/>
    <w:link w:val="407"/>
    <w:semiHidden/>
    <w:qFormat/>
    <w:uiPriority w:val="0"/>
    <w:pPr>
      <w:spacing w:line="360" w:lineRule="auto"/>
    </w:pPr>
    <w:rPr>
      <w:b/>
      <w:sz w:val="24"/>
      <w:szCs w:val="20"/>
    </w:rPr>
  </w:style>
  <w:style w:type="character" w:customStyle="1" w:styleId="409">
    <w:name w:val="文档结构图 Char1"/>
    <w:semiHidden/>
    <w:qFormat/>
    <w:uiPriority w:val="0"/>
    <w:rPr>
      <w:rFonts w:ascii="仿宋_GB2312" w:hAnsi="Times New Roman" w:eastAsia="仿宋体" w:cs="Times New Roman"/>
      <w:snapToGrid w:val="0"/>
      <w:kern w:val="0"/>
      <w:sz w:val="24"/>
      <w:szCs w:val="20"/>
      <w:shd w:val="clear" w:color="auto" w:fill="000080"/>
    </w:rPr>
  </w:style>
  <w:style w:type="character" w:customStyle="1" w:styleId="410">
    <w:name w:val="页眉 字符1"/>
    <w:semiHidden/>
    <w:qFormat/>
    <w:uiPriority w:val="0"/>
    <w:rPr>
      <w:rFonts w:hint="default" w:ascii="Tahoma" w:hAnsi="Tahoma" w:eastAsia="宋体" w:cs="Tahoma"/>
      <w:kern w:val="2"/>
      <w:sz w:val="18"/>
      <w:szCs w:val="18"/>
      <w:lang w:val="en-US" w:eastAsia="zh-CN" w:bidi="ar"/>
    </w:rPr>
  </w:style>
  <w:style w:type="character" w:customStyle="1" w:styleId="411">
    <w:name w:val="信息标题 字符"/>
    <w:semiHidden/>
    <w:qFormat/>
    <w:uiPriority w:val="0"/>
    <w:rPr>
      <w:rFonts w:ascii="Arial" w:hAnsi="Arial"/>
      <w:kern w:val="2"/>
      <w:sz w:val="24"/>
      <w:szCs w:val="24"/>
      <w:shd w:val="pct20" w:color="auto" w:fill="auto"/>
      <w:lang w:val="zh-CN" w:eastAsia="zh-CN"/>
    </w:rPr>
  </w:style>
  <w:style w:type="character" w:customStyle="1" w:styleId="412">
    <w:name w:val="脚注文本 字符2"/>
    <w:semiHidden/>
    <w:qFormat/>
    <w:uiPriority w:val="0"/>
    <w:rPr>
      <w:rFonts w:ascii="Tahoma" w:hAnsi="Tahoma" w:eastAsia="宋体" w:cs="Tahoma"/>
      <w:kern w:val="2"/>
      <w:sz w:val="18"/>
      <w:szCs w:val="18"/>
      <w:lang w:val="en-US" w:eastAsia="zh-CN" w:bidi="ar-SA"/>
    </w:rPr>
  </w:style>
  <w:style w:type="character" w:customStyle="1" w:styleId="413">
    <w:name w:val="结束语 Char3"/>
    <w:semiHidden/>
    <w:qFormat/>
    <w:uiPriority w:val="0"/>
    <w:rPr>
      <w:rFonts w:ascii="Tahoma" w:hAnsi="Tahoma" w:eastAsia="宋体" w:cs="Tahoma"/>
      <w:kern w:val="2"/>
      <w:sz w:val="21"/>
      <w:szCs w:val="24"/>
      <w:lang w:val="en-US" w:eastAsia="zh-CN" w:bidi="ar-SA"/>
    </w:rPr>
  </w:style>
  <w:style w:type="character" w:customStyle="1" w:styleId="414">
    <w:name w:val="Char Char53"/>
    <w:semiHidden/>
    <w:qFormat/>
    <w:locked/>
    <w:uiPriority w:val="0"/>
    <w:rPr>
      <w:rFonts w:ascii="Arial" w:hAnsi="Arial" w:eastAsia="宋体" w:cs="Arial"/>
      <w:b/>
      <w:bCs/>
      <w:kern w:val="28"/>
      <w:sz w:val="32"/>
      <w:szCs w:val="32"/>
      <w:lang w:val="en-US" w:eastAsia="zh-CN" w:bidi="ar-SA"/>
    </w:rPr>
  </w:style>
  <w:style w:type="character" w:customStyle="1" w:styleId="415">
    <w:name w:val="标题 7 字符"/>
    <w:semiHidden/>
    <w:qFormat/>
    <w:uiPriority w:val="0"/>
    <w:rPr>
      <w:rFonts w:eastAsia="黑体"/>
      <w:bCs/>
      <w:color w:val="000000"/>
      <w:kern w:val="2"/>
      <w:sz w:val="24"/>
      <w:szCs w:val="24"/>
      <w:lang w:val="zh-CN" w:eastAsia="zh-CN" w:bidi="ar-SA"/>
    </w:rPr>
  </w:style>
  <w:style w:type="character" w:customStyle="1" w:styleId="416">
    <w:name w:val="样式 标题 3 + (西文) Times New Roman1 Char"/>
    <w:link w:val="417"/>
    <w:qFormat/>
    <w:uiPriority w:val="0"/>
    <w:rPr>
      <w:rFonts w:eastAsia="黑体"/>
      <w:bCs/>
      <w:sz w:val="24"/>
      <w:szCs w:val="24"/>
      <w:lang w:bidi="ar-SA"/>
    </w:rPr>
  </w:style>
  <w:style w:type="paragraph" w:customStyle="1" w:styleId="417">
    <w:name w:val="样式 标题 3 + (西文) Times New Roman1"/>
    <w:basedOn w:val="4"/>
    <w:link w:val="416"/>
    <w:semiHidden/>
    <w:qFormat/>
    <w:uiPriority w:val="0"/>
    <w:pPr>
      <w:adjustRightInd w:val="0"/>
      <w:snapToGrid w:val="0"/>
      <w:textAlignment w:val="baseline"/>
    </w:pPr>
    <w:rPr>
      <w:bCs/>
      <w:snapToGrid/>
    </w:rPr>
  </w:style>
  <w:style w:type="character" w:customStyle="1" w:styleId="418">
    <w:name w:val="标题 字符"/>
    <w:semiHidden/>
    <w:qFormat/>
    <w:uiPriority w:val="0"/>
    <w:rPr>
      <w:rFonts w:eastAsia="黑体"/>
      <w:sz w:val="36"/>
      <w:szCs w:val="36"/>
    </w:rPr>
  </w:style>
  <w:style w:type="character" w:customStyle="1" w:styleId="419">
    <w:name w:val="t_tag"/>
    <w:semiHidden/>
    <w:qFormat/>
    <w:uiPriority w:val="0"/>
    <w:rPr>
      <w:lang w:val="en-US" w:eastAsia="zh-CN" w:bidi="ar-SA"/>
    </w:rPr>
  </w:style>
  <w:style w:type="character" w:customStyle="1" w:styleId="420">
    <w:name w:val="标题 4 字符1"/>
    <w:semiHidden/>
    <w:qFormat/>
    <w:uiPriority w:val="0"/>
    <w:rPr>
      <w:rFonts w:ascii="Tahoma" w:hAnsi="Tahoma" w:eastAsia="宋体" w:cs="Tahoma"/>
      <w:bCs/>
      <w:kern w:val="2"/>
      <w:sz w:val="24"/>
      <w:szCs w:val="24"/>
      <w:lang w:val="en-US" w:eastAsia="zh-CN" w:bidi="ar-SA"/>
    </w:rPr>
  </w:style>
  <w:style w:type="character" w:customStyle="1" w:styleId="421">
    <w:name w:val="标题 1 Char Char"/>
    <w:semiHidden/>
    <w:qFormat/>
    <w:uiPriority w:val="0"/>
    <w:rPr>
      <w:rFonts w:eastAsia="黑体"/>
      <w:bCs/>
      <w:kern w:val="44"/>
      <w:sz w:val="32"/>
      <w:szCs w:val="32"/>
      <w:lang w:val="en-US" w:eastAsia="zh-CN" w:bidi="ar-SA"/>
    </w:rPr>
  </w:style>
  <w:style w:type="character" w:customStyle="1" w:styleId="422">
    <w:name w:val="正文文本首行缩进 2 字符"/>
    <w:semiHidden/>
    <w:qFormat/>
    <w:uiPriority w:val="0"/>
    <w:rPr>
      <w:rFonts w:ascii="仿宋_GB2312" w:eastAsia="仿宋_GB2312"/>
      <w:kern w:val="2"/>
      <w:sz w:val="21"/>
      <w:szCs w:val="24"/>
      <w:lang w:val="zh-CN" w:eastAsia="zh-CN"/>
    </w:rPr>
  </w:style>
  <w:style w:type="character" w:customStyle="1" w:styleId="423">
    <w:name w:val="页脚 Char4"/>
    <w:semiHidden/>
    <w:qFormat/>
    <w:uiPriority w:val="0"/>
    <w:rPr>
      <w:rFonts w:ascii="Tahoma" w:hAnsi="Tahoma" w:eastAsia="宋体" w:cs="Tahoma"/>
      <w:kern w:val="2"/>
      <w:sz w:val="18"/>
      <w:szCs w:val="18"/>
      <w:lang w:val="en-US" w:eastAsia="zh-CN" w:bidi="ar-SA"/>
    </w:rPr>
  </w:style>
  <w:style w:type="character" w:customStyle="1" w:styleId="424">
    <w:name w:val="Char Char161"/>
    <w:semiHidden/>
    <w:qFormat/>
    <w:locked/>
    <w:uiPriority w:val="0"/>
    <w:rPr>
      <w:rFonts w:ascii="宋体" w:hAnsi="宋体" w:eastAsia="宋体"/>
      <w:kern w:val="2"/>
      <w:sz w:val="21"/>
      <w:szCs w:val="24"/>
      <w:lang w:val="en-US" w:eastAsia="zh-CN" w:bidi="ar-SA"/>
    </w:rPr>
  </w:style>
  <w:style w:type="character" w:customStyle="1" w:styleId="425">
    <w:name w:val="标题 3 Char Char2"/>
    <w:semiHidden/>
    <w:qFormat/>
    <w:uiPriority w:val="0"/>
    <w:rPr>
      <w:rFonts w:eastAsia="黑体"/>
      <w:bCs/>
      <w:snapToGrid w:val="0"/>
      <w:sz w:val="24"/>
      <w:szCs w:val="24"/>
      <w:lang w:val="en-US" w:eastAsia="zh-CN" w:bidi="ar-SA"/>
    </w:rPr>
  </w:style>
  <w:style w:type="character" w:customStyle="1" w:styleId="426">
    <w:name w:val="脚注文本 Char3"/>
    <w:semiHidden/>
    <w:qFormat/>
    <w:uiPriority w:val="0"/>
    <w:rPr>
      <w:rFonts w:ascii="Tahoma" w:hAnsi="Tahoma" w:eastAsia="宋体" w:cs="Tahoma"/>
      <w:kern w:val="2"/>
      <w:sz w:val="18"/>
      <w:szCs w:val="18"/>
      <w:lang w:val="en-US" w:eastAsia="zh-CN" w:bidi="ar-SA"/>
    </w:rPr>
  </w:style>
  <w:style w:type="character" w:customStyle="1" w:styleId="427">
    <w:name w:val="正文文本缩进 3 Char3"/>
    <w:semiHidden/>
    <w:qFormat/>
    <w:uiPriority w:val="0"/>
    <w:rPr>
      <w:rFonts w:ascii="Tahoma" w:hAnsi="Tahoma" w:eastAsia="宋体" w:cs="Tahoma"/>
      <w:kern w:val="2"/>
      <w:sz w:val="16"/>
      <w:szCs w:val="16"/>
      <w:lang w:val="en-US" w:eastAsia="zh-CN" w:bidi="ar-SA"/>
    </w:rPr>
  </w:style>
  <w:style w:type="character" w:customStyle="1" w:styleId="428">
    <w:name w:val="Char Char10"/>
    <w:semiHidden/>
    <w:qFormat/>
    <w:locked/>
    <w:uiPriority w:val="0"/>
    <w:rPr>
      <w:rFonts w:ascii="宋体" w:hAnsi="宋体" w:eastAsia="宋体"/>
      <w:kern w:val="2"/>
      <w:sz w:val="21"/>
      <w:szCs w:val="24"/>
      <w:lang w:val="en-US" w:eastAsia="zh-CN" w:bidi="ar-SA"/>
    </w:rPr>
  </w:style>
  <w:style w:type="character" w:customStyle="1" w:styleId="429">
    <w:name w:val="表 Char Char"/>
    <w:semiHidden/>
    <w:qFormat/>
    <w:uiPriority w:val="0"/>
    <w:rPr>
      <w:rFonts w:ascii="Arial" w:hAnsi="Arial" w:eastAsia="黑体"/>
      <w:color w:val="000000"/>
      <w:kern w:val="2"/>
      <w:sz w:val="21"/>
    </w:rPr>
  </w:style>
  <w:style w:type="character" w:customStyle="1" w:styleId="430">
    <w:name w:val="正文文本缩进 2 Char4"/>
    <w:semiHidden/>
    <w:qFormat/>
    <w:uiPriority w:val="99"/>
    <w:rPr>
      <w:rFonts w:ascii="Times New Roman" w:hAnsi="Times New Roman" w:eastAsia="宋体" w:cs="Times New Roman"/>
      <w:szCs w:val="24"/>
    </w:rPr>
  </w:style>
  <w:style w:type="character" w:customStyle="1" w:styleId="431">
    <w:name w:val="批注框文本 Char4"/>
    <w:semiHidden/>
    <w:qFormat/>
    <w:uiPriority w:val="0"/>
    <w:rPr>
      <w:rFonts w:ascii="Tahoma" w:hAnsi="Tahoma" w:eastAsia="宋体" w:cs="Tahoma"/>
      <w:kern w:val="2"/>
      <w:sz w:val="18"/>
      <w:szCs w:val="18"/>
      <w:lang w:val="en-US" w:eastAsia="zh-CN" w:bidi="ar-SA"/>
    </w:rPr>
  </w:style>
  <w:style w:type="character" w:customStyle="1" w:styleId="432">
    <w:name w:val="005 级标题 字符"/>
    <w:link w:val="433"/>
    <w:qFormat/>
    <w:uiPriority w:val="0"/>
  </w:style>
  <w:style w:type="paragraph" w:customStyle="1" w:styleId="433">
    <w:name w:val="005 级标题"/>
    <w:basedOn w:val="434"/>
    <w:link w:val="432"/>
    <w:semiHidden/>
    <w:qFormat/>
    <w:uiPriority w:val="0"/>
    <w:pPr>
      <w:outlineLvl w:val="4"/>
    </w:pPr>
  </w:style>
  <w:style w:type="paragraph" w:customStyle="1" w:styleId="434">
    <w:name w:val="004 级标题"/>
    <w:link w:val="435"/>
    <w:semiHidden/>
    <w:qFormat/>
    <w:uiPriority w:val="0"/>
    <w:pPr>
      <w:spacing w:line="460" w:lineRule="exact"/>
      <w:outlineLvl w:val="3"/>
    </w:pPr>
    <w:rPr>
      <w:rFonts w:ascii="Times New Roman" w:hAnsi="Times New Roman" w:eastAsia="宋体" w:cs="Times New Roman"/>
      <w:kern w:val="2"/>
      <w:sz w:val="24"/>
      <w:lang w:val="en-US" w:eastAsia="zh-CN" w:bidi="ar-SA"/>
    </w:rPr>
  </w:style>
  <w:style w:type="character" w:customStyle="1" w:styleId="435">
    <w:name w:val="004 级标题 字符"/>
    <w:link w:val="434"/>
    <w:qFormat/>
    <w:uiPriority w:val="0"/>
  </w:style>
  <w:style w:type="character" w:customStyle="1" w:styleId="436">
    <w:name w:val="Char Char30"/>
    <w:semiHidden/>
    <w:qFormat/>
    <w:uiPriority w:val="0"/>
    <w:rPr>
      <w:rFonts w:ascii="宋体" w:eastAsia="宋体"/>
      <w:spacing w:val="20"/>
      <w:sz w:val="28"/>
      <w:szCs w:val="24"/>
      <w:lang w:val="en-US" w:eastAsia="zh-CN" w:bidi="ar-SA"/>
    </w:rPr>
  </w:style>
  <w:style w:type="character" w:customStyle="1" w:styleId="437">
    <w:name w:val="Char Char14"/>
    <w:semiHidden/>
    <w:qFormat/>
    <w:locked/>
    <w:uiPriority w:val="0"/>
    <w:rPr>
      <w:rFonts w:ascii="宋体" w:hAnsi="宋体" w:eastAsia="宋体"/>
      <w:kern w:val="2"/>
      <w:sz w:val="18"/>
      <w:szCs w:val="18"/>
      <w:lang w:val="en-US" w:eastAsia="zh-CN" w:bidi="ar-SA"/>
    </w:rPr>
  </w:style>
  <w:style w:type="character" w:customStyle="1" w:styleId="438">
    <w:name w:val="批注主题 字符"/>
    <w:semiHidden/>
    <w:qFormat/>
    <w:uiPriority w:val="99"/>
    <w:rPr>
      <w:b/>
      <w:bCs/>
    </w:rPr>
  </w:style>
  <w:style w:type="character" w:customStyle="1" w:styleId="439">
    <w:name w:val="Char Char171"/>
    <w:semiHidden/>
    <w:qFormat/>
    <w:locked/>
    <w:uiPriority w:val="0"/>
    <w:rPr>
      <w:rFonts w:eastAsia="黑体"/>
      <w:kern w:val="2"/>
      <w:sz w:val="24"/>
      <w:szCs w:val="21"/>
      <w:lang w:val="en-US" w:eastAsia="zh-CN" w:bidi="ar-SA"/>
    </w:rPr>
  </w:style>
  <w:style w:type="character" w:customStyle="1" w:styleId="440">
    <w:name w:val="纯文本 Char4"/>
    <w:semiHidden/>
    <w:qFormat/>
    <w:uiPriority w:val="0"/>
    <w:rPr>
      <w:rFonts w:hint="eastAsia" w:ascii="宋体" w:hAnsi="Courier New" w:eastAsia="宋体" w:cs="宋体"/>
      <w:kern w:val="2"/>
      <w:sz w:val="21"/>
      <w:szCs w:val="21"/>
      <w:lang w:val="en-US" w:eastAsia="zh-CN" w:bidi="ar-SA"/>
    </w:rPr>
  </w:style>
  <w:style w:type="character" w:customStyle="1" w:styleId="441">
    <w:name w:val="结束语 Char"/>
    <w:semiHidden/>
    <w:qFormat/>
    <w:uiPriority w:val="0"/>
    <w:rPr>
      <w:rFonts w:eastAsia="宋体"/>
      <w:kern w:val="2"/>
      <w:sz w:val="21"/>
      <w:szCs w:val="24"/>
      <w:lang w:bidi="ar-SA"/>
    </w:rPr>
  </w:style>
  <w:style w:type="character" w:customStyle="1" w:styleId="442">
    <w:name w:val="Char Char104"/>
    <w:semiHidden/>
    <w:qFormat/>
    <w:uiPriority w:val="0"/>
    <w:rPr>
      <w:rFonts w:eastAsia="黑体"/>
      <w:bCs/>
      <w:sz w:val="24"/>
      <w:szCs w:val="24"/>
      <w:lang w:val="en-US" w:eastAsia="zh-CN" w:bidi="ar-SA"/>
    </w:rPr>
  </w:style>
  <w:style w:type="character" w:customStyle="1" w:styleId="443">
    <w:name w:val="称呼 字符"/>
    <w:semiHidden/>
    <w:qFormat/>
    <w:uiPriority w:val="0"/>
    <w:rPr>
      <w:kern w:val="2"/>
      <w:sz w:val="21"/>
      <w:szCs w:val="24"/>
      <w:lang w:val="zh-CN" w:eastAsia="zh-CN"/>
    </w:rPr>
  </w:style>
  <w:style w:type="character" w:customStyle="1" w:styleId="444">
    <w:name w:val="正文文本 Char2"/>
    <w:semiHidden/>
    <w:qFormat/>
    <w:uiPriority w:val="0"/>
    <w:rPr>
      <w:rFonts w:ascii="Times New Roman" w:hAnsi="Times New Roman" w:eastAsia="宋体" w:cs="Times New Roman"/>
      <w:szCs w:val="24"/>
    </w:rPr>
  </w:style>
  <w:style w:type="character" w:customStyle="1" w:styleId="445">
    <w:name w:val="Char Char28"/>
    <w:semiHidden/>
    <w:qFormat/>
    <w:uiPriority w:val="0"/>
    <w:rPr>
      <w:kern w:val="2"/>
      <w:sz w:val="18"/>
      <w:szCs w:val="18"/>
    </w:rPr>
  </w:style>
  <w:style w:type="character" w:customStyle="1" w:styleId="446">
    <w:name w:val="样式14 字符"/>
    <w:link w:val="447"/>
    <w:qFormat/>
    <w:uiPriority w:val="0"/>
    <w:rPr>
      <w:rFonts w:eastAsia="黑体"/>
      <w:kern w:val="2"/>
      <w:sz w:val="24"/>
      <w:szCs w:val="22"/>
    </w:rPr>
  </w:style>
  <w:style w:type="paragraph" w:customStyle="1" w:styleId="447">
    <w:name w:val="样式14"/>
    <w:basedOn w:val="448"/>
    <w:link w:val="446"/>
    <w:semiHidden/>
    <w:qFormat/>
    <w:uiPriority w:val="0"/>
    <w:pPr>
      <w:adjustRightInd w:val="0"/>
      <w:spacing w:before="0" w:beforeLines="0" w:after="0" w:afterLines="0" w:line="480" w:lineRule="exact"/>
    </w:pPr>
  </w:style>
  <w:style w:type="paragraph" w:customStyle="1" w:styleId="448">
    <w:name w:val="图名"/>
    <w:basedOn w:val="1"/>
    <w:link w:val="449"/>
    <w:qFormat/>
    <w:uiPriority w:val="0"/>
    <w:pPr>
      <w:snapToGrid w:val="0"/>
      <w:spacing w:before="120" w:beforeLines="50" w:after="120" w:afterLines="50"/>
      <w:jc w:val="center"/>
    </w:pPr>
    <w:rPr>
      <w:rFonts w:eastAsia="黑体"/>
      <w:sz w:val="24"/>
      <w:szCs w:val="22"/>
    </w:rPr>
  </w:style>
  <w:style w:type="character" w:customStyle="1" w:styleId="449">
    <w:name w:val="图名 Char"/>
    <w:link w:val="448"/>
    <w:qFormat/>
    <w:uiPriority w:val="0"/>
    <w:rPr>
      <w:rFonts w:eastAsia="黑体"/>
      <w:kern w:val="2"/>
      <w:sz w:val="24"/>
      <w:szCs w:val="22"/>
    </w:rPr>
  </w:style>
  <w:style w:type="character" w:customStyle="1" w:styleId="450">
    <w:name w:val="Char Char22"/>
    <w:semiHidden/>
    <w:qFormat/>
    <w:uiPriority w:val="0"/>
    <w:rPr>
      <w:rFonts w:hint="eastAsia" w:ascii="黑体" w:eastAsia="黑体"/>
      <w:bCs/>
      <w:snapToGrid w:val="0"/>
      <w:sz w:val="24"/>
      <w:szCs w:val="24"/>
      <w:lang w:val="en-US" w:eastAsia="zh-CN" w:bidi="ar-SA"/>
    </w:rPr>
  </w:style>
  <w:style w:type="character" w:customStyle="1" w:styleId="451">
    <w:name w:val="HTML 预设格式 Char3"/>
    <w:semiHidden/>
    <w:qFormat/>
    <w:uiPriority w:val="0"/>
    <w:rPr>
      <w:rFonts w:hint="default" w:ascii="Courier New" w:hAnsi="Courier New" w:eastAsia="宋体" w:cs="Courier New"/>
      <w:kern w:val="2"/>
      <w:sz w:val="24"/>
      <w:szCs w:val="24"/>
      <w:lang w:val="en-US" w:eastAsia="zh-CN" w:bidi="ar-SA"/>
    </w:rPr>
  </w:style>
  <w:style w:type="character" w:customStyle="1" w:styleId="452">
    <w:name w:val="Char Char15"/>
    <w:semiHidden/>
    <w:qFormat/>
    <w:locked/>
    <w:uiPriority w:val="0"/>
    <w:rPr>
      <w:rFonts w:ascii="宋体" w:hAnsi="宋体" w:eastAsia="宋体"/>
      <w:kern w:val="2"/>
      <w:sz w:val="21"/>
      <w:szCs w:val="24"/>
      <w:lang w:val="en-US" w:eastAsia="zh-CN" w:bidi="ar-SA"/>
    </w:rPr>
  </w:style>
  <w:style w:type="character" w:customStyle="1" w:styleId="453">
    <w:name w:val="正文文本缩进 Char1"/>
    <w:semiHidden/>
    <w:qFormat/>
    <w:uiPriority w:val="0"/>
    <w:rPr>
      <w:rFonts w:hint="eastAsia" w:ascii="仿宋_GB2312" w:hAnsi="Tahoma" w:eastAsia="仿宋_GB2312" w:cs="仿宋_GB2312"/>
      <w:kern w:val="2"/>
      <w:sz w:val="28"/>
      <w:szCs w:val="24"/>
      <w:lang w:val="en-US" w:eastAsia="zh-CN" w:bidi="ar-SA"/>
    </w:rPr>
  </w:style>
  <w:style w:type="character" w:customStyle="1" w:styleId="454">
    <w:name w:val="ourfont21"/>
    <w:semiHidden/>
    <w:qFormat/>
    <w:uiPriority w:val="0"/>
    <w:rPr>
      <w:spacing w:val="220"/>
      <w:sz w:val="18"/>
      <w:szCs w:val="18"/>
    </w:rPr>
  </w:style>
  <w:style w:type="character" w:customStyle="1" w:styleId="455">
    <w:name w:val="纯文本 字符"/>
    <w:semiHidden/>
    <w:qFormat/>
    <w:uiPriority w:val="99"/>
    <w:rPr>
      <w:rFonts w:ascii="等线" w:hAnsi="Courier New" w:eastAsia="宋体" w:cs="Courier New"/>
      <w:kern w:val="2"/>
      <w:sz w:val="24"/>
      <w:szCs w:val="24"/>
      <w:lang w:val="en-US" w:eastAsia="zh-CN" w:bidi="ar-SA"/>
    </w:rPr>
  </w:style>
  <w:style w:type="character" w:customStyle="1" w:styleId="456">
    <w:name w:val="页眉 字符2"/>
    <w:semiHidden/>
    <w:qFormat/>
    <w:uiPriority w:val="0"/>
    <w:rPr>
      <w:rFonts w:ascii="Tahoma" w:hAnsi="Tahoma" w:eastAsia="宋体" w:cs="Tahoma"/>
      <w:kern w:val="2"/>
      <w:sz w:val="18"/>
      <w:szCs w:val="18"/>
      <w:lang w:val="en-US" w:eastAsia="zh-CN" w:bidi="ar-SA"/>
    </w:rPr>
  </w:style>
  <w:style w:type="character" w:customStyle="1" w:styleId="457">
    <w:name w:val="ourfont2"/>
    <w:semiHidden/>
    <w:qFormat/>
    <w:uiPriority w:val="0"/>
    <w:rPr>
      <w:lang w:val="en-US" w:eastAsia="zh-CN" w:bidi="ar-SA"/>
    </w:rPr>
  </w:style>
  <w:style w:type="character" w:customStyle="1" w:styleId="458">
    <w:name w:val="批注框文本 字符1"/>
    <w:semiHidden/>
    <w:qFormat/>
    <w:uiPriority w:val="0"/>
    <w:rPr>
      <w:rFonts w:hint="default" w:ascii="Tahoma" w:hAnsi="Tahoma" w:eastAsia="宋体" w:cs="Tahoma"/>
      <w:kern w:val="2"/>
      <w:sz w:val="18"/>
      <w:szCs w:val="18"/>
      <w:lang w:val="en-US" w:eastAsia="zh-CN" w:bidi="ar"/>
    </w:rPr>
  </w:style>
  <w:style w:type="character" w:customStyle="1" w:styleId="459">
    <w:name w:val="批注主题 Char4"/>
    <w:semiHidden/>
    <w:qFormat/>
    <w:uiPriority w:val="99"/>
    <w:rPr>
      <w:rFonts w:ascii="Times New Roman" w:hAnsi="Times New Roman" w:eastAsia="宋体" w:cs="Times New Roman"/>
      <w:b/>
      <w:bCs/>
      <w:szCs w:val="24"/>
    </w:rPr>
  </w:style>
  <w:style w:type="character" w:customStyle="1" w:styleId="460">
    <w:name w:val="页眉 Char4"/>
    <w:semiHidden/>
    <w:qFormat/>
    <w:uiPriority w:val="0"/>
    <w:rPr>
      <w:rFonts w:ascii="Tahoma" w:hAnsi="Tahoma" w:eastAsia="宋体" w:cs="Tahoma"/>
      <w:kern w:val="2"/>
      <w:sz w:val="18"/>
      <w:szCs w:val="18"/>
      <w:lang w:val="en-US" w:eastAsia="zh-CN" w:bidi="ar-SA"/>
    </w:rPr>
  </w:style>
  <w:style w:type="character" w:customStyle="1" w:styleId="461">
    <w:name w:val="表头 Char Char1"/>
    <w:semiHidden/>
    <w:qFormat/>
    <w:uiPriority w:val="0"/>
    <w:rPr>
      <w:rFonts w:eastAsia="黑体"/>
      <w:bCs/>
      <w:sz w:val="24"/>
      <w:szCs w:val="24"/>
      <w:lang w:val="en-US" w:eastAsia="zh-CN" w:bidi="ar-SA"/>
    </w:rPr>
  </w:style>
  <w:style w:type="character" w:customStyle="1" w:styleId="462">
    <w:name w:val="尾注文本 Char3"/>
    <w:semiHidden/>
    <w:qFormat/>
    <w:uiPriority w:val="0"/>
    <w:rPr>
      <w:rFonts w:ascii="Tahoma" w:hAnsi="Tahoma" w:eastAsia="宋体" w:cs="Tahoma"/>
      <w:kern w:val="2"/>
      <w:sz w:val="21"/>
      <w:szCs w:val="24"/>
      <w:lang w:val="en-US" w:eastAsia="zh-CN" w:bidi="ar-SA"/>
    </w:rPr>
  </w:style>
  <w:style w:type="character" w:customStyle="1" w:styleId="463">
    <w:name w:val="副标题 Char"/>
    <w:semiHidden/>
    <w:qFormat/>
    <w:uiPriority w:val="0"/>
    <w:rPr>
      <w:rFonts w:ascii="Cambria" w:hAnsi="Cambria" w:eastAsia="宋体"/>
      <w:b/>
      <w:bCs/>
      <w:kern w:val="28"/>
      <w:sz w:val="32"/>
      <w:szCs w:val="32"/>
      <w:lang w:bidi="ar-SA"/>
    </w:rPr>
  </w:style>
  <w:style w:type="character" w:customStyle="1" w:styleId="464">
    <w:name w:val="正文文本 3 Char"/>
    <w:semiHidden/>
    <w:qFormat/>
    <w:uiPriority w:val="0"/>
    <w:rPr>
      <w:rFonts w:eastAsia="宋体"/>
      <w:kern w:val="2"/>
      <w:sz w:val="16"/>
      <w:szCs w:val="16"/>
      <w:lang w:bidi="ar-SA"/>
    </w:rPr>
  </w:style>
  <w:style w:type="character" w:customStyle="1" w:styleId="465">
    <w:name w:val="Char Char103"/>
    <w:semiHidden/>
    <w:qFormat/>
    <w:locked/>
    <w:uiPriority w:val="0"/>
    <w:rPr>
      <w:rFonts w:ascii="宋体" w:hAnsi="宋体" w:eastAsia="宋体"/>
      <w:kern w:val="2"/>
      <w:sz w:val="21"/>
      <w:szCs w:val="24"/>
      <w:lang w:val="en-US" w:eastAsia="zh-CN" w:bidi="ar-SA"/>
    </w:rPr>
  </w:style>
  <w:style w:type="character" w:customStyle="1" w:styleId="466">
    <w:name w:val="样式 表格内容 + Times New Roman Char"/>
    <w:semiHidden/>
    <w:qFormat/>
    <w:uiPriority w:val="0"/>
    <w:rPr>
      <w:rFonts w:ascii="宋体" w:hAnsi="宋体" w:eastAsia="宋体" w:cs="宋体"/>
      <w:bCs/>
      <w:color w:val="000000"/>
      <w:kern w:val="2"/>
      <w:sz w:val="21"/>
      <w:szCs w:val="28"/>
      <w:lang w:val="en-US" w:eastAsia="zh-CN" w:bidi="ar-SA"/>
    </w:rPr>
  </w:style>
  <w:style w:type="character" w:customStyle="1" w:styleId="467">
    <w:name w:val="HTML 预设格式 字符"/>
    <w:semiHidden/>
    <w:qFormat/>
    <w:uiPriority w:val="0"/>
    <w:rPr>
      <w:rFonts w:ascii="Courier New" w:hAnsi="Courier New"/>
      <w:kern w:val="2"/>
      <w:lang w:val="zh-CN" w:eastAsia="zh-CN"/>
    </w:rPr>
  </w:style>
  <w:style w:type="character" w:customStyle="1" w:styleId="468">
    <w:name w:val="f241"/>
    <w:semiHidden/>
    <w:qFormat/>
    <w:uiPriority w:val="0"/>
    <w:rPr>
      <w:sz w:val="36"/>
      <w:szCs w:val="36"/>
    </w:rPr>
  </w:style>
  <w:style w:type="character" w:customStyle="1" w:styleId="469">
    <w:name w:val="样式1 Char"/>
    <w:link w:val="470"/>
    <w:qFormat/>
    <w:uiPriority w:val="0"/>
    <w:rPr>
      <w:b/>
      <w:kern w:val="2"/>
      <w:sz w:val="30"/>
      <w:szCs w:val="24"/>
    </w:rPr>
  </w:style>
  <w:style w:type="paragraph" w:customStyle="1" w:styleId="470">
    <w:name w:val="样式1"/>
    <w:basedOn w:val="77"/>
    <w:link w:val="469"/>
    <w:semiHidden/>
    <w:qFormat/>
    <w:uiPriority w:val="0"/>
    <w:pPr>
      <w:spacing w:after="0"/>
      <w:ind w:firstLine="200" w:firstLineChars="200"/>
    </w:pPr>
    <w:rPr>
      <w:b/>
      <w:sz w:val="30"/>
    </w:rPr>
  </w:style>
  <w:style w:type="character" w:customStyle="1" w:styleId="471">
    <w:name w:val="签名 Char2"/>
    <w:semiHidden/>
    <w:qFormat/>
    <w:uiPriority w:val="0"/>
    <w:rPr>
      <w:rFonts w:hint="default" w:ascii="Tahoma" w:hAnsi="Tahoma" w:eastAsia="宋体" w:cs="Tahoma"/>
      <w:kern w:val="2"/>
      <w:sz w:val="21"/>
      <w:szCs w:val="24"/>
      <w:lang w:val="en-US" w:eastAsia="zh-CN" w:bidi="ar"/>
    </w:rPr>
  </w:style>
  <w:style w:type="character" w:customStyle="1" w:styleId="472">
    <w:name w:val="HTML 地址 字符2"/>
    <w:semiHidden/>
    <w:qFormat/>
    <w:uiPriority w:val="0"/>
    <w:rPr>
      <w:rFonts w:ascii="Tahoma" w:hAnsi="Tahoma" w:eastAsia="宋体" w:cs="Tahoma"/>
      <w:i/>
      <w:kern w:val="2"/>
      <w:sz w:val="21"/>
      <w:szCs w:val="24"/>
      <w:lang w:val="en-US" w:eastAsia="zh-CN" w:bidi="ar-SA"/>
    </w:rPr>
  </w:style>
  <w:style w:type="character" w:customStyle="1" w:styleId="473">
    <w:name w:val="电子邮件签名 字符2"/>
    <w:semiHidden/>
    <w:qFormat/>
    <w:uiPriority w:val="0"/>
    <w:rPr>
      <w:rFonts w:ascii="Tahoma" w:hAnsi="Tahoma" w:eastAsia="宋体" w:cs="Tahoma"/>
      <w:kern w:val="2"/>
      <w:sz w:val="21"/>
      <w:szCs w:val="24"/>
      <w:lang w:val="en-US" w:eastAsia="zh-CN" w:bidi="ar-SA"/>
    </w:rPr>
  </w:style>
  <w:style w:type="character" w:customStyle="1" w:styleId="474">
    <w:name w:val="Char Char192"/>
    <w:semiHidden/>
    <w:qFormat/>
    <w:locked/>
    <w:uiPriority w:val="0"/>
    <w:rPr>
      <w:rFonts w:ascii="Arial" w:hAnsi="Arial" w:eastAsia="宋体"/>
      <w:b/>
      <w:bCs/>
      <w:kern w:val="2"/>
      <w:sz w:val="24"/>
      <w:szCs w:val="24"/>
      <w:lang w:val="en-US" w:eastAsia="zh-CN" w:bidi="ar-SA"/>
    </w:rPr>
  </w:style>
  <w:style w:type="character" w:customStyle="1" w:styleId="475">
    <w:name w:val="样式 标题 3 + 小三 Char"/>
    <w:semiHidden/>
    <w:qFormat/>
    <w:uiPriority w:val="0"/>
    <w:rPr>
      <w:lang w:val="en-US" w:eastAsia="zh-CN" w:bidi="ar-SA"/>
    </w:rPr>
  </w:style>
  <w:style w:type="character" w:customStyle="1" w:styleId="476">
    <w:name w:val="HTML 地址 Char2"/>
    <w:semiHidden/>
    <w:qFormat/>
    <w:uiPriority w:val="0"/>
    <w:rPr>
      <w:rFonts w:hint="default" w:ascii="Tahoma" w:hAnsi="Tahoma" w:eastAsia="宋体" w:cs="Tahoma"/>
      <w:i/>
      <w:kern w:val="2"/>
      <w:sz w:val="21"/>
      <w:szCs w:val="24"/>
      <w:lang w:val="en-US" w:eastAsia="zh-CN" w:bidi="ar"/>
    </w:rPr>
  </w:style>
  <w:style w:type="character" w:customStyle="1" w:styleId="477">
    <w:name w:val="信息标题 Char3"/>
    <w:semiHidden/>
    <w:qFormat/>
    <w:uiPriority w:val="0"/>
    <w:rPr>
      <w:rFonts w:hint="default" w:ascii="Arial" w:hAnsi="Arial" w:eastAsia="宋体" w:cs="Arial"/>
      <w:kern w:val="2"/>
      <w:sz w:val="24"/>
      <w:szCs w:val="24"/>
      <w:shd w:val="pct20" w:color="auto" w:fill="auto"/>
      <w:lang w:val="en-US" w:eastAsia="zh-CN" w:bidi="ar-SA"/>
    </w:rPr>
  </w:style>
  <w:style w:type="character" w:customStyle="1" w:styleId="478">
    <w:name w:val="标题 4 Char Char Char5"/>
    <w:semiHidden/>
    <w:qFormat/>
    <w:uiPriority w:val="0"/>
    <w:rPr>
      <w:rFonts w:ascii="Arial" w:hAnsi="Arial" w:eastAsia="黑体"/>
      <w:b/>
      <w:bCs/>
      <w:kern w:val="2"/>
      <w:sz w:val="28"/>
      <w:szCs w:val="28"/>
      <w:lang w:val="en-US" w:eastAsia="zh-CN" w:bidi="ar-SA"/>
    </w:rPr>
  </w:style>
  <w:style w:type="character" w:customStyle="1" w:styleId="479">
    <w:name w:val="标题 1 Char1"/>
    <w:semiHidden/>
    <w:qFormat/>
    <w:uiPriority w:val="0"/>
    <w:rPr>
      <w:rFonts w:ascii="Calibri" w:hAnsi="Calibri" w:eastAsia="黑体" w:cs="Times New Roman"/>
      <w:bCs/>
      <w:kern w:val="44"/>
      <w:sz w:val="32"/>
      <w:szCs w:val="44"/>
    </w:rPr>
  </w:style>
  <w:style w:type="character" w:customStyle="1" w:styleId="480">
    <w:name w:val="脚注文本 Char"/>
    <w:semiHidden/>
    <w:qFormat/>
    <w:uiPriority w:val="0"/>
    <w:rPr>
      <w:rFonts w:eastAsia="宋体"/>
      <w:kern w:val="2"/>
      <w:sz w:val="18"/>
      <w:szCs w:val="18"/>
      <w:lang w:bidi="ar-SA"/>
    </w:rPr>
  </w:style>
  <w:style w:type="character" w:customStyle="1" w:styleId="481">
    <w:name w:val="页眉 字符"/>
    <w:semiHidden/>
    <w:qFormat/>
    <w:uiPriority w:val="99"/>
    <w:rPr>
      <w:sz w:val="18"/>
      <w:szCs w:val="18"/>
    </w:rPr>
  </w:style>
  <w:style w:type="character" w:customStyle="1" w:styleId="482">
    <w:name w:val="脚注文本 Char4"/>
    <w:semiHidden/>
    <w:qFormat/>
    <w:uiPriority w:val="99"/>
    <w:rPr>
      <w:rFonts w:ascii="Times New Roman" w:hAnsi="Times New Roman" w:eastAsia="宋体" w:cs="Times New Roman"/>
      <w:sz w:val="18"/>
      <w:szCs w:val="18"/>
    </w:rPr>
  </w:style>
  <w:style w:type="character" w:customStyle="1" w:styleId="483">
    <w:name w:val="注释标题 Char3"/>
    <w:semiHidden/>
    <w:qFormat/>
    <w:uiPriority w:val="0"/>
    <w:rPr>
      <w:rFonts w:ascii="Tahoma" w:hAnsi="Tahoma" w:eastAsia="宋体" w:cs="Tahoma"/>
      <w:kern w:val="2"/>
      <w:sz w:val="21"/>
      <w:szCs w:val="24"/>
      <w:lang w:val="en-US" w:eastAsia="zh-CN" w:bidi="ar-SA"/>
    </w:rPr>
  </w:style>
  <w:style w:type="character" w:customStyle="1" w:styleId="484">
    <w:name w:val="HTML 地址 Char"/>
    <w:semiHidden/>
    <w:qFormat/>
    <w:uiPriority w:val="0"/>
    <w:rPr>
      <w:rFonts w:eastAsia="宋体"/>
      <w:i/>
      <w:iCs/>
      <w:kern w:val="2"/>
      <w:sz w:val="21"/>
      <w:szCs w:val="24"/>
      <w:lang w:bidi="ar-SA"/>
    </w:rPr>
  </w:style>
  <w:style w:type="character" w:customStyle="1" w:styleId="485">
    <w:name w:val="正文首行缩进 2 字符"/>
    <w:semiHidden/>
    <w:qFormat/>
    <w:uiPriority w:val="0"/>
    <w:rPr>
      <w:rFonts w:ascii="仿宋_GB2312" w:eastAsia="仿宋_GB2312"/>
      <w:kern w:val="2"/>
      <w:sz w:val="21"/>
      <w:szCs w:val="24"/>
      <w:lang w:val="zh-CN" w:eastAsia="zh-CN"/>
    </w:rPr>
  </w:style>
  <w:style w:type="character" w:customStyle="1" w:styleId="486">
    <w:name w:val="Char Char121"/>
    <w:semiHidden/>
    <w:qFormat/>
    <w:locked/>
    <w:uiPriority w:val="0"/>
    <w:rPr>
      <w:rFonts w:ascii="宋体" w:hAnsi="宋体" w:eastAsia="宋体"/>
      <w:spacing w:val="20"/>
      <w:sz w:val="28"/>
      <w:szCs w:val="24"/>
      <w:lang w:val="en-US" w:eastAsia="zh-CN" w:bidi="ar-SA"/>
    </w:rPr>
  </w:style>
  <w:style w:type="character" w:customStyle="1" w:styleId="487">
    <w:name w:val="页眉 Char"/>
    <w:semiHidden/>
    <w:qFormat/>
    <w:uiPriority w:val="99"/>
    <w:rPr>
      <w:rFonts w:eastAsia="宋体"/>
      <w:kern w:val="2"/>
      <w:sz w:val="18"/>
      <w:szCs w:val="18"/>
      <w:lang w:val="en-US" w:eastAsia="zh-CN" w:bidi="ar-SA"/>
    </w:rPr>
  </w:style>
  <w:style w:type="character" w:customStyle="1" w:styleId="488">
    <w:name w:val="普通文字 Char Char C"/>
    <w:semiHidden/>
    <w:qFormat/>
    <w:uiPriority w:val="0"/>
    <w:rPr>
      <w:rFonts w:ascii="宋体" w:hAnsi="Courier New" w:eastAsia="宋体"/>
      <w:kern w:val="2"/>
      <w:sz w:val="21"/>
      <w:szCs w:val="21"/>
      <w:lang w:val="en-US" w:eastAsia="zh-CN" w:bidi="ar-SA"/>
    </w:rPr>
  </w:style>
  <w:style w:type="character" w:customStyle="1" w:styleId="489">
    <w:name w:val="标题 3 Char"/>
    <w:semiHidden/>
    <w:qFormat/>
    <w:uiPriority w:val="9"/>
    <w:rPr>
      <w:rFonts w:eastAsia="宋体"/>
      <w:b/>
      <w:bCs/>
      <w:sz w:val="28"/>
      <w:szCs w:val="32"/>
      <w:lang w:val="en-US" w:eastAsia="zh-CN" w:bidi="ar-SA"/>
    </w:rPr>
  </w:style>
  <w:style w:type="character" w:customStyle="1" w:styleId="490">
    <w:name w:val="注释标题 字符1"/>
    <w:semiHidden/>
    <w:qFormat/>
    <w:uiPriority w:val="0"/>
    <w:rPr>
      <w:rFonts w:hint="default" w:ascii="Tahoma" w:hAnsi="Tahoma" w:eastAsia="宋体" w:cs="Tahoma"/>
      <w:kern w:val="2"/>
      <w:sz w:val="21"/>
      <w:szCs w:val="24"/>
      <w:lang w:val="en-US" w:eastAsia="zh-CN" w:bidi="ar"/>
    </w:rPr>
  </w:style>
  <w:style w:type="character" w:customStyle="1" w:styleId="491">
    <w:name w:val="结束语 Char4"/>
    <w:semiHidden/>
    <w:qFormat/>
    <w:uiPriority w:val="99"/>
    <w:rPr>
      <w:rFonts w:ascii="Times New Roman" w:hAnsi="Times New Roman" w:eastAsia="宋体" w:cs="Times New Roman"/>
      <w:szCs w:val="24"/>
    </w:rPr>
  </w:style>
  <w:style w:type="character" w:customStyle="1" w:styleId="492">
    <w:name w:val="p11"/>
    <w:semiHidden/>
    <w:qFormat/>
    <w:uiPriority w:val="0"/>
    <w:rPr>
      <w:lang w:val="en-US" w:eastAsia="zh-CN" w:bidi="ar-SA"/>
    </w:rPr>
  </w:style>
  <w:style w:type="character" w:customStyle="1" w:styleId="493">
    <w:name w:val="Char Char193"/>
    <w:semiHidden/>
    <w:qFormat/>
    <w:locked/>
    <w:uiPriority w:val="0"/>
    <w:rPr>
      <w:rFonts w:ascii="Arial" w:hAnsi="Arial" w:eastAsia="宋体"/>
      <w:b/>
      <w:bCs/>
      <w:kern w:val="2"/>
      <w:sz w:val="24"/>
      <w:szCs w:val="24"/>
      <w:lang w:val="en-US" w:eastAsia="zh-CN" w:bidi="ar-SA"/>
    </w:rPr>
  </w:style>
  <w:style w:type="character" w:customStyle="1" w:styleId="494">
    <w:name w:val="lh22px"/>
    <w:semiHidden/>
    <w:qFormat/>
    <w:uiPriority w:val="0"/>
  </w:style>
  <w:style w:type="character" w:customStyle="1" w:styleId="495">
    <w:name w:val="样式 标题 1 + 黑体 小三 非加粗 Char"/>
    <w:link w:val="496"/>
    <w:qFormat/>
    <w:uiPriority w:val="0"/>
    <w:rPr>
      <w:rFonts w:eastAsia="黑体"/>
      <w:b/>
      <w:kern w:val="44"/>
      <w:sz w:val="32"/>
      <w:szCs w:val="32"/>
    </w:rPr>
  </w:style>
  <w:style w:type="paragraph" w:customStyle="1" w:styleId="496">
    <w:name w:val="样式 标题 1 + 黑体 小三 非加粗"/>
    <w:basedOn w:val="2"/>
    <w:link w:val="495"/>
    <w:semiHidden/>
    <w:qFormat/>
    <w:uiPriority w:val="0"/>
    <w:rPr>
      <w:b/>
      <w:bCs w:val="0"/>
      <w:snapToGrid/>
      <w:kern w:val="44"/>
    </w:rPr>
  </w:style>
  <w:style w:type="character" w:customStyle="1" w:styleId="497">
    <w:name w:val="正文文本缩进 2 字符1"/>
    <w:semiHidden/>
    <w:qFormat/>
    <w:uiPriority w:val="0"/>
    <w:rPr>
      <w:rFonts w:hint="default" w:ascii="Tahoma" w:hAnsi="Tahoma" w:eastAsia="宋体" w:cs="Tahoma"/>
      <w:kern w:val="2"/>
      <w:sz w:val="21"/>
      <w:szCs w:val="24"/>
      <w:lang w:val="en-US" w:eastAsia="zh-CN" w:bidi="ar"/>
    </w:rPr>
  </w:style>
  <w:style w:type="character" w:customStyle="1" w:styleId="498">
    <w:name w:val="Char Char174"/>
    <w:semiHidden/>
    <w:qFormat/>
    <w:locked/>
    <w:uiPriority w:val="0"/>
    <w:rPr>
      <w:rFonts w:eastAsia="黑体"/>
      <w:kern w:val="2"/>
      <w:sz w:val="24"/>
      <w:szCs w:val="21"/>
      <w:lang w:val="en-US" w:eastAsia="zh-CN" w:bidi="ar-SA"/>
    </w:rPr>
  </w:style>
  <w:style w:type="character" w:customStyle="1" w:styleId="499">
    <w:name w:val="Char Char243"/>
    <w:semiHidden/>
    <w:qFormat/>
    <w:uiPriority w:val="0"/>
    <w:rPr>
      <w:rFonts w:hint="eastAsia" w:ascii="黑体" w:eastAsia="黑体"/>
      <w:kern w:val="44"/>
      <w:sz w:val="32"/>
      <w:szCs w:val="32"/>
      <w:lang w:val="en-US" w:eastAsia="zh-CN" w:bidi="ar-SA"/>
    </w:rPr>
  </w:style>
  <w:style w:type="character" w:customStyle="1" w:styleId="500">
    <w:name w:val="Char Char184"/>
    <w:semiHidden/>
    <w:qFormat/>
    <w:locked/>
    <w:uiPriority w:val="0"/>
    <w:rPr>
      <w:rFonts w:ascii="Arial" w:hAnsi="Arial" w:eastAsia="黑体"/>
      <w:kern w:val="2"/>
      <w:sz w:val="24"/>
      <w:szCs w:val="24"/>
      <w:lang w:val="en-US" w:eastAsia="zh-CN" w:bidi="ar-SA"/>
    </w:rPr>
  </w:style>
  <w:style w:type="character" w:customStyle="1" w:styleId="501">
    <w:name w:val="Char Char9"/>
    <w:semiHidden/>
    <w:qFormat/>
    <w:locked/>
    <w:uiPriority w:val="0"/>
    <w:rPr>
      <w:rFonts w:ascii="宋体" w:hAnsi="宋体" w:eastAsia="宋体"/>
      <w:kern w:val="2"/>
      <w:sz w:val="18"/>
      <w:szCs w:val="18"/>
      <w:lang w:val="en-US" w:eastAsia="zh-CN" w:bidi="ar-SA"/>
    </w:rPr>
  </w:style>
  <w:style w:type="character" w:customStyle="1" w:styleId="502">
    <w:name w:val="Char Char224"/>
    <w:semiHidden/>
    <w:qFormat/>
    <w:uiPriority w:val="0"/>
    <w:rPr>
      <w:rFonts w:eastAsia="黑体"/>
      <w:bCs/>
      <w:snapToGrid w:val="0"/>
      <w:sz w:val="24"/>
      <w:szCs w:val="24"/>
      <w:lang w:val="en-US" w:eastAsia="zh-CN" w:bidi="ar-SA"/>
    </w:rPr>
  </w:style>
  <w:style w:type="character" w:customStyle="1" w:styleId="503">
    <w:name w:val="页眉 Char3"/>
    <w:semiHidden/>
    <w:qFormat/>
    <w:uiPriority w:val="0"/>
    <w:rPr>
      <w:rFonts w:hint="default" w:ascii="Tahoma" w:hAnsi="Tahoma" w:eastAsia="宋体" w:cs="Tahoma"/>
      <w:kern w:val="2"/>
      <w:sz w:val="18"/>
      <w:szCs w:val="18"/>
      <w:lang w:val="en-US" w:eastAsia="zh-CN" w:bidi="ar"/>
    </w:rPr>
  </w:style>
  <w:style w:type="character" w:customStyle="1" w:styleId="504">
    <w:name w:val="称呼 Char3"/>
    <w:semiHidden/>
    <w:qFormat/>
    <w:uiPriority w:val="0"/>
    <w:rPr>
      <w:rFonts w:ascii="Tahoma" w:hAnsi="Tahoma" w:eastAsia="宋体" w:cs="Tahoma"/>
      <w:kern w:val="2"/>
      <w:sz w:val="21"/>
      <w:szCs w:val="24"/>
      <w:lang w:val="en-US" w:eastAsia="zh-CN" w:bidi="ar-SA"/>
    </w:rPr>
  </w:style>
  <w:style w:type="character" w:customStyle="1" w:styleId="505">
    <w:name w:val="批注框文本 字符"/>
    <w:semiHidden/>
    <w:qFormat/>
    <w:uiPriority w:val="99"/>
    <w:rPr>
      <w:rFonts w:ascii="Calibri" w:hAnsi="Calibri" w:eastAsia="宋体" w:cs="Times New Roman"/>
      <w:sz w:val="18"/>
      <w:szCs w:val="18"/>
    </w:rPr>
  </w:style>
  <w:style w:type="character" w:customStyle="1" w:styleId="506">
    <w:name w:val="尾注文本 Char2"/>
    <w:semiHidden/>
    <w:qFormat/>
    <w:uiPriority w:val="0"/>
    <w:rPr>
      <w:rFonts w:hint="default" w:ascii="Tahoma" w:hAnsi="Tahoma" w:eastAsia="宋体" w:cs="Tahoma"/>
      <w:kern w:val="2"/>
      <w:sz w:val="21"/>
      <w:szCs w:val="24"/>
      <w:lang w:val="en-US" w:eastAsia="zh-CN" w:bidi="ar"/>
    </w:rPr>
  </w:style>
  <w:style w:type="character" w:customStyle="1" w:styleId="507">
    <w:name w:val="批注文字 Char4"/>
    <w:semiHidden/>
    <w:qFormat/>
    <w:uiPriority w:val="0"/>
    <w:rPr>
      <w:rFonts w:hint="default" w:ascii="Tahoma" w:hAnsi="Tahoma" w:eastAsia="宋体" w:cs="Tahoma"/>
      <w:kern w:val="2"/>
      <w:sz w:val="21"/>
      <w:szCs w:val="24"/>
      <w:lang w:val="en-US" w:eastAsia="zh-CN" w:bidi="ar"/>
    </w:rPr>
  </w:style>
  <w:style w:type="character" w:customStyle="1" w:styleId="508">
    <w:name w:val="Char Char211"/>
    <w:semiHidden/>
    <w:qFormat/>
    <w:uiPriority w:val="0"/>
    <w:rPr>
      <w:rFonts w:ascii="Tahoma" w:hAnsi="Tahoma" w:eastAsia="黑体" w:cs="Times New Roman"/>
      <w:bCs/>
      <w:kern w:val="2"/>
      <w:sz w:val="28"/>
      <w:szCs w:val="28"/>
      <w:lang w:val="en-US" w:eastAsia="zh-CN" w:bidi="ar-SA"/>
    </w:rPr>
  </w:style>
  <w:style w:type="character" w:customStyle="1" w:styleId="509">
    <w:name w:val="HTML 预设格式 字符1"/>
    <w:semiHidden/>
    <w:qFormat/>
    <w:uiPriority w:val="0"/>
    <w:rPr>
      <w:rFonts w:hint="default" w:ascii="Courier New" w:hAnsi="Courier New" w:eastAsia="宋体" w:cs="Courier New"/>
      <w:kern w:val="2"/>
      <w:sz w:val="24"/>
      <w:szCs w:val="24"/>
      <w:lang w:val="en-US" w:eastAsia="zh-CN" w:bidi="ar"/>
    </w:rPr>
  </w:style>
  <w:style w:type="character" w:customStyle="1" w:styleId="510">
    <w:name w:val="标准正文 Char Char"/>
    <w:semiHidden/>
    <w:qFormat/>
    <w:uiPriority w:val="0"/>
    <w:rPr>
      <w:rFonts w:ascii="仿宋_GB2312" w:eastAsia="仿宋_GB2312"/>
      <w:kern w:val="2"/>
      <w:sz w:val="28"/>
      <w:szCs w:val="24"/>
      <w:lang w:val="en-US" w:eastAsia="zh-CN" w:bidi="ar-SA"/>
    </w:rPr>
  </w:style>
  <w:style w:type="character" w:customStyle="1" w:styleId="511">
    <w:name w:val="电子邮件签名 Char"/>
    <w:semiHidden/>
    <w:qFormat/>
    <w:uiPriority w:val="0"/>
    <w:rPr>
      <w:rFonts w:eastAsia="宋体"/>
      <w:kern w:val="2"/>
      <w:sz w:val="21"/>
      <w:szCs w:val="24"/>
      <w:lang w:bidi="ar-SA"/>
    </w:rPr>
  </w:style>
  <w:style w:type="character" w:customStyle="1" w:styleId="512">
    <w:name w:val="Char Char244"/>
    <w:semiHidden/>
    <w:qFormat/>
    <w:uiPriority w:val="0"/>
    <w:rPr>
      <w:rFonts w:eastAsia="黑体"/>
      <w:kern w:val="44"/>
      <w:sz w:val="32"/>
      <w:szCs w:val="32"/>
      <w:lang w:val="en-US" w:eastAsia="zh-CN" w:bidi="ar-SA"/>
    </w:rPr>
  </w:style>
  <w:style w:type="character" w:customStyle="1" w:styleId="513">
    <w:name w:val="电子邮件签名 字符1"/>
    <w:semiHidden/>
    <w:qFormat/>
    <w:uiPriority w:val="0"/>
    <w:rPr>
      <w:rFonts w:hint="default" w:ascii="Tahoma" w:hAnsi="Tahoma" w:eastAsia="宋体" w:cs="Tahoma"/>
      <w:kern w:val="2"/>
      <w:sz w:val="21"/>
      <w:szCs w:val="24"/>
      <w:lang w:val="en-US" w:eastAsia="zh-CN" w:bidi="ar"/>
    </w:rPr>
  </w:style>
  <w:style w:type="character" w:customStyle="1" w:styleId="514">
    <w:name w:val="Char Char2"/>
    <w:semiHidden/>
    <w:qFormat/>
    <w:uiPriority w:val="0"/>
    <w:rPr>
      <w:kern w:val="2"/>
      <w:sz w:val="18"/>
      <w:szCs w:val="18"/>
    </w:rPr>
  </w:style>
  <w:style w:type="character" w:customStyle="1" w:styleId="515">
    <w:name w:val="标题 1 Char3"/>
    <w:semiHidden/>
    <w:qFormat/>
    <w:uiPriority w:val="0"/>
    <w:rPr>
      <w:rFonts w:eastAsia="黑体" w:cs="Calibri"/>
      <w:bCs/>
      <w:snapToGrid w:val="0"/>
      <w:spacing w:val="4"/>
      <w:sz w:val="32"/>
      <w:szCs w:val="32"/>
      <w:lang w:val="zh-CN" w:eastAsia="zh-CN" w:bidi="ar-SA"/>
    </w:rPr>
  </w:style>
  <w:style w:type="character" w:customStyle="1" w:styleId="516">
    <w:name w:val="表名 Char"/>
    <w:link w:val="517"/>
    <w:qFormat/>
    <w:uiPriority w:val="0"/>
    <w:rPr>
      <w:rFonts w:ascii="Tahoma" w:hAnsi="Tahoma" w:eastAsia="黑体" w:cs="Tahoma"/>
      <w:kern w:val="2"/>
      <w:sz w:val="24"/>
      <w:szCs w:val="24"/>
      <w:lang w:val="en-US" w:eastAsia="zh-CN" w:bidi="ar-SA"/>
    </w:rPr>
  </w:style>
  <w:style w:type="paragraph" w:customStyle="1" w:styleId="517">
    <w:name w:val="表名"/>
    <w:basedOn w:val="1"/>
    <w:link w:val="516"/>
    <w:qFormat/>
    <w:uiPriority w:val="0"/>
    <w:pPr>
      <w:adjustRightInd w:val="0"/>
      <w:snapToGrid w:val="0"/>
      <w:spacing w:before="120" w:beforeLines="50" w:line="460" w:lineRule="exact"/>
      <w:jc w:val="center"/>
    </w:pPr>
    <w:rPr>
      <w:rFonts w:eastAsia="黑体"/>
      <w:kern w:val="0"/>
      <w:sz w:val="24"/>
    </w:rPr>
  </w:style>
  <w:style w:type="character" w:customStyle="1" w:styleId="518">
    <w:name w:val="正文文本缩进 Char3"/>
    <w:semiHidden/>
    <w:qFormat/>
    <w:uiPriority w:val="0"/>
    <w:rPr>
      <w:rFonts w:hint="default" w:ascii="Tahoma" w:hAnsi="Tahoma" w:eastAsia="宋体" w:cs="Tahoma"/>
      <w:kern w:val="2"/>
      <w:sz w:val="21"/>
      <w:szCs w:val="24"/>
      <w:lang w:val="en-US" w:eastAsia="zh-CN" w:bidi="ar"/>
    </w:rPr>
  </w:style>
  <w:style w:type="character" w:customStyle="1" w:styleId="519">
    <w:name w:val="正文文本缩进 3 Char2"/>
    <w:semiHidden/>
    <w:qFormat/>
    <w:uiPriority w:val="0"/>
    <w:rPr>
      <w:rFonts w:hint="default" w:ascii="Tahoma" w:hAnsi="Tahoma" w:eastAsia="宋体" w:cs="Tahoma"/>
      <w:kern w:val="2"/>
      <w:sz w:val="16"/>
      <w:szCs w:val="16"/>
      <w:lang w:val="en-US" w:eastAsia="zh-CN" w:bidi="ar"/>
    </w:rPr>
  </w:style>
  <w:style w:type="character" w:customStyle="1" w:styleId="520">
    <w:name w:val="Char Char26"/>
    <w:semiHidden/>
    <w:qFormat/>
    <w:uiPriority w:val="0"/>
    <w:rPr>
      <w:kern w:val="2"/>
      <w:sz w:val="18"/>
      <w:szCs w:val="18"/>
    </w:rPr>
  </w:style>
  <w:style w:type="character" w:customStyle="1" w:styleId="521">
    <w:name w:val="样式 标题 2 + (西文) Times New Roman (中文) 黑体 三号 非加粗 Char Char"/>
    <w:link w:val="522"/>
    <w:qFormat/>
    <w:uiPriority w:val="0"/>
    <w:rPr>
      <w:rFonts w:eastAsia="黑体"/>
      <w:bCs/>
      <w:snapToGrid w:val="0"/>
      <w:sz w:val="28"/>
      <w:szCs w:val="28"/>
      <w:lang w:bidi="ar-SA"/>
    </w:rPr>
  </w:style>
  <w:style w:type="paragraph" w:customStyle="1" w:styleId="522">
    <w:name w:val="样式 标题 2 + (西文) Times New Roman (中文) 黑体 三号 非加粗 Char"/>
    <w:basedOn w:val="3"/>
    <w:link w:val="521"/>
    <w:semiHidden/>
    <w:qFormat/>
    <w:uiPriority w:val="0"/>
    <w:pPr>
      <w:adjustRightInd w:val="0"/>
      <w:snapToGrid w:val="0"/>
      <w:spacing w:line="360" w:lineRule="auto"/>
    </w:pPr>
    <w:rPr>
      <w:bCs/>
    </w:rPr>
  </w:style>
  <w:style w:type="character" w:customStyle="1" w:styleId="523">
    <w:name w:val="正文缩进 Char1"/>
    <w:semiHidden/>
    <w:qFormat/>
    <w:uiPriority w:val="0"/>
    <w:rPr>
      <w:rFonts w:eastAsia="宋体"/>
      <w:kern w:val="2"/>
      <w:sz w:val="21"/>
      <w:szCs w:val="24"/>
      <w:lang w:val="en-US" w:eastAsia="zh-CN" w:bidi="ar-SA"/>
    </w:rPr>
  </w:style>
  <w:style w:type="character" w:customStyle="1" w:styleId="524">
    <w:name w:val="标题 3- Char"/>
    <w:link w:val="525"/>
    <w:qFormat/>
    <w:uiPriority w:val="0"/>
    <w:rPr>
      <w:rFonts w:eastAsia="黑体" w:cs="宋体"/>
      <w:snapToGrid w:val="0"/>
      <w:sz w:val="24"/>
      <w:szCs w:val="24"/>
      <w:lang w:val="en-US" w:eastAsia="zh-CN" w:bidi="ar-SA"/>
    </w:rPr>
  </w:style>
  <w:style w:type="paragraph" w:customStyle="1" w:styleId="525">
    <w:name w:val="标题 3-"/>
    <w:basedOn w:val="4"/>
    <w:link w:val="524"/>
    <w:semiHidden/>
    <w:qFormat/>
    <w:uiPriority w:val="0"/>
    <w:pPr>
      <w:adjustRightInd w:val="0"/>
      <w:snapToGrid w:val="0"/>
      <w:textAlignment w:val="baseline"/>
    </w:pPr>
  </w:style>
  <w:style w:type="character" w:customStyle="1" w:styleId="526">
    <w:name w:val="标题 1 字符1"/>
    <w:semiHidden/>
    <w:qFormat/>
    <w:uiPriority w:val="0"/>
    <w:rPr>
      <w:rFonts w:ascii="Tahoma" w:hAnsi="Tahoma" w:eastAsia="黑体" w:cs="Tahoma"/>
      <w:bCs/>
      <w:snapToGrid w:val="0"/>
      <w:spacing w:val="4"/>
      <w:kern w:val="2"/>
      <w:sz w:val="32"/>
      <w:szCs w:val="32"/>
      <w:lang w:val="zh-CN" w:eastAsia="zh-CN" w:bidi="ar-SA"/>
    </w:rPr>
  </w:style>
  <w:style w:type="character" w:customStyle="1" w:styleId="527">
    <w:name w:val="标题 2 字符"/>
    <w:semiHidden/>
    <w:qFormat/>
    <w:uiPriority w:val="9"/>
    <w:rPr>
      <w:rFonts w:ascii="等线 Light" w:hAnsi="等线 Light" w:eastAsia="等线 Light" w:cs="Times New Roman"/>
      <w:b/>
      <w:bCs/>
      <w:kern w:val="2"/>
      <w:sz w:val="32"/>
      <w:szCs w:val="32"/>
      <w:lang w:val="en-US" w:eastAsia="zh-CN" w:bidi="ar-SA"/>
    </w:rPr>
  </w:style>
  <w:style w:type="character" w:customStyle="1" w:styleId="528">
    <w:name w:val="Char Char101"/>
    <w:semiHidden/>
    <w:qFormat/>
    <w:locked/>
    <w:uiPriority w:val="0"/>
    <w:rPr>
      <w:rFonts w:ascii="宋体" w:hAnsi="宋体" w:eastAsia="宋体"/>
      <w:kern w:val="2"/>
      <w:sz w:val="21"/>
      <w:szCs w:val="24"/>
      <w:lang w:val="en-US" w:eastAsia="zh-CN" w:bidi="ar-SA"/>
    </w:rPr>
  </w:style>
  <w:style w:type="character" w:customStyle="1" w:styleId="529">
    <w:name w:val="样式 标题 2 + 四号 非加粗 Char"/>
    <w:link w:val="530"/>
    <w:qFormat/>
    <w:uiPriority w:val="0"/>
    <w:rPr>
      <w:rFonts w:eastAsia="黑体"/>
      <w:b/>
      <w:kern w:val="2"/>
      <w:sz w:val="28"/>
      <w:szCs w:val="28"/>
    </w:rPr>
  </w:style>
  <w:style w:type="paragraph" w:customStyle="1" w:styleId="530">
    <w:name w:val="样式 标题 2 + 四号 非加粗"/>
    <w:basedOn w:val="3"/>
    <w:link w:val="529"/>
    <w:semiHidden/>
    <w:qFormat/>
    <w:uiPriority w:val="0"/>
    <w:pPr>
      <w:adjustRightInd w:val="0"/>
      <w:snapToGrid w:val="0"/>
    </w:pPr>
    <w:rPr>
      <w:b/>
      <w:snapToGrid/>
      <w:kern w:val="2"/>
    </w:rPr>
  </w:style>
  <w:style w:type="character" w:customStyle="1" w:styleId="531">
    <w:name w:val="注释标题 Char"/>
    <w:semiHidden/>
    <w:qFormat/>
    <w:uiPriority w:val="0"/>
    <w:rPr>
      <w:rFonts w:eastAsia="宋体"/>
      <w:kern w:val="2"/>
      <w:sz w:val="21"/>
      <w:szCs w:val="24"/>
      <w:lang w:bidi="ar-SA"/>
    </w:rPr>
  </w:style>
  <w:style w:type="character" w:customStyle="1" w:styleId="532">
    <w:name w:val="Char Char117"/>
    <w:semiHidden/>
    <w:qFormat/>
    <w:locked/>
    <w:uiPriority w:val="0"/>
    <w:rPr>
      <w:rFonts w:ascii="宋体" w:hAnsi="宋体" w:eastAsia="宋体"/>
      <w:kern w:val="2"/>
      <w:sz w:val="18"/>
      <w:szCs w:val="18"/>
      <w:lang w:val="en-US" w:eastAsia="zh-CN" w:bidi="ar-SA"/>
    </w:rPr>
  </w:style>
  <w:style w:type="character" w:customStyle="1" w:styleId="533">
    <w:name w:val="脚注文本 Char2"/>
    <w:semiHidden/>
    <w:qFormat/>
    <w:uiPriority w:val="0"/>
    <w:rPr>
      <w:rFonts w:hint="default" w:ascii="Tahoma" w:hAnsi="Tahoma" w:eastAsia="宋体" w:cs="Tahoma"/>
      <w:kern w:val="2"/>
      <w:sz w:val="18"/>
      <w:szCs w:val="18"/>
      <w:lang w:val="en-US" w:eastAsia="zh-CN" w:bidi="ar"/>
    </w:rPr>
  </w:style>
  <w:style w:type="character" w:customStyle="1" w:styleId="534">
    <w:name w:val="正文文本缩进 字符"/>
    <w:semiHidden/>
    <w:qFormat/>
    <w:uiPriority w:val="0"/>
    <w:rPr>
      <w:rFonts w:ascii="仿宋_GB2312" w:eastAsia="仿宋_GB2312"/>
      <w:kern w:val="2"/>
      <w:sz w:val="28"/>
    </w:rPr>
  </w:style>
  <w:style w:type="character" w:customStyle="1" w:styleId="535">
    <w:name w:val="font81"/>
    <w:semiHidden/>
    <w:qFormat/>
    <w:uiPriority w:val="0"/>
    <w:rPr>
      <w:rFonts w:hint="default" w:ascii="Times New Roman" w:hAnsi="Times New Roman" w:eastAsia="宋体" w:cs="Times New Roman"/>
      <w:b/>
      <w:color w:val="auto"/>
      <w:kern w:val="2"/>
      <w:sz w:val="20"/>
      <w:szCs w:val="20"/>
      <w:u w:val="none"/>
      <w:lang w:val="en-US" w:eastAsia="zh-CN" w:bidi="ar-SA"/>
    </w:rPr>
  </w:style>
  <w:style w:type="character" w:customStyle="1" w:styleId="536">
    <w:name w:val="批注文字 Char1"/>
    <w:semiHidden/>
    <w:qFormat/>
    <w:uiPriority w:val="0"/>
    <w:rPr>
      <w:rFonts w:ascii="Times New Roman" w:hAnsi="Times New Roman" w:eastAsia="宋体" w:cs="Times New Roman"/>
      <w:szCs w:val="24"/>
    </w:rPr>
  </w:style>
  <w:style w:type="character" w:customStyle="1" w:styleId="537">
    <w:name w:val="标题 6 Char3"/>
    <w:semiHidden/>
    <w:qFormat/>
    <w:uiPriority w:val="9"/>
    <w:rPr>
      <w:rFonts w:hint="eastAsia" w:ascii="黑体" w:hAnsi="宋体" w:eastAsia="黑体" w:cs="黑体"/>
      <w:bCs/>
      <w:kern w:val="2"/>
      <w:sz w:val="24"/>
      <w:szCs w:val="24"/>
      <w:lang w:val="en-US" w:eastAsia="zh-CN" w:bidi="ar-SA"/>
    </w:rPr>
  </w:style>
  <w:style w:type="character" w:customStyle="1" w:styleId="538">
    <w:name w:val="Char Char41"/>
    <w:semiHidden/>
    <w:qFormat/>
    <w:locked/>
    <w:uiPriority w:val="0"/>
    <w:rPr>
      <w:rFonts w:ascii="Arial" w:hAnsi="Arial" w:eastAsia="宋体" w:cs="Arial"/>
      <w:kern w:val="2"/>
      <w:sz w:val="24"/>
      <w:szCs w:val="24"/>
      <w:lang w:val="en-US" w:eastAsia="zh-CN" w:bidi="ar-SA"/>
    </w:rPr>
  </w:style>
  <w:style w:type="character" w:customStyle="1" w:styleId="539">
    <w:name w:val="纯文本 Char5"/>
    <w:semiHidden/>
    <w:qFormat/>
    <w:uiPriority w:val="99"/>
    <w:rPr>
      <w:rFonts w:ascii="宋体" w:hAnsi="Courier New" w:eastAsia="宋体" w:cs="Courier New"/>
      <w:szCs w:val="21"/>
    </w:rPr>
  </w:style>
  <w:style w:type="character" w:customStyle="1" w:styleId="540">
    <w:name w:val="表头 Char Char Char"/>
    <w:semiHidden/>
    <w:qFormat/>
    <w:uiPriority w:val="0"/>
    <w:rPr>
      <w:rFonts w:eastAsia="黑体"/>
      <w:bCs/>
      <w:kern w:val="2"/>
      <w:sz w:val="24"/>
      <w:szCs w:val="24"/>
      <w:lang w:val="en-US" w:eastAsia="zh-CN" w:bidi="ar-SA"/>
    </w:rPr>
  </w:style>
  <w:style w:type="character" w:customStyle="1" w:styleId="541">
    <w:name w:val="注释标题 Char2"/>
    <w:semiHidden/>
    <w:qFormat/>
    <w:uiPriority w:val="0"/>
    <w:rPr>
      <w:rFonts w:hint="default" w:ascii="Tahoma" w:hAnsi="Tahoma" w:eastAsia="宋体" w:cs="Tahoma"/>
      <w:kern w:val="2"/>
      <w:sz w:val="21"/>
      <w:szCs w:val="24"/>
      <w:lang w:val="en-US" w:eastAsia="zh-CN" w:bidi="ar"/>
    </w:rPr>
  </w:style>
  <w:style w:type="character" w:customStyle="1" w:styleId="542">
    <w:name w:val="标题1.1.1.1.1 Char Char"/>
    <w:semiHidden/>
    <w:qFormat/>
    <w:uiPriority w:val="0"/>
    <w:rPr>
      <w:rFonts w:ascii="宋体" w:hAnsi="宋体"/>
      <w:b/>
      <w:color w:val="000000"/>
      <w:kern w:val="2"/>
      <w:sz w:val="28"/>
    </w:rPr>
  </w:style>
  <w:style w:type="character" w:customStyle="1" w:styleId="543">
    <w:name w:val="正文文本 字符1"/>
    <w:semiHidden/>
    <w:qFormat/>
    <w:uiPriority w:val="0"/>
    <w:rPr>
      <w:rFonts w:ascii="Tahoma" w:hAnsi="Tahoma" w:eastAsia="宋体" w:cs="Tahoma"/>
      <w:kern w:val="2"/>
      <w:sz w:val="21"/>
      <w:szCs w:val="24"/>
      <w:lang w:val="en-US" w:eastAsia="zh-CN" w:bidi="ar-SA"/>
    </w:rPr>
  </w:style>
  <w:style w:type="character" w:customStyle="1" w:styleId="544">
    <w:name w:val="Char Char234"/>
    <w:semiHidden/>
    <w:qFormat/>
    <w:uiPriority w:val="0"/>
    <w:rPr>
      <w:rFonts w:hint="eastAsia" w:ascii="黑体" w:eastAsia="黑体"/>
      <w:kern w:val="2"/>
      <w:sz w:val="28"/>
      <w:szCs w:val="28"/>
      <w:lang w:val="en-US" w:eastAsia="zh-CN" w:bidi="ar-SA"/>
    </w:rPr>
  </w:style>
  <w:style w:type="character" w:customStyle="1" w:styleId="545">
    <w:name w:val="正文文本缩进 3 Char4"/>
    <w:semiHidden/>
    <w:qFormat/>
    <w:uiPriority w:val="99"/>
    <w:rPr>
      <w:rFonts w:ascii="Times New Roman" w:hAnsi="Times New Roman" w:eastAsia="宋体" w:cs="Times New Roman"/>
      <w:sz w:val="16"/>
      <w:szCs w:val="16"/>
    </w:rPr>
  </w:style>
  <w:style w:type="character" w:customStyle="1" w:styleId="546">
    <w:name w:val="样式2 Char"/>
    <w:link w:val="547"/>
    <w:qFormat/>
    <w:uiPriority w:val="0"/>
    <w:rPr>
      <w:rFonts w:ascii="Arial" w:hAnsi="Arial" w:eastAsia="宋体" w:cs="仿宋_GB2312"/>
      <w:sz w:val="32"/>
      <w:szCs w:val="32"/>
      <w:lang w:val="en-US" w:eastAsia="zh-CN" w:bidi="ar-SA"/>
    </w:rPr>
  </w:style>
  <w:style w:type="paragraph" w:customStyle="1" w:styleId="547">
    <w:name w:val="样式2"/>
    <w:basedOn w:val="1"/>
    <w:next w:val="1"/>
    <w:link w:val="546"/>
    <w:semiHidden/>
    <w:qFormat/>
    <w:uiPriority w:val="0"/>
    <w:pPr>
      <w:autoSpaceDE w:val="0"/>
      <w:autoSpaceDN w:val="0"/>
      <w:adjustRightInd w:val="0"/>
      <w:spacing w:before="100" w:beforeAutospacing="1" w:after="100" w:afterAutospacing="1"/>
      <w:jc w:val="left"/>
      <w:outlineLvl w:val="0"/>
    </w:pPr>
    <w:rPr>
      <w:rFonts w:ascii="Arial" w:hAnsi="Arial" w:cs="仿宋_GB2312"/>
      <w:kern w:val="0"/>
      <w:sz w:val="32"/>
      <w:szCs w:val="32"/>
    </w:rPr>
  </w:style>
  <w:style w:type="character" w:customStyle="1" w:styleId="548">
    <w:name w:val="批注框文本 Char5"/>
    <w:semiHidden/>
    <w:qFormat/>
    <w:uiPriority w:val="99"/>
    <w:rPr>
      <w:rFonts w:ascii="Times New Roman" w:hAnsi="Times New Roman" w:eastAsia="宋体" w:cs="Times New Roman"/>
      <w:sz w:val="18"/>
      <w:szCs w:val="18"/>
    </w:rPr>
  </w:style>
  <w:style w:type="character" w:customStyle="1" w:styleId="549">
    <w:name w:val="章 Char"/>
    <w:semiHidden/>
    <w:qFormat/>
    <w:uiPriority w:val="0"/>
    <w:rPr>
      <w:rFonts w:eastAsia="黑体"/>
      <w:bCs/>
      <w:kern w:val="44"/>
      <w:sz w:val="32"/>
      <w:szCs w:val="32"/>
      <w:lang w:val="en-US" w:eastAsia="zh-CN" w:bidi="ar-SA"/>
    </w:rPr>
  </w:style>
  <w:style w:type="character" w:customStyle="1" w:styleId="550">
    <w:name w:val="标题 7 字符1"/>
    <w:semiHidden/>
    <w:qFormat/>
    <w:uiPriority w:val="0"/>
    <w:rPr>
      <w:rFonts w:hint="eastAsia" w:ascii="黑体" w:hAnsi="宋体" w:eastAsia="黑体" w:cs="黑体"/>
      <w:bCs/>
      <w:kern w:val="2"/>
      <w:sz w:val="24"/>
      <w:szCs w:val="24"/>
      <w:lang w:val="en-US" w:eastAsia="zh-CN" w:bidi="ar-SA"/>
    </w:rPr>
  </w:style>
  <w:style w:type="character" w:customStyle="1" w:styleId="551">
    <w:name w:val="副标题 Char3"/>
    <w:semiHidden/>
    <w:qFormat/>
    <w:uiPriority w:val="0"/>
    <w:rPr>
      <w:rFonts w:hint="default" w:ascii="Cambria" w:hAnsi="Cambria" w:eastAsia="Cambria" w:cs="Cambria"/>
      <w:b/>
      <w:kern w:val="28"/>
      <w:sz w:val="32"/>
      <w:szCs w:val="32"/>
      <w:lang w:val="en-US" w:eastAsia="zh-CN" w:bidi="ar-SA"/>
    </w:rPr>
  </w:style>
  <w:style w:type="character" w:customStyle="1" w:styleId="552">
    <w:name w:val="Char Char12"/>
    <w:semiHidden/>
    <w:qFormat/>
    <w:locked/>
    <w:uiPriority w:val="0"/>
    <w:rPr>
      <w:rFonts w:ascii="宋体" w:hAnsi="宋体" w:eastAsia="宋体"/>
      <w:spacing w:val="20"/>
      <w:sz w:val="28"/>
      <w:szCs w:val="24"/>
      <w:lang w:val="en-US" w:eastAsia="zh-CN" w:bidi="ar-SA"/>
    </w:rPr>
  </w:style>
  <w:style w:type="character" w:customStyle="1" w:styleId="553">
    <w:name w:val="正文文本首行缩进 2 字符1"/>
    <w:semiHidden/>
    <w:qFormat/>
    <w:uiPriority w:val="0"/>
    <w:rPr>
      <w:rFonts w:hint="default" w:ascii="Tahoma" w:hAnsi="Tahoma" w:eastAsia="宋体" w:cs="Tahoma"/>
      <w:kern w:val="2"/>
      <w:sz w:val="21"/>
      <w:szCs w:val="24"/>
      <w:lang w:val="en-US" w:eastAsia="zh-CN" w:bidi="ar"/>
    </w:rPr>
  </w:style>
  <w:style w:type="character" w:customStyle="1" w:styleId="554">
    <w:name w:val="Char Char111"/>
    <w:semiHidden/>
    <w:qFormat/>
    <w:locked/>
    <w:uiPriority w:val="0"/>
    <w:rPr>
      <w:rFonts w:ascii="宋体" w:hAnsi="宋体" w:eastAsia="宋体"/>
      <w:kern w:val="2"/>
      <w:sz w:val="18"/>
      <w:szCs w:val="18"/>
      <w:lang w:val="en-US" w:eastAsia="zh-CN" w:bidi="ar-SA"/>
    </w:rPr>
  </w:style>
  <w:style w:type="character" w:customStyle="1" w:styleId="555">
    <w:name w:val="Char Char63"/>
    <w:semiHidden/>
    <w:qFormat/>
    <w:locked/>
    <w:uiPriority w:val="0"/>
    <w:rPr>
      <w:rFonts w:ascii="Cambria" w:hAnsi="Cambria" w:eastAsia="宋体"/>
      <w:b/>
      <w:bCs/>
      <w:kern w:val="2"/>
      <w:sz w:val="32"/>
      <w:szCs w:val="32"/>
      <w:lang w:val="en-US" w:eastAsia="zh-CN" w:bidi="ar-SA"/>
    </w:rPr>
  </w:style>
  <w:style w:type="character" w:customStyle="1" w:styleId="556">
    <w:name w:val="图表标题 字符"/>
    <w:link w:val="557"/>
    <w:qFormat/>
    <w:uiPriority w:val="0"/>
    <w:rPr>
      <w:snapToGrid/>
      <w:sz w:val="28"/>
      <w:szCs w:val="28"/>
    </w:rPr>
  </w:style>
  <w:style w:type="paragraph" w:customStyle="1" w:styleId="557">
    <w:name w:val="图表标题"/>
    <w:basedOn w:val="1"/>
    <w:link w:val="556"/>
    <w:semiHidden/>
    <w:qFormat/>
    <w:uiPriority w:val="0"/>
    <w:pPr>
      <w:tabs>
        <w:tab w:val="left" w:pos="540"/>
        <w:tab w:val="left" w:pos="5400"/>
      </w:tabs>
      <w:wordWrap w:val="0"/>
      <w:topLinePunct/>
      <w:spacing w:before="156" w:beforeLines="50" w:line="500" w:lineRule="exact"/>
      <w:ind w:firstLine="843" w:firstLineChars="300"/>
    </w:pPr>
    <w:rPr>
      <w:snapToGrid w:val="0"/>
      <w:kern w:val="0"/>
      <w:sz w:val="28"/>
      <w:szCs w:val="28"/>
    </w:rPr>
  </w:style>
  <w:style w:type="character" w:customStyle="1" w:styleId="558">
    <w:name w:val="正文文本 3 字符1"/>
    <w:semiHidden/>
    <w:qFormat/>
    <w:uiPriority w:val="0"/>
    <w:rPr>
      <w:rFonts w:hint="default" w:ascii="Tahoma" w:hAnsi="Tahoma" w:eastAsia="宋体" w:cs="Tahoma"/>
      <w:kern w:val="2"/>
      <w:sz w:val="16"/>
      <w:szCs w:val="16"/>
      <w:lang w:val="en-US" w:eastAsia="zh-CN" w:bidi="ar"/>
    </w:rPr>
  </w:style>
  <w:style w:type="character" w:customStyle="1" w:styleId="559">
    <w:name w:val="content1"/>
    <w:semiHidden/>
    <w:qFormat/>
    <w:uiPriority w:val="0"/>
    <w:rPr>
      <w:lang w:val="en-US" w:eastAsia="zh-CN" w:bidi="ar-SA"/>
    </w:rPr>
  </w:style>
  <w:style w:type="character" w:customStyle="1" w:styleId="560">
    <w:name w:val="纯文本 字符2"/>
    <w:semiHidden/>
    <w:qFormat/>
    <w:uiPriority w:val="0"/>
    <w:rPr>
      <w:rFonts w:hint="eastAsia" w:ascii="等线" w:hAnsi="Courier New" w:eastAsia="等线" w:cs="Courier New"/>
      <w:kern w:val="2"/>
      <w:sz w:val="21"/>
      <w:szCs w:val="24"/>
      <w:lang w:val="en-US" w:eastAsia="zh-CN" w:bidi="ar"/>
    </w:rPr>
  </w:style>
  <w:style w:type="character" w:customStyle="1" w:styleId="561">
    <w:name w:val="标题 2 字符2"/>
    <w:semiHidden/>
    <w:qFormat/>
    <w:uiPriority w:val="0"/>
    <w:rPr>
      <w:rFonts w:hint="eastAsia" w:ascii="黑体" w:hAnsi="宋体" w:eastAsia="黑体" w:cs="黑体"/>
      <w:snapToGrid/>
      <w:kern w:val="2"/>
      <w:sz w:val="28"/>
      <w:szCs w:val="28"/>
      <w:lang w:val="en-US" w:eastAsia="zh-CN" w:bidi="ar-SA"/>
    </w:rPr>
  </w:style>
  <w:style w:type="character" w:customStyle="1" w:styleId="562">
    <w:name w:val="Char Char102"/>
    <w:semiHidden/>
    <w:qFormat/>
    <w:locked/>
    <w:uiPriority w:val="0"/>
    <w:rPr>
      <w:rFonts w:ascii="宋体" w:hAnsi="宋体" w:eastAsia="宋体"/>
      <w:kern w:val="2"/>
      <w:sz w:val="21"/>
      <w:szCs w:val="24"/>
      <w:lang w:val="en-US" w:eastAsia="zh-CN" w:bidi="ar-SA"/>
    </w:rPr>
  </w:style>
  <w:style w:type="character" w:customStyle="1" w:styleId="563">
    <w:name w:val="批注框文本 字符2"/>
    <w:semiHidden/>
    <w:qFormat/>
    <w:uiPriority w:val="0"/>
    <w:rPr>
      <w:rFonts w:ascii="Tahoma" w:hAnsi="Tahoma" w:eastAsia="宋体" w:cs="Tahoma"/>
      <w:kern w:val="2"/>
      <w:sz w:val="18"/>
      <w:szCs w:val="18"/>
      <w:lang w:val="en-US" w:eastAsia="zh-CN" w:bidi="ar-SA"/>
    </w:rPr>
  </w:style>
  <w:style w:type="character" w:customStyle="1" w:styleId="564">
    <w:name w:val="正文文本 Char3"/>
    <w:semiHidden/>
    <w:qFormat/>
    <w:uiPriority w:val="0"/>
    <w:rPr>
      <w:rFonts w:hint="default" w:ascii="Tahoma" w:hAnsi="Tahoma" w:eastAsia="宋体" w:cs="Tahoma"/>
      <w:kern w:val="2"/>
      <w:sz w:val="21"/>
      <w:szCs w:val="24"/>
      <w:lang w:val="en-US" w:eastAsia="zh-CN" w:bidi="ar"/>
    </w:rPr>
  </w:style>
  <w:style w:type="character" w:customStyle="1" w:styleId="565">
    <w:name w:val="标题 3 Char1 Char3"/>
    <w:semiHidden/>
    <w:qFormat/>
    <w:locked/>
    <w:uiPriority w:val="0"/>
    <w:rPr>
      <w:rFonts w:ascii="Calibri" w:hAnsi="Calibri" w:eastAsia="黑体"/>
      <w:bCs/>
      <w:color w:val="FF0000"/>
      <w:sz w:val="24"/>
      <w:szCs w:val="24"/>
      <w:lang w:bidi="ar-SA"/>
    </w:rPr>
  </w:style>
  <w:style w:type="character" w:customStyle="1" w:styleId="566">
    <w:name w:val="文档结构图 Char3"/>
    <w:semiHidden/>
    <w:qFormat/>
    <w:uiPriority w:val="0"/>
    <w:rPr>
      <w:rFonts w:hint="eastAsia" w:ascii="Microsoft YaHei UI" w:hAnsi="Tahoma" w:eastAsia="Microsoft YaHei UI" w:cs="Tahoma"/>
      <w:kern w:val="2"/>
      <w:sz w:val="18"/>
      <w:szCs w:val="18"/>
      <w:lang w:val="en-US" w:eastAsia="zh-CN" w:bidi="ar"/>
    </w:rPr>
  </w:style>
  <w:style w:type="character" w:customStyle="1" w:styleId="567">
    <w:name w:val="副标题 字符1"/>
    <w:semiHidden/>
    <w:qFormat/>
    <w:uiPriority w:val="0"/>
    <w:rPr>
      <w:rFonts w:hint="eastAsia" w:ascii="等线" w:hAnsi="等线" w:eastAsia="等线" w:cs="Times New Roman"/>
      <w:b/>
      <w:kern w:val="28"/>
      <w:sz w:val="32"/>
      <w:szCs w:val="32"/>
      <w:lang w:val="en-US" w:eastAsia="zh-CN" w:bidi="ar"/>
    </w:rPr>
  </w:style>
  <w:style w:type="character" w:customStyle="1" w:styleId="568">
    <w:name w:val="标题 2 Char3"/>
    <w:semiHidden/>
    <w:qFormat/>
    <w:uiPriority w:val="0"/>
    <w:rPr>
      <w:rFonts w:eastAsia="黑体" w:cs="Calibri"/>
      <w:snapToGrid w:val="0"/>
      <w:sz w:val="28"/>
      <w:szCs w:val="28"/>
      <w:lang w:val="en-US" w:eastAsia="zh-CN" w:bidi="ar-SA"/>
    </w:rPr>
  </w:style>
  <w:style w:type="character" w:customStyle="1" w:styleId="569">
    <w:name w:val="签名 Char3"/>
    <w:semiHidden/>
    <w:qFormat/>
    <w:uiPriority w:val="0"/>
    <w:rPr>
      <w:rFonts w:ascii="Tahoma" w:hAnsi="Tahoma" w:eastAsia="宋体" w:cs="Tahoma"/>
      <w:kern w:val="2"/>
      <w:sz w:val="21"/>
      <w:szCs w:val="24"/>
      <w:lang w:val="en-US" w:eastAsia="zh-CN" w:bidi="ar-SA"/>
    </w:rPr>
  </w:style>
  <w:style w:type="character" w:customStyle="1" w:styleId="570">
    <w:name w:val="脚注文本 字符1"/>
    <w:semiHidden/>
    <w:qFormat/>
    <w:uiPriority w:val="0"/>
    <w:rPr>
      <w:rFonts w:hint="default" w:ascii="Tahoma" w:hAnsi="Tahoma" w:eastAsia="宋体" w:cs="Tahoma"/>
      <w:kern w:val="2"/>
      <w:sz w:val="18"/>
      <w:szCs w:val="18"/>
      <w:lang w:val="en-US" w:eastAsia="zh-CN" w:bidi="ar"/>
    </w:rPr>
  </w:style>
  <w:style w:type="character" w:customStyle="1" w:styleId="571">
    <w:name w:val="样式111 Char"/>
    <w:link w:val="572"/>
    <w:qFormat/>
    <w:uiPriority w:val="0"/>
    <w:rPr>
      <w:rFonts w:eastAsia="黑体" w:cs="宋体"/>
      <w:kern w:val="2"/>
      <w:sz w:val="24"/>
    </w:rPr>
  </w:style>
  <w:style w:type="paragraph" w:customStyle="1" w:styleId="572">
    <w:name w:val="样式111"/>
    <w:basedOn w:val="1"/>
    <w:link w:val="571"/>
    <w:semiHidden/>
    <w:qFormat/>
    <w:uiPriority w:val="0"/>
    <w:pPr>
      <w:spacing w:before="120"/>
      <w:jc w:val="center"/>
    </w:pPr>
    <w:rPr>
      <w:rFonts w:eastAsia="黑体"/>
      <w:sz w:val="24"/>
      <w:szCs w:val="20"/>
    </w:rPr>
  </w:style>
  <w:style w:type="character" w:customStyle="1" w:styleId="573">
    <w:name w:val="正文文本 2 字符1"/>
    <w:semiHidden/>
    <w:qFormat/>
    <w:uiPriority w:val="0"/>
    <w:rPr>
      <w:rFonts w:hint="default" w:ascii="Tahoma" w:hAnsi="Tahoma" w:eastAsia="宋体" w:cs="Tahoma"/>
      <w:kern w:val="2"/>
      <w:sz w:val="21"/>
      <w:szCs w:val="24"/>
      <w:lang w:val="en-US" w:eastAsia="zh-CN" w:bidi="ar"/>
    </w:rPr>
  </w:style>
  <w:style w:type="character" w:customStyle="1" w:styleId="574">
    <w:name w:val="纯文本 Char"/>
    <w:semiHidden/>
    <w:qFormat/>
    <w:uiPriority w:val="99"/>
    <w:rPr>
      <w:rFonts w:ascii="宋体" w:hAnsi="Courier New" w:eastAsia="宋体"/>
      <w:kern w:val="2"/>
      <w:sz w:val="21"/>
      <w:szCs w:val="21"/>
      <w:lang w:val="en-US" w:eastAsia="zh-CN" w:bidi="ar-SA"/>
    </w:rPr>
  </w:style>
  <w:style w:type="character" w:customStyle="1" w:styleId="575">
    <w:name w:val="样式 正文首行缩进 + 首行缩进:  1 字符 Char"/>
    <w:link w:val="576"/>
    <w:qFormat/>
    <w:uiPriority w:val="0"/>
    <w:rPr>
      <w:rFonts w:ascii="新宋体" w:hAnsi="新宋体" w:eastAsia="新宋体"/>
      <w:sz w:val="28"/>
      <w:lang w:bidi="ar-SA"/>
    </w:rPr>
  </w:style>
  <w:style w:type="paragraph" w:customStyle="1" w:styleId="576">
    <w:name w:val="样式 正文首行缩进 + 首行缩进:  1 字符"/>
    <w:basedOn w:val="77"/>
    <w:link w:val="575"/>
    <w:semiHidden/>
    <w:qFormat/>
    <w:uiPriority w:val="0"/>
    <w:pPr>
      <w:snapToGrid w:val="0"/>
      <w:spacing w:line="360" w:lineRule="auto"/>
      <w:ind w:left="99" w:leftChars="99" w:firstLine="400" w:firstLineChars="400"/>
      <w:textAlignment w:val="baseline"/>
    </w:pPr>
    <w:rPr>
      <w:rFonts w:ascii="新宋体" w:hAnsi="新宋体" w:eastAsia="新宋体"/>
      <w:kern w:val="0"/>
      <w:sz w:val="28"/>
      <w:szCs w:val="20"/>
    </w:rPr>
  </w:style>
  <w:style w:type="character" w:customStyle="1" w:styleId="577">
    <w:name w:val="Char Char242"/>
    <w:semiHidden/>
    <w:qFormat/>
    <w:uiPriority w:val="0"/>
    <w:rPr>
      <w:rFonts w:hint="eastAsia" w:ascii="黑体" w:eastAsia="黑体"/>
      <w:kern w:val="44"/>
      <w:sz w:val="32"/>
      <w:szCs w:val="32"/>
      <w:lang w:val="en-US" w:eastAsia="zh-CN" w:bidi="ar-SA"/>
    </w:rPr>
  </w:style>
  <w:style w:type="character" w:customStyle="1" w:styleId="578">
    <w:name w:val="font91"/>
    <w:semiHidden/>
    <w:qFormat/>
    <w:uiPriority w:val="0"/>
    <w:rPr>
      <w:rFonts w:hint="default" w:ascii="Times New Roman" w:hAnsi="Times New Roman" w:cs="Times New Roman"/>
      <w:color w:val="000000"/>
      <w:sz w:val="21"/>
      <w:szCs w:val="21"/>
      <w:u w:val="none"/>
    </w:rPr>
  </w:style>
  <w:style w:type="character" w:customStyle="1" w:styleId="579">
    <w:name w:val="签名 字符"/>
    <w:semiHidden/>
    <w:qFormat/>
    <w:uiPriority w:val="0"/>
    <w:rPr>
      <w:kern w:val="2"/>
      <w:sz w:val="21"/>
      <w:szCs w:val="24"/>
      <w:lang w:val="zh-CN" w:eastAsia="zh-CN"/>
    </w:rPr>
  </w:style>
  <w:style w:type="character" w:customStyle="1" w:styleId="580">
    <w:name w:val="正文文本缩进 2 字符"/>
    <w:semiHidden/>
    <w:qFormat/>
    <w:uiPriority w:val="0"/>
    <w:rPr>
      <w:kern w:val="2"/>
      <w:sz w:val="24"/>
      <w:lang w:val="zh-CN" w:eastAsia="zh-CN"/>
    </w:rPr>
  </w:style>
  <w:style w:type="character" w:customStyle="1" w:styleId="581">
    <w:name w:val="Char Char231"/>
    <w:semiHidden/>
    <w:qFormat/>
    <w:uiPriority w:val="0"/>
    <w:rPr>
      <w:rFonts w:hint="eastAsia" w:ascii="黑体" w:eastAsia="黑体"/>
      <w:kern w:val="2"/>
      <w:sz w:val="28"/>
      <w:szCs w:val="28"/>
      <w:lang w:val="en-US" w:eastAsia="zh-CN" w:bidi="ar-SA"/>
    </w:rPr>
  </w:style>
  <w:style w:type="character" w:customStyle="1" w:styleId="582">
    <w:name w:val="Char Char44"/>
    <w:semiHidden/>
    <w:qFormat/>
    <w:locked/>
    <w:uiPriority w:val="0"/>
    <w:rPr>
      <w:rFonts w:ascii="Arial" w:hAnsi="Arial" w:eastAsia="宋体" w:cs="Arial"/>
      <w:kern w:val="2"/>
      <w:sz w:val="24"/>
      <w:szCs w:val="24"/>
      <w:lang w:val="en-US" w:eastAsia="zh-CN" w:bidi="ar-SA"/>
    </w:rPr>
  </w:style>
  <w:style w:type="character" w:customStyle="1" w:styleId="583">
    <w:name w:val="000  正文 字符"/>
    <w:link w:val="584"/>
    <w:qFormat/>
    <w:uiPriority w:val="0"/>
    <w:rPr>
      <w:kern w:val="2"/>
      <w:sz w:val="24"/>
    </w:rPr>
  </w:style>
  <w:style w:type="paragraph" w:customStyle="1" w:styleId="584">
    <w:name w:val="000  正文"/>
    <w:link w:val="583"/>
    <w:semiHidden/>
    <w:qFormat/>
    <w:uiPriority w:val="0"/>
    <w:pPr>
      <w:spacing w:line="460" w:lineRule="exact"/>
      <w:ind w:firstLine="177" w:firstLineChars="177"/>
    </w:pPr>
    <w:rPr>
      <w:rFonts w:ascii="Times New Roman" w:hAnsi="Times New Roman" w:eastAsia="宋体" w:cs="Times New Roman"/>
      <w:kern w:val="2"/>
      <w:sz w:val="24"/>
      <w:lang w:val="en-US" w:eastAsia="zh-CN" w:bidi="ar-SA"/>
    </w:rPr>
  </w:style>
  <w:style w:type="character" w:customStyle="1" w:styleId="585">
    <w:name w:val="font41"/>
    <w:semiHidden/>
    <w:qFormat/>
    <w:uiPriority w:val="0"/>
    <w:rPr>
      <w:rFonts w:hint="eastAsia" w:ascii="宋体" w:hAnsi="宋体" w:eastAsia="宋体" w:cs="Tahoma"/>
      <w:color w:val="000000"/>
      <w:kern w:val="2"/>
      <w:sz w:val="22"/>
      <w:szCs w:val="22"/>
      <w:u w:val="none"/>
      <w:lang w:val="en-US" w:eastAsia="zh-CN" w:bidi="ar-SA"/>
    </w:rPr>
  </w:style>
  <w:style w:type="character" w:customStyle="1" w:styleId="586">
    <w:name w:val="正文文本缩进 3 字符"/>
    <w:semiHidden/>
    <w:qFormat/>
    <w:uiPriority w:val="0"/>
    <w:rPr>
      <w:kern w:val="2"/>
      <w:sz w:val="16"/>
      <w:szCs w:val="16"/>
      <w:lang w:val="zh-CN" w:eastAsia="zh-CN"/>
    </w:rPr>
  </w:style>
  <w:style w:type="character" w:customStyle="1" w:styleId="587">
    <w:name w:val="标 Char"/>
    <w:semiHidden/>
    <w:qFormat/>
    <w:uiPriority w:val="0"/>
    <w:rPr>
      <w:rFonts w:ascii="宋体" w:hAnsi="Courier New" w:eastAsia="宋体"/>
      <w:kern w:val="2"/>
      <w:sz w:val="21"/>
      <w:lang w:val="en-US" w:eastAsia="zh-CN" w:bidi="ar-SA"/>
    </w:rPr>
  </w:style>
  <w:style w:type="character" w:customStyle="1" w:styleId="588">
    <w:name w:val="Char Char173"/>
    <w:semiHidden/>
    <w:qFormat/>
    <w:locked/>
    <w:uiPriority w:val="0"/>
    <w:rPr>
      <w:rFonts w:eastAsia="黑体"/>
      <w:kern w:val="2"/>
      <w:sz w:val="24"/>
      <w:szCs w:val="21"/>
      <w:lang w:val="en-US" w:eastAsia="zh-CN" w:bidi="ar-SA"/>
    </w:rPr>
  </w:style>
  <w:style w:type="character" w:customStyle="1" w:styleId="589">
    <w:name w:val="页眉 Char1"/>
    <w:semiHidden/>
    <w:qFormat/>
    <w:uiPriority w:val="0"/>
    <w:rPr>
      <w:rFonts w:eastAsia="宋体"/>
      <w:kern w:val="2"/>
      <w:sz w:val="18"/>
      <w:szCs w:val="18"/>
      <w:lang w:val="en-US" w:eastAsia="zh-CN" w:bidi="ar-SA"/>
    </w:rPr>
  </w:style>
  <w:style w:type="character" w:customStyle="1" w:styleId="590">
    <w:name w:val="标题 4 Char5"/>
    <w:semiHidden/>
    <w:qFormat/>
    <w:uiPriority w:val="9"/>
    <w:rPr>
      <w:rFonts w:ascii="Tahoma" w:hAnsi="Tahoma" w:eastAsia="宋体" w:cs="Tahoma"/>
      <w:bCs/>
      <w:kern w:val="2"/>
      <w:sz w:val="24"/>
      <w:szCs w:val="24"/>
      <w:lang w:val="en-US" w:eastAsia="zh-CN" w:bidi="ar-SA"/>
    </w:rPr>
  </w:style>
  <w:style w:type="character" w:customStyle="1" w:styleId="591">
    <w:name w:val="正文文本 3 字符2"/>
    <w:semiHidden/>
    <w:qFormat/>
    <w:uiPriority w:val="0"/>
    <w:rPr>
      <w:rFonts w:ascii="Tahoma" w:hAnsi="Tahoma" w:eastAsia="宋体" w:cs="Tahoma"/>
      <w:kern w:val="2"/>
      <w:sz w:val="16"/>
      <w:szCs w:val="16"/>
      <w:lang w:val="en-US" w:eastAsia="zh-CN" w:bidi="ar-SA"/>
    </w:rPr>
  </w:style>
  <w:style w:type="character" w:customStyle="1" w:styleId="592">
    <w:name w:val="jcfile_multimode_filename1"/>
    <w:semiHidden/>
    <w:qFormat/>
    <w:uiPriority w:val="0"/>
    <w:rPr>
      <w:color w:val="646464"/>
      <w:sz w:val="18"/>
      <w:szCs w:val="18"/>
    </w:rPr>
  </w:style>
  <w:style w:type="character" w:customStyle="1" w:styleId="593">
    <w:name w:val="正文文本缩进 3 字符2"/>
    <w:semiHidden/>
    <w:qFormat/>
    <w:uiPriority w:val="0"/>
    <w:rPr>
      <w:rFonts w:ascii="Tahoma" w:hAnsi="Tahoma" w:eastAsia="宋体" w:cs="Tahoma"/>
      <w:kern w:val="2"/>
      <w:sz w:val="16"/>
      <w:szCs w:val="16"/>
      <w:lang w:val="en-US" w:eastAsia="zh-CN" w:bidi="ar-SA"/>
    </w:rPr>
  </w:style>
  <w:style w:type="character" w:customStyle="1" w:styleId="594">
    <w:name w:val="批注主题 字符2"/>
    <w:semiHidden/>
    <w:qFormat/>
    <w:uiPriority w:val="0"/>
    <w:rPr>
      <w:rFonts w:ascii="Tahoma" w:hAnsi="Tahoma" w:eastAsia="宋体" w:cs="Tahoma"/>
      <w:b/>
      <w:kern w:val="2"/>
      <w:sz w:val="21"/>
      <w:szCs w:val="24"/>
      <w:lang w:val="en-US" w:eastAsia="zh-CN" w:bidi="ar-SA"/>
    </w:rPr>
  </w:style>
  <w:style w:type="character" w:customStyle="1" w:styleId="595">
    <w:name w:val="font101"/>
    <w:semiHidden/>
    <w:qFormat/>
    <w:uiPriority w:val="0"/>
    <w:rPr>
      <w:rFonts w:hint="eastAsia" w:ascii="宋体" w:hAnsi="宋体" w:eastAsia="宋体" w:cs="宋体"/>
      <w:color w:val="000000"/>
      <w:sz w:val="24"/>
      <w:szCs w:val="24"/>
      <w:u w:val="none"/>
    </w:rPr>
  </w:style>
  <w:style w:type="character" w:customStyle="1" w:styleId="596">
    <w:name w:val="Char Char181"/>
    <w:semiHidden/>
    <w:qFormat/>
    <w:locked/>
    <w:uiPriority w:val="0"/>
    <w:rPr>
      <w:rFonts w:ascii="Arial" w:hAnsi="Arial" w:eastAsia="黑体"/>
      <w:kern w:val="2"/>
      <w:sz w:val="24"/>
      <w:szCs w:val="24"/>
      <w:lang w:val="en-US" w:eastAsia="zh-CN" w:bidi="ar-SA"/>
    </w:rPr>
  </w:style>
  <w:style w:type="character" w:customStyle="1" w:styleId="597">
    <w:name w:val="已访问的超链接1"/>
    <w:semiHidden/>
    <w:qFormat/>
    <w:uiPriority w:val="99"/>
    <w:rPr>
      <w:color w:val="800080"/>
      <w:u w:val="single"/>
    </w:rPr>
  </w:style>
  <w:style w:type="character" w:customStyle="1" w:styleId="598">
    <w:name w:val="Char Char134"/>
    <w:semiHidden/>
    <w:qFormat/>
    <w:locked/>
    <w:uiPriority w:val="0"/>
    <w:rPr>
      <w:rFonts w:ascii="黑体" w:hAnsi="宋体" w:eastAsia="黑体" w:cs="黑体"/>
      <w:color w:val="000000"/>
      <w:kern w:val="2"/>
      <w:sz w:val="24"/>
      <w:szCs w:val="24"/>
      <w:lang w:val="en-US" w:eastAsia="zh-CN" w:bidi="ar-SA"/>
    </w:rPr>
  </w:style>
  <w:style w:type="character" w:customStyle="1" w:styleId="599">
    <w:name w:val="标题 5 Char"/>
    <w:semiHidden/>
    <w:qFormat/>
    <w:uiPriority w:val="9"/>
    <w:rPr>
      <w:rFonts w:eastAsia="宋体"/>
      <w:b/>
      <w:bCs/>
      <w:kern w:val="2"/>
      <w:sz w:val="28"/>
      <w:szCs w:val="28"/>
    </w:rPr>
  </w:style>
  <w:style w:type="character" w:customStyle="1" w:styleId="600">
    <w:name w:val="签名 Char"/>
    <w:semiHidden/>
    <w:qFormat/>
    <w:uiPriority w:val="0"/>
    <w:rPr>
      <w:rFonts w:eastAsia="宋体"/>
      <w:kern w:val="2"/>
      <w:sz w:val="21"/>
      <w:szCs w:val="24"/>
      <w:lang w:bidi="ar-SA"/>
    </w:rPr>
  </w:style>
  <w:style w:type="character" w:customStyle="1" w:styleId="601">
    <w:name w:val="Char Char7"/>
    <w:semiHidden/>
    <w:qFormat/>
    <w:locked/>
    <w:uiPriority w:val="0"/>
    <w:rPr>
      <w:rFonts w:ascii="宋体" w:hAnsi="宋体" w:eastAsia="宋体"/>
      <w:snapToGrid w:val="0"/>
      <w:sz w:val="24"/>
      <w:szCs w:val="24"/>
      <w:lang w:val="en-US" w:eastAsia="zh-CN" w:bidi="ar-SA"/>
    </w:rPr>
  </w:style>
  <w:style w:type="character" w:customStyle="1" w:styleId="602">
    <w:name w:val="电子邮件签名 Char4"/>
    <w:semiHidden/>
    <w:qFormat/>
    <w:uiPriority w:val="99"/>
    <w:rPr>
      <w:rFonts w:ascii="Times New Roman" w:hAnsi="Times New Roman" w:eastAsia="宋体" w:cs="Times New Roman"/>
      <w:szCs w:val="24"/>
    </w:rPr>
  </w:style>
  <w:style w:type="character" w:customStyle="1" w:styleId="603">
    <w:name w:val="正文文本首行缩进 字符1"/>
    <w:semiHidden/>
    <w:qFormat/>
    <w:uiPriority w:val="0"/>
    <w:rPr>
      <w:rFonts w:hint="default" w:ascii="Tahoma" w:hAnsi="Tahoma" w:eastAsia="宋体" w:cs="Tahoma"/>
      <w:kern w:val="2"/>
      <w:sz w:val="21"/>
      <w:szCs w:val="24"/>
      <w:lang w:val="en-US" w:eastAsia="zh-CN" w:bidi="ar"/>
    </w:rPr>
  </w:style>
  <w:style w:type="character" w:customStyle="1" w:styleId="604">
    <w:name w:val="Char Char131"/>
    <w:semiHidden/>
    <w:qFormat/>
    <w:locked/>
    <w:uiPriority w:val="0"/>
    <w:rPr>
      <w:rFonts w:ascii="黑体" w:hAnsi="宋体" w:eastAsia="黑体" w:cs="黑体"/>
      <w:color w:val="000000"/>
      <w:kern w:val="2"/>
      <w:sz w:val="24"/>
      <w:szCs w:val="24"/>
      <w:lang w:val="en-US" w:eastAsia="zh-CN" w:bidi="ar-SA"/>
    </w:rPr>
  </w:style>
  <w:style w:type="character" w:customStyle="1" w:styleId="605">
    <w:name w:val="正文文本 Char"/>
    <w:semiHidden/>
    <w:qFormat/>
    <w:uiPriority w:val="99"/>
    <w:rPr>
      <w:rFonts w:eastAsia="宋体"/>
      <w:kern w:val="2"/>
      <w:sz w:val="21"/>
      <w:szCs w:val="24"/>
      <w:lang w:val="en-US" w:eastAsia="zh-CN" w:bidi="ar-SA"/>
    </w:rPr>
  </w:style>
  <w:style w:type="character" w:customStyle="1" w:styleId="606">
    <w:name w:val="Char Char194"/>
    <w:semiHidden/>
    <w:qFormat/>
    <w:uiPriority w:val="0"/>
    <w:rPr>
      <w:rFonts w:ascii="Times New Roman" w:hAnsi="Times New Roman" w:eastAsia="黑体" w:cs="Times New Roman"/>
      <w:kern w:val="44"/>
      <w:sz w:val="32"/>
      <w:szCs w:val="36"/>
    </w:rPr>
  </w:style>
  <w:style w:type="character" w:customStyle="1" w:styleId="607">
    <w:name w:val="Char Char62"/>
    <w:semiHidden/>
    <w:qFormat/>
    <w:locked/>
    <w:uiPriority w:val="0"/>
    <w:rPr>
      <w:rFonts w:ascii="Cambria" w:hAnsi="Cambria" w:eastAsia="宋体"/>
      <w:b/>
      <w:bCs/>
      <w:kern w:val="2"/>
      <w:sz w:val="32"/>
      <w:szCs w:val="32"/>
      <w:lang w:val="en-US" w:eastAsia="zh-CN" w:bidi="ar-SA"/>
    </w:rPr>
  </w:style>
  <w:style w:type="character" w:customStyle="1" w:styleId="608">
    <w:name w:val="页脚 字符1"/>
    <w:semiHidden/>
    <w:qFormat/>
    <w:uiPriority w:val="99"/>
    <w:rPr>
      <w:rFonts w:eastAsia="宋体"/>
      <w:kern w:val="2"/>
      <w:sz w:val="18"/>
      <w:szCs w:val="18"/>
      <w:lang w:val="en-US" w:eastAsia="zh-CN" w:bidi="ar-SA"/>
    </w:rPr>
  </w:style>
  <w:style w:type="character" w:customStyle="1" w:styleId="609">
    <w:name w:val="标题222 Char"/>
    <w:link w:val="610"/>
    <w:qFormat/>
    <w:uiPriority w:val="0"/>
    <w:rPr>
      <w:rFonts w:eastAsia="黑体"/>
      <w:bCs/>
      <w:snapToGrid/>
      <w:color w:val="000000"/>
      <w:sz w:val="28"/>
      <w:szCs w:val="28"/>
    </w:rPr>
  </w:style>
  <w:style w:type="paragraph" w:customStyle="1" w:styleId="610">
    <w:name w:val="标题222"/>
    <w:basedOn w:val="3"/>
    <w:link w:val="609"/>
    <w:semiHidden/>
    <w:qFormat/>
    <w:uiPriority w:val="0"/>
    <w:pPr>
      <w:keepNext w:val="0"/>
      <w:keepLines w:val="0"/>
      <w:adjustRightInd w:val="0"/>
      <w:snapToGrid w:val="0"/>
    </w:pPr>
    <w:rPr>
      <w:bCs/>
      <w:color w:val="000000"/>
    </w:rPr>
  </w:style>
  <w:style w:type="character" w:customStyle="1" w:styleId="611">
    <w:name w:val="尾注文本 Char4"/>
    <w:semiHidden/>
    <w:qFormat/>
    <w:uiPriority w:val="99"/>
    <w:rPr>
      <w:rFonts w:ascii="Times New Roman" w:hAnsi="Times New Roman" w:eastAsia="宋体" w:cs="Times New Roman"/>
      <w:szCs w:val="24"/>
    </w:rPr>
  </w:style>
  <w:style w:type="character" w:customStyle="1" w:styleId="612">
    <w:name w:val="批注文字 Char3"/>
    <w:semiHidden/>
    <w:qFormat/>
    <w:uiPriority w:val="0"/>
    <w:rPr>
      <w:rFonts w:hint="default" w:ascii="Tahoma" w:hAnsi="Tahoma" w:eastAsia="宋体" w:cs="Tahoma"/>
      <w:kern w:val="2"/>
      <w:sz w:val="21"/>
      <w:szCs w:val="24"/>
      <w:lang w:val="en-US" w:eastAsia="zh-CN" w:bidi="ar"/>
    </w:rPr>
  </w:style>
  <w:style w:type="character" w:customStyle="1" w:styleId="613">
    <w:name w:val="Char Char3"/>
    <w:semiHidden/>
    <w:qFormat/>
    <w:locked/>
    <w:uiPriority w:val="0"/>
    <w:rPr>
      <w:rFonts w:ascii="宋体" w:hAnsi="宋体" w:eastAsia="宋体"/>
      <w:kern w:val="2"/>
      <w:sz w:val="21"/>
      <w:szCs w:val="24"/>
      <w:lang w:val="en-US" w:eastAsia="zh-CN" w:bidi="ar-SA"/>
    </w:rPr>
  </w:style>
  <w:style w:type="character" w:customStyle="1" w:styleId="614">
    <w:name w:val="标题 3 Char3"/>
    <w:semiHidden/>
    <w:qFormat/>
    <w:uiPriority w:val="0"/>
    <w:rPr>
      <w:rFonts w:eastAsia="黑体"/>
      <w:bCs/>
      <w:kern w:val="2"/>
      <w:sz w:val="24"/>
      <w:szCs w:val="28"/>
      <w:lang w:val="en-US" w:eastAsia="zh-CN" w:bidi="ar-SA"/>
    </w:rPr>
  </w:style>
  <w:style w:type="character" w:customStyle="1" w:styleId="615">
    <w:name w:val="Char Char172"/>
    <w:semiHidden/>
    <w:qFormat/>
    <w:locked/>
    <w:uiPriority w:val="0"/>
    <w:rPr>
      <w:rFonts w:eastAsia="黑体"/>
      <w:kern w:val="2"/>
      <w:sz w:val="24"/>
      <w:szCs w:val="21"/>
      <w:lang w:val="en-US" w:eastAsia="zh-CN" w:bidi="ar-SA"/>
    </w:rPr>
  </w:style>
  <w:style w:type="character" w:customStyle="1" w:styleId="616">
    <w:name w:val="Char Char29"/>
    <w:semiHidden/>
    <w:qFormat/>
    <w:uiPriority w:val="0"/>
    <w:rPr>
      <w:rFonts w:hint="eastAsia" w:ascii="宋体" w:hAnsi="宋体" w:eastAsia="宋体"/>
      <w:spacing w:val="20"/>
      <w:sz w:val="28"/>
      <w:szCs w:val="24"/>
      <w:lang w:val="en-US" w:eastAsia="zh-CN" w:bidi="ar-SA"/>
    </w:rPr>
  </w:style>
  <w:style w:type="character" w:customStyle="1" w:styleId="617">
    <w:name w:val="正文首行缩进 Char"/>
    <w:semiHidden/>
    <w:qFormat/>
    <w:uiPriority w:val="0"/>
    <w:rPr>
      <w:rFonts w:eastAsia="宋体"/>
      <w:kern w:val="2"/>
      <w:sz w:val="21"/>
      <w:szCs w:val="24"/>
      <w:lang w:val="en-US" w:eastAsia="zh-CN" w:bidi="ar-SA"/>
    </w:rPr>
  </w:style>
  <w:style w:type="character" w:customStyle="1" w:styleId="618">
    <w:name w:val="文档结构图 字符1"/>
    <w:semiHidden/>
    <w:qFormat/>
    <w:uiPriority w:val="0"/>
    <w:rPr>
      <w:rFonts w:hint="eastAsia" w:ascii="Microsoft YaHei UI" w:hAnsi="Tahoma" w:eastAsia="Microsoft YaHei UI" w:cs="Tahoma"/>
      <w:kern w:val="2"/>
      <w:sz w:val="18"/>
      <w:szCs w:val="18"/>
      <w:lang w:val="en-US" w:eastAsia="zh-CN" w:bidi="ar"/>
    </w:rPr>
  </w:style>
  <w:style w:type="character" w:customStyle="1" w:styleId="619">
    <w:name w:val="标题 2 字符1"/>
    <w:semiHidden/>
    <w:qFormat/>
    <w:uiPriority w:val="0"/>
    <w:rPr>
      <w:rFonts w:eastAsia="黑体"/>
      <w:snapToGrid/>
      <w:sz w:val="28"/>
      <w:szCs w:val="28"/>
    </w:rPr>
  </w:style>
  <w:style w:type="character" w:customStyle="1" w:styleId="620">
    <w:name w:val="标题 3 Char5"/>
    <w:semiHidden/>
    <w:qFormat/>
    <w:uiPriority w:val="0"/>
    <w:rPr>
      <w:rFonts w:eastAsia="黑体" w:cs="Calibri"/>
      <w:snapToGrid w:val="0"/>
      <w:sz w:val="24"/>
      <w:szCs w:val="24"/>
      <w:lang w:val="en-US" w:eastAsia="zh-CN" w:bidi="ar-SA"/>
    </w:rPr>
  </w:style>
  <w:style w:type="character" w:customStyle="1" w:styleId="621">
    <w:name w:val="批注框文本 Char"/>
    <w:semiHidden/>
    <w:qFormat/>
    <w:uiPriority w:val="99"/>
    <w:rPr>
      <w:rFonts w:eastAsia="宋体"/>
      <w:kern w:val="2"/>
      <w:sz w:val="18"/>
      <w:szCs w:val="18"/>
      <w:lang w:bidi="ar-SA"/>
    </w:rPr>
  </w:style>
  <w:style w:type="character" w:customStyle="1" w:styleId="622">
    <w:name w:val="注释标题 字符"/>
    <w:semiHidden/>
    <w:qFormat/>
    <w:uiPriority w:val="0"/>
    <w:rPr>
      <w:kern w:val="2"/>
      <w:sz w:val="21"/>
      <w:szCs w:val="24"/>
      <w:lang w:val="zh-CN" w:eastAsia="zh-CN"/>
    </w:rPr>
  </w:style>
  <w:style w:type="character" w:customStyle="1" w:styleId="623">
    <w:name w:val="样式 标题 1 + (中文) 黑体 小三 非加粗 Char"/>
    <w:link w:val="624"/>
    <w:qFormat/>
    <w:uiPriority w:val="0"/>
    <w:rPr>
      <w:rFonts w:eastAsia="黑体"/>
      <w:b/>
      <w:kern w:val="44"/>
      <w:sz w:val="32"/>
      <w:szCs w:val="32"/>
    </w:rPr>
  </w:style>
  <w:style w:type="paragraph" w:customStyle="1" w:styleId="624">
    <w:name w:val="样式 标题 1 + (中文) 黑体 小三 非加粗"/>
    <w:basedOn w:val="2"/>
    <w:link w:val="623"/>
    <w:semiHidden/>
    <w:qFormat/>
    <w:uiPriority w:val="0"/>
    <w:pPr>
      <w:spacing w:line="300" w:lineRule="exact"/>
    </w:pPr>
    <w:rPr>
      <w:b/>
      <w:bCs w:val="0"/>
      <w:snapToGrid/>
      <w:kern w:val="44"/>
    </w:rPr>
  </w:style>
  <w:style w:type="character" w:customStyle="1" w:styleId="625">
    <w:name w:val="纯文本 Char3"/>
    <w:semiHidden/>
    <w:qFormat/>
    <w:uiPriority w:val="0"/>
    <w:rPr>
      <w:rFonts w:ascii="宋体" w:hAnsi="Courier New" w:eastAsia="宋体" w:cs="Courier New"/>
      <w:szCs w:val="21"/>
    </w:rPr>
  </w:style>
  <w:style w:type="character" w:customStyle="1" w:styleId="626">
    <w:name w:val="Char Char222"/>
    <w:semiHidden/>
    <w:qFormat/>
    <w:uiPriority w:val="0"/>
    <w:rPr>
      <w:rFonts w:hint="eastAsia" w:ascii="黑体" w:eastAsia="黑体"/>
      <w:bCs/>
      <w:snapToGrid w:val="0"/>
      <w:sz w:val="24"/>
      <w:szCs w:val="24"/>
      <w:lang w:val="en-US" w:eastAsia="zh-CN" w:bidi="ar-SA"/>
    </w:rPr>
  </w:style>
  <w:style w:type="character" w:customStyle="1" w:styleId="627">
    <w:name w:val="Char Char43"/>
    <w:semiHidden/>
    <w:qFormat/>
    <w:locked/>
    <w:uiPriority w:val="0"/>
    <w:rPr>
      <w:rFonts w:ascii="Arial" w:hAnsi="Arial" w:eastAsia="宋体" w:cs="Arial"/>
      <w:kern w:val="2"/>
      <w:sz w:val="24"/>
      <w:szCs w:val="24"/>
      <w:lang w:val="en-US" w:eastAsia="zh-CN" w:bidi="ar-SA"/>
    </w:rPr>
  </w:style>
  <w:style w:type="character" w:customStyle="1" w:styleId="628">
    <w:name w:val="正文文本缩进 3 Char"/>
    <w:semiHidden/>
    <w:qFormat/>
    <w:uiPriority w:val="0"/>
    <w:rPr>
      <w:rFonts w:eastAsia="宋体"/>
      <w:kern w:val="2"/>
      <w:sz w:val="16"/>
      <w:szCs w:val="16"/>
      <w:lang w:bidi="ar-SA"/>
    </w:rPr>
  </w:style>
  <w:style w:type="character" w:customStyle="1" w:styleId="629">
    <w:name w:val="正文文本缩进 Char4"/>
    <w:semiHidden/>
    <w:qFormat/>
    <w:uiPriority w:val="0"/>
    <w:rPr>
      <w:rFonts w:hint="default" w:ascii="Tahoma" w:hAnsi="Tahoma" w:eastAsia="宋体" w:cs="Tahoma"/>
      <w:kern w:val="2"/>
      <w:sz w:val="21"/>
      <w:szCs w:val="24"/>
      <w:lang w:val="en-US" w:eastAsia="zh-CN" w:bidi="ar"/>
    </w:rPr>
  </w:style>
  <w:style w:type="character" w:customStyle="1" w:styleId="630">
    <w:name w:val="标题 5 字符"/>
    <w:semiHidden/>
    <w:qFormat/>
    <w:uiPriority w:val="0"/>
    <w:rPr>
      <w:rFonts w:ascii="Times New Roman" w:hAnsi="Times New Roman" w:eastAsia="黑体" w:cs="Times New Roman"/>
      <w:bCs/>
      <w:sz w:val="24"/>
      <w:szCs w:val="24"/>
    </w:rPr>
  </w:style>
  <w:style w:type="character" w:customStyle="1" w:styleId="631">
    <w:name w:val="副标题 Char4"/>
    <w:semiHidden/>
    <w:qFormat/>
    <w:uiPriority w:val="11"/>
    <w:rPr>
      <w:rFonts w:ascii="Calibri Light" w:hAnsi="Calibri Light" w:eastAsia="宋体" w:cs="Times New Roman"/>
      <w:b/>
      <w:bCs/>
      <w:kern w:val="28"/>
      <w:sz w:val="32"/>
      <w:szCs w:val="32"/>
    </w:rPr>
  </w:style>
  <w:style w:type="character" w:customStyle="1" w:styleId="632">
    <w:name w:val="正文文本 3 字符"/>
    <w:semiHidden/>
    <w:qFormat/>
    <w:uiPriority w:val="0"/>
    <w:rPr>
      <w:kern w:val="2"/>
      <w:sz w:val="16"/>
      <w:szCs w:val="16"/>
      <w:lang w:val="zh-CN" w:eastAsia="zh-CN"/>
    </w:rPr>
  </w:style>
  <w:style w:type="character" w:customStyle="1" w:styleId="633">
    <w:name w:val="Char Char25"/>
    <w:semiHidden/>
    <w:qFormat/>
    <w:uiPriority w:val="0"/>
    <w:rPr>
      <w:rFonts w:hint="eastAsia" w:ascii="宋体" w:hAnsi="宋体" w:eastAsia="宋体"/>
      <w:spacing w:val="20"/>
      <w:sz w:val="28"/>
      <w:szCs w:val="24"/>
      <w:lang w:val="en-US" w:eastAsia="zh-CN" w:bidi="ar-SA"/>
    </w:rPr>
  </w:style>
  <w:style w:type="character" w:customStyle="1" w:styleId="634">
    <w:name w:val="样式 宋体 四号"/>
    <w:semiHidden/>
    <w:qFormat/>
    <w:uiPriority w:val="0"/>
    <w:rPr>
      <w:rFonts w:ascii="宋体" w:hAnsi="宋体"/>
      <w:sz w:val="24"/>
    </w:rPr>
  </w:style>
  <w:style w:type="character" w:customStyle="1" w:styleId="635">
    <w:name w:val="正文首行缩进 Char2"/>
    <w:semiHidden/>
    <w:qFormat/>
    <w:uiPriority w:val="0"/>
    <w:rPr>
      <w:rFonts w:hint="default" w:ascii="Tahoma" w:hAnsi="Tahoma" w:eastAsia="宋体" w:cs="Tahoma"/>
      <w:kern w:val="2"/>
      <w:sz w:val="21"/>
      <w:szCs w:val="24"/>
      <w:lang w:val="en-US" w:eastAsia="zh-CN" w:bidi="ar"/>
    </w:rPr>
  </w:style>
  <w:style w:type="character" w:customStyle="1" w:styleId="636">
    <w:name w:val="标题3， Char"/>
    <w:semiHidden/>
    <w:qFormat/>
    <w:uiPriority w:val="0"/>
    <w:rPr>
      <w:rFonts w:eastAsia="黑体"/>
      <w:b/>
      <w:bCs/>
      <w:kern w:val="2"/>
      <w:sz w:val="24"/>
      <w:szCs w:val="24"/>
      <w:lang w:val="en-US" w:eastAsia="zh-CN" w:bidi="ar-SA"/>
    </w:rPr>
  </w:style>
  <w:style w:type="character" w:customStyle="1" w:styleId="637">
    <w:name w:val="Char Char164"/>
    <w:semiHidden/>
    <w:qFormat/>
    <w:locked/>
    <w:uiPriority w:val="0"/>
    <w:rPr>
      <w:rFonts w:ascii="宋体" w:hAnsi="宋体" w:eastAsia="宋体"/>
      <w:kern w:val="2"/>
      <w:sz w:val="21"/>
      <w:szCs w:val="24"/>
      <w:lang w:val="en-US" w:eastAsia="zh-CN" w:bidi="ar-SA"/>
    </w:rPr>
  </w:style>
  <w:style w:type="character" w:customStyle="1" w:styleId="638">
    <w:name w:val="日期 Char4"/>
    <w:semiHidden/>
    <w:qFormat/>
    <w:uiPriority w:val="0"/>
    <w:rPr>
      <w:rFonts w:ascii="Tahoma" w:hAnsi="Tahoma" w:eastAsia="宋体" w:cs="Tahoma"/>
      <w:kern w:val="2"/>
      <w:sz w:val="21"/>
      <w:szCs w:val="24"/>
      <w:lang w:val="en-US" w:eastAsia="zh-CN" w:bidi="ar-SA"/>
    </w:rPr>
  </w:style>
  <w:style w:type="character" w:customStyle="1" w:styleId="639">
    <w:name w:val="批注主题 字符1"/>
    <w:semiHidden/>
    <w:qFormat/>
    <w:uiPriority w:val="0"/>
    <w:rPr>
      <w:rFonts w:hint="default" w:ascii="Tahoma" w:hAnsi="Tahoma" w:eastAsia="宋体" w:cs="Tahoma"/>
      <w:b/>
      <w:kern w:val="2"/>
      <w:sz w:val="21"/>
      <w:szCs w:val="24"/>
      <w:lang w:val="en-US" w:eastAsia="zh-CN" w:bidi="ar"/>
    </w:rPr>
  </w:style>
  <w:style w:type="character" w:customStyle="1" w:styleId="640">
    <w:name w:val="正文首行缩进 字符"/>
    <w:semiHidden/>
    <w:qFormat/>
    <w:uiPriority w:val="0"/>
    <w:rPr>
      <w:kern w:val="2"/>
      <w:sz w:val="21"/>
      <w:szCs w:val="24"/>
    </w:rPr>
  </w:style>
  <w:style w:type="character" w:customStyle="1" w:styleId="641">
    <w:name w:val="font61"/>
    <w:semiHidden/>
    <w:qFormat/>
    <w:uiPriority w:val="0"/>
    <w:rPr>
      <w:rFonts w:hint="eastAsia" w:ascii="宋体" w:hAnsi="宋体" w:eastAsia="宋体" w:cs="宋体"/>
      <w:color w:val="auto"/>
      <w:kern w:val="2"/>
      <w:sz w:val="21"/>
      <w:szCs w:val="21"/>
      <w:u w:val="none"/>
      <w:lang w:val="en-US" w:eastAsia="zh-CN" w:bidi="ar-SA"/>
    </w:rPr>
  </w:style>
  <w:style w:type="character" w:customStyle="1" w:styleId="642">
    <w:name w:val="Char Char212"/>
    <w:semiHidden/>
    <w:qFormat/>
    <w:uiPriority w:val="0"/>
    <w:rPr>
      <w:kern w:val="2"/>
      <w:sz w:val="18"/>
      <w:szCs w:val="18"/>
    </w:rPr>
  </w:style>
  <w:style w:type="character" w:customStyle="1" w:styleId="643">
    <w:name w:val="style41"/>
    <w:semiHidden/>
    <w:qFormat/>
    <w:uiPriority w:val="0"/>
    <w:rPr>
      <w:sz w:val="18"/>
      <w:szCs w:val="18"/>
    </w:rPr>
  </w:style>
  <w:style w:type="character" w:customStyle="1" w:styleId="644">
    <w:name w:val="电子邮件签名 字符"/>
    <w:semiHidden/>
    <w:qFormat/>
    <w:uiPriority w:val="0"/>
    <w:rPr>
      <w:kern w:val="2"/>
      <w:sz w:val="21"/>
      <w:szCs w:val="24"/>
      <w:lang w:val="zh-CN" w:eastAsia="zh-CN"/>
    </w:rPr>
  </w:style>
  <w:style w:type="character" w:customStyle="1" w:styleId="645">
    <w:name w:val="批注框文本 Char3"/>
    <w:semiHidden/>
    <w:qFormat/>
    <w:uiPriority w:val="0"/>
    <w:rPr>
      <w:rFonts w:hint="default" w:ascii="Tahoma" w:hAnsi="Tahoma" w:eastAsia="宋体" w:cs="Tahoma"/>
      <w:kern w:val="2"/>
      <w:sz w:val="18"/>
      <w:szCs w:val="18"/>
      <w:lang w:val="en-US" w:eastAsia="zh-CN" w:bidi="ar"/>
    </w:rPr>
  </w:style>
  <w:style w:type="character" w:customStyle="1" w:styleId="646">
    <w:name w:val="结束语 字符"/>
    <w:semiHidden/>
    <w:qFormat/>
    <w:uiPriority w:val="0"/>
    <w:rPr>
      <w:kern w:val="2"/>
      <w:sz w:val="21"/>
      <w:szCs w:val="24"/>
      <w:lang w:val="zh-CN" w:eastAsia="zh-CN"/>
    </w:rPr>
  </w:style>
  <w:style w:type="character" w:customStyle="1" w:styleId="647">
    <w:name w:val="批注主题 Char"/>
    <w:semiHidden/>
    <w:qFormat/>
    <w:uiPriority w:val="99"/>
    <w:rPr>
      <w:rFonts w:eastAsia="宋体"/>
      <w:b/>
      <w:bCs/>
      <w:kern w:val="2"/>
      <w:sz w:val="21"/>
      <w:szCs w:val="24"/>
      <w:lang w:bidi="ar-SA"/>
    </w:rPr>
  </w:style>
  <w:style w:type="character" w:customStyle="1" w:styleId="648">
    <w:name w:val="正文缩进 Char"/>
    <w:semiHidden/>
    <w:qFormat/>
    <w:uiPriority w:val="0"/>
    <w:rPr>
      <w:rFonts w:eastAsia="宋体"/>
      <w:kern w:val="2"/>
      <w:sz w:val="21"/>
      <w:szCs w:val="24"/>
      <w:lang w:val="en-US" w:eastAsia="zh-CN" w:bidi="ar-SA"/>
    </w:rPr>
  </w:style>
  <w:style w:type="character" w:customStyle="1" w:styleId="649">
    <w:name w:val="正文首行缩进 2 Char"/>
    <w:semiHidden/>
    <w:qFormat/>
    <w:uiPriority w:val="0"/>
    <w:rPr>
      <w:rFonts w:eastAsia="宋体"/>
      <w:kern w:val="2"/>
      <w:sz w:val="21"/>
      <w:szCs w:val="24"/>
      <w:lang w:bidi="ar-SA"/>
    </w:rPr>
  </w:style>
  <w:style w:type="character" w:customStyle="1" w:styleId="650">
    <w:name w:val="Char Char210"/>
    <w:semiHidden/>
    <w:qFormat/>
    <w:uiPriority w:val="0"/>
    <w:rPr>
      <w:kern w:val="2"/>
      <w:sz w:val="18"/>
      <w:szCs w:val="18"/>
    </w:rPr>
  </w:style>
  <w:style w:type="character" w:customStyle="1" w:styleId="651">
    <w:name w:val="批注主题 Char2"/>
    <w:semiHidden/>
    <w:qFormat/>
    <w:uiPriority w:val="0"/>
    <w:rPr>
      <w:rFonts w:hint="default" w:ascii="Tahoma" w:hAnsi="Tahoma" w:eastAsia="宋体" w:cs="Tahoma"/>
      <w:b/>
      <w:kern w:val="2"/>
      <w:sz w:val="21"/>
      <w:szCs w:val="24"/>
      <w:lang w:val="en-US" w:eastAsia="zh-CN" w:bidi="ar"/>
    </w:rPr>
  </w:style>
  <w:style w:type="character" w:customStyle="1" w:styleId="652">
    <w:name w:val="标题 8 字符"/>
    <w:semiHidden/>
    <w:qFormat/>
    <w:uiPriority w:val="0"/>
    <w:rPr>
      <w:rFonts w:eastAsia="黑体"/>
      <w:kern w:val="2"/>
      <w:sz w:val="24"/>
      <w:szCs w:val="24"/>
    </w:rPr>
  </w:style>
  <w:style w:type="character" w:customStyle="1" w:styleId="653">
    <w:name w:val="标题 1 字符"/>
    <w:semiHidden/>
    <w:qFormat/>
    <w:uiPriority w:val="0"/>
    <w:rPr>
      <w:rFonts w:ascii="Times New Roman" w:hAnsi="Times New Roman" w:eastAsia="黑体"/>
      <w:bCs/>
      <w:kern w:val="44"/>
      <w:sz w:val="32"/>
      <w:szCs w:val="44"/>
    </w:rPr>
  </w:style>
  <w:style w:type="character" w:customStyle="1" w:styleId="654">
    <w:name w:val="纯文本 字符3"/>
    <w:semiHidden/>
    <w:qFormat/>
    <w:uiPriority w:val="0"/>
    <w:rPr>
      <w:rFonts w:hint="eastAsia" w:ascii="宋体" w:hAnsi="Courier New" w:eastAsia="宋体" w:cs="宋体"/>
      <w:kern w:val="2"/>
      <w:sz w:val="21"/>
      <w:szCs w:val="21"/>
      <w:lang w:val="en-US" w:eastAsia="zh-CN" w:bidi="ar-SA"/>
    </w:rPr>
  </w:style>
  <w:style w:type="character" w:customStyle="1" w:styleId="655">
    <w:name w:val="Char Char124"/>
    <w:semiHidden/>
    <w:qFormat/>
    <w:uiPriority w:val="0"/>
    <w:rPr>
      <w:sz w:val="18"/>
      <w:szCs w:val="18"/>
    </w:rPr>
  </w:style>
  <w:style w:type="character" w:customStyle="1" w:styleId="656">
    <w:name w:val="标题 4 Char1"/>
    <w:semiHidden/>
    <w:qFormat/>
    <w:uiPriority w:val="0"/>
    <w:rPr>
      <w:rFonts w:ascii="黑体" w:hAnsi="Arial" w:eastAsia="黑体" w:cs="Times New Roman"/>
      <w:sz w:val="24"/>
      <w:szCs w:val="28"/>
    </w:rPr>
  </w:style>
  <w:style w:type="character" w:customStyle="1" w:styleId="657">
    <w:name w:val="HTML 预设格式 Char4"/>
    <w:semiHidden/>
    <w:qFormat/>
    <w:uiPriority w:val="99"/>
    <w:rPr>
      <w:rFonts w:ascii="Courier New" w:hAnsi="Courier New" w:eastAsia="宋体" w:cs="Courier New"/>
      <w:sz w:val="20"/>
      <w:szCs w:val="20"/>
    </w:rPr>
  </w:style>
  <w:style w:type="character" w:customStyle="1" w:styleId="658">
    <w:name w:val="HTML 地址 字符1"/>
    <w:semiHidden/>
    <w:qFormat/>
    <w:uiPriority w:val="0"/>
    <w:rPr>
      <w:rFonts w:hint="default" w:ascii="Tahoma" w:hAnsi="Tahoma" w:eastAsia="宋体" w:cs="Tahoma"/>
      <w:i/>
      <w:kern w:val="2"/>
      <w:sz w:val="21"/>
      <w:szCs w:val="24"/>
      <w:lang w:val="en-US" w:eastAsia="zh-CN" w:bidi="ar"/>
    </w:rPr>
  </w:style>
  <w:style w:type="paragraph" w:customStyle="1" w:styleId="659">
    <w:name w:val="样式 标题 3 + 小三 行距: 1.5 倍行距"/>
    <w:basedOn w:val="4"/>
    <w:semiHidden/>
    <w:qFormat/>
    <w:uiPriority w:val="0"/>
    <w:pPr>
      <w:keepNext w:val="0"/>
      <w:keepLines w:val="0"/>
      <w:adjustRightInd w:val="0"/>
      <w:snapToGrid w:val="0"/>
      <w:spacing w:line="360" w:lineRule="auto"/>
    </w:pPr>
    <w:rPr>
      <w:rFonts w:ascii="宋体" w:hAnsi="宋体"/>
      <w:b/>
      <w:snapToGrid/>
      <w:sz w:val="28"/>
      <w:szCs w:val="28"/>
    </w:rPr>
  </w:style>
  <w:style w:type="paragraph" w:customStyle="1" w:styleId="660">
    <w:name w:val="Char Char Char Char"/>
    <w:basedOn w:val="1"/>
    <w:semiHidden/>
    <w:qFormat/>
    <w:uiPriority w:val="0"/>
  </w:style>
  <w:style w:type="paragraph" w:customStyle="1" w:styleId="661">
    <w:name w:val="xl9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662">
    <w:name w:val="样式 标题 3 + (中文) 黑体 非加粗 行距: 1.5 倍行距1"/>
    <w:basedOn w:val="4"/>
    <w:semiHidden/>
    <w:qFormat/>
    <w:uiPriority w:val="0"/>
    <w:pPr>
      <w:keepNext w:val="0"/>
      <w:keepLines w:val="0"/>
      <w:adjustRightInd w:val="0"/>
      <w:snapToGrid w:val="0"/>
      <w:spacing w:line="360" w:lineRule="auto"/>
    </w:pPr>
    <w:rPr>
      <w:bCs/>
      <w:snapToGrid/>
      <w:sz w:val="28"/>
      <w:szCs w:val="20"/>
    </w:rPr>
  </w:style>
  <w:style w:type="paragraph" w:customStyle="1" w:styleId="663">
    <w:name w:val="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4">
    <w:name w:val="xl9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65">
    <w:name w:val="xl111"/>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left"/>
    </w:pPr>
    <w:rPr>
      <w:kern w:val="0"/>
      <w:sz w:val="24"/>
    </w:rPr>
  </w:style>
  <w:style w:type="paragraph" w:customStyle="1" w:styleId="666">
    <w:name w:val="8.1.1b Char Char Char Char"/>
    <w:next w:val="1"/>
    <w:semiHidden/>
    <w:qFormat/>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667">
    <w:name w:val="样式 标题 2 + Times New Roman 三号"/>
    <w:basedOn w:val="3"/>
    <w:next w:val="3"/>
    <w:semiHidden/>
    <w:qFormat/>
    <w:uiPriority w:val="0"/>
    <w:pPr>
      <w:adjustRightInd w:val="0"/>
      <w:snapToGrid w:val="0"/>
      <w:spacing w:line="360" w:lineRule="auto"/>
    </w:pPr>
    <w:rPr>
      <w:rFonts w:ascii="宋体" w:hAnsi="宋体" w:eastAsia="宋体"/>
      <w:b/>
    </w:rPr>
  </w:style>
  <w:style w:type="paragraph" w:customStyle="1" w:styleId="668">
    <w:name w:val="font9"/>
    <w:basedOn w:val="1"/>
    <w:qFormat/>
    <w:uiPriority w:val="0"/>
    <w:pPr>
      <w:widowControl/>
      <w:spacing w:before="100" w:beforeAutospacing="1" w:after="100" w:afterAutospacing="1"/>
      <w:jc w:val="left"/>
    </w:pPr>
    <w:rPr>
      <w:kern w:val="0"/>
      <w:sz w:val="22"/>
      <w:szCs w:val="22"/>
    </w:rPr>
  </w:style>
  <w:style w:type="paragraph" w:customStyle="1" w:styleId="669">
    <w:name w:val="表内容居中"/>
    <w:basedOn w:val="1"/>
    <w:semiHidden/>
    <w:qFormat/>
    <w:uiPriority w:val="0"/>
    <w:pPr>
      <w:autoSpaceDE w:val="0"/>
      <w:autoSpaceDN w:val="0"/>
      <w:adjustRightInd w:val="0"/>
      <w:spacing w:line="320" w:lineRule="exact"/>
      <w:jc w:val="center"/>
    </w:pPr>
    <w:rPr>
      <w:rFonts w:eastAsia="Terminal"/>
      <w:kern w:val="0"/>
    </w:rPr>
  </w:style>
  <w:style w:type="paragraph" w:customStyle="1" w:styleId="670">
    <w:name w:val="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71">
    <w:name w:val="xl79"/>
    <w:basedOn w:val="1"/>
    <w:qFormat/>
    <w:uiPriority w:val="0"/>
    <w:pPr>
      <w:widowControl/>
      <w:pBdr>
        <w:bottom w:val="single" w:color="auto" w:sz="4" w:space="0"/>
      </w:pBdr>
      <w:spacing w:before="100" w:beforeAutospacing="1" w:after="100" w:afterAutospacing="1"/>
      <w:jc w:val="left"/>
    </w:pPr>
    <w:rPr>
      <w:rFonts w:ascii="宋体" w:hAnsi="宋体"/>
      <w:b/>
      <w:bCs/>
      <w:kern w:val="0"/>
      <w:sz w:val="22"/>
      <w:szCs w:val="22"/>
    </w:rPr>
  </w:style>
  <w:style w:type="paragraph" w:customStyle="1" w:styleId="672">
    <w:name w:val="表格内容"/>
    <w:basedOn w:val="1"/>
    <w:semiHidden/>
    <w:qFormat/>
    <w:uiPriority w:val="0"/>
    <w:pPr>
      <w:adjustRightInd w:val="0"/>
      <w:snapToGrid w:val="0"/>
      <w:spacing w:line="240" w:lineRule="exact"/>
      <w:jc w:val="center"/>
    </w:pPr>
    <w:rPr>
      <w:color w:val="000000"/>
    </w:rPr>
  </w:style>
  <w:style w:type="paragraph" w:customStyle="1" w:styleId="673">
    <w:name w:val="样式 标题 4 + 首行缩进:  2 字符"/>
    <w:basedOn w:val="5"/>
    <w:semiHidden/>
    <w:qFormat/>
    <w:uiPriority w:val="0"/>
    <w:pPr>
      <w:adjustRightInd w:val="0"/>
      <w:snapToGrid w:val="0"/>
      <w:spacing w:line="240" w:lineRule="auto"/>
    </w:pPr>
    <w:rPr>
      <w:rFonts w:ascii="宋体" w:hAnsi="宋体"/>
      <w:b/>
      <w:color w:val="FF0000"/>
      <w:kern w:val="0"/>
      <w:szCs w:val="20"/>
    </w:rPr>
  </w:style>
  <w:style w:type="paragraph" w:customStyle="1" w:styleId="674">
    <w:name w:val="xl104"/>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color w:val="000000"/>
      <w:kern w:val="0"/>
      <w:sz w:val="24"/>
    </w:rPr>
  </w:style>
  <w:style w:type="paragraph" w:customStyle="1" w:styleId="675">
    <w:name w:val="Char Char Char Char1"/>
    <w:basedOn w:val="1"/>
    <w:semiHidden/>
    <w:qFormat/>
    <w:uiPriority w:val="0"/>
  </w:style>
  <w:style w:type="paragraph" w:customStyle="1" w:styleId="676">
    <w:name w:val="样式 标题 4小标题1小标题11小标题12小标题13小标题14小标题15小标题16小标题17小标题18小标题..."/>
    <w:basedOn w:val="5"/>
    <w:semiHidden/>
    <w:qFormat/>
    <w:uiPriority w:val="0"/>
    <w:pPr>
      <w:spacing w:line="480" w:lineRule="exact"/>
    </w:pPr>
    <w:rPr>
      <w:szCs w:val="20"/>
    </w:rPr>
  </w:style>
  <w:style w:type="paragraph" w:customStyle="1" w:styleId="677">
    <w:name w:val="Char Char Char Char Char Char Char Char Char Char Char Char Char Char Char Char"/>
    <w:basedOn w:val="1"/>
    <w:semiHidden/>
    <w:qFormat/>
    <w:uiPriority w:val="0"/>
    <w:pPr>
      <w:tabs>
        <w:tab w:val="left" w:pos="360"/>
      </w:tabs>
      <w:spacing w:line="480" w:lineRule="exact"/>
      <w:ind w:firstLine="560" w:firstLineChars="200"/>
    </w:pPr>
    <w:rPr>
      <w:sz w:val="28"/>
      <w:szCs w:val="28"/>
    </w:rPr>
  </w:style>
  <w:style w:type="paragraph" w:customStyle="1" w:styleId="678">
    <w:name w:val="龙滩"/>
    <w:basedOn w:val="30"/>
    <w:next w:val="1"/>
    <w:semiHidden/>
    <w:qFormat/>
    <w:uiPriority w:val="0"/>
    <w:pPr>
      <w:tabs>
        <w:tab w:val="left" w:pos="0"/>
      </w:tabs>
      <w:spacing w:after="120" w:line="480" w:lineRule="exact"/>
      <w:ind w:firstLine="0"/>
      <w:outlineLvl w:val="0"/>
    </w:pPr>
    <w:rPr>
      <w:kern w:val="0"/>
    </w:rPr>
  </w:style>
  <w:style w:type="paragraph" w:customStyle="1" w:styleId="679">
    <w:name w:val="NormalIndent"/>
    <w:basedOn w:val="1"/>
    <w:semiHidden/>
    <w:qFormat/>
    <w:uiPriority w:val="0"/>
    <w:pPr>
      <w:spacing w:line="480" w:lineRule="exact"/>
      <w:ind w:firstLine="567"/>
      <w:textAlignment w:val="baseline"/>
    </w:pPr>
    <w:rPr>
      <w:kern w:val="0"/>
      <w:sz w:val="28"/>
      <w:szCs w:val="20"/>
    </w:rPr>
  </w:style>
  <w:style w:type="paragraph" w:customStyle="1" w:styleId="680">
    <w:name w:val="gyy正文"/>
    <w:basedOn w:val="1"/>
    <w:semiHidden/>
    <w:qFormat/>
    <w:uiPriority w:val="0"/>
    <w:pPr>
      <w:spacing w:line="360" w:lineRule="auto"/>
      <w:ind w:firstLine="480" w:firstLineChars="200"/>
    </w:pPr>
    <w:rPr>
      <w:sz w:val="24"/>
    </w:rPr>
  </w:style>
  <w:style w:type="paragraph" w:customStyle="1" w:styleId="681">
    <w:name w:val="正文排版"/>
    <w:basedOn w:val="39"/>
    <w:semiHidden/>
    <w:qFormat/>
    <w:uiPriority w:val="0"/>
    <w:pPr>
      <w:tabs>
        <w:tab w:val="left" w:pos="0"/>
      </w:tabs>
      <w:autoSpaceDE w:val="0"/>
      <w:autoSpaceDN w:val="0"/>
      <w:adjustRightInd w:val="0"/>
      <w:spacing w:line="360" w:lineRule="auto"/>
      <w:textAlignment w:val="baseline"/>
    </w:pPr>
    <w:rPr>
      <w:rFonts w:ascii="Times New Roman" w:hAnsi="Times New Roman" w:cs="Courier New"/>
      <w:kern w:val="0"/>
      <w:sz w:val="24"/>
    </w:rPr>
  </w:style>
  <w:style w:type="paragraph" w:customStyle="1" w:styleId="682">
    <w:name w:val="Char Char2 Char Char Char Char3"/>
    <w:basedOn w:val="1"/>
    <w:semiHidden/>
    <w:qFormat/>
    <w:uiPriority w:val="0"/>
  </w:style>
  <w:style w:type="paragraph" w:customStyle="1" w:styleId="683">
    <w:name w:val="Char1 Char Char Char Char Char Char Char Char Char"/>
    <w:basedOn w:val="2"/>
    <w:semiHidden/>
    <w:qFormat/>
    <w:uiPriority w:val="0"/>
    <w:pPr>
      <w:spacing w:before="200" w:beforeLines="20" w:after="200" w:afterLines="20"/>
    </w:pPr>
    <w:rPr>
      <w:b/>
      <w:snapToGrid/>
      <w:kern w:val="44"/>
      <w:sz w:val="28"/>
      <w:szCs w:val="28"/>
      <w:lang w:val="sq-AL"/>
    </w:rPr>
  </w:style>
  <w:style w:type="paragraph" w:customStyle="1" w:styleId="684">
    <w:name w:val="black10"/>
    <w:basedOn w:val="1"/>
    <w:semiHidden/>
    <w:qFormat/>
    <w:uiPriority w:val="0"/>
    <w:pPr>
      <w:widowControl/>
      <w:spacing w:before="100" w:beforeAutospacing="1" w:after="100" w:afterAutospacing="1" w:line="360" w:lineRule="atLeast"/>
      <w:jc w:val="left"/>
    </w:pPr>
    <w:rPr>
      <w:rFonts w:ascii="宋体" w:hAnsi="宋体"/>
      <w:color w:val="000000"/>
      <w:kern w:val="0"/>
    </w:rPr>
  </w:style>
  <w:style w:type="paragraph" w:customStyle="1" w:styleId="685">
    <w:name w:val="xl3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686">
    <w:name w:val="表后正文"/>
    <w:basedOn w:val="1"/>
    <w:semiHidden/>
    <w:qFormat/>
    <w:uiPriority w:val="0"/>
    <w:pPr>
      <w:overflowPunct w:val="0"/>
      <w:adjustRightInd w:val="0"/>
      <w:snapToGrid w:val="0"/>
      <w:spacing w:before="240" w:line="430" w:lineRule="exact"/>
      <w:ind w:firstLine="480" w:firstLineChars="200"/>
    </w:pPr>
    <w:rPr>
      <w:rFonts w:ascii="宋体" w:hAnsi="宋体"/>
      <w:snapToGrid w:val="0"/>
      <w:kern w:val="0"/>
      <w:sz w:val="24"/>
    </w:rPr>
  </w:style>
  <w:style w:type="paragraph" w:customStyle="1" w:styleId="687">
    <w:name w:val="16"/>
    <w:basedOn w:val="1"/>
    <w:next w:val="1"/>
    <w:semiHidden/>
    <w:qFormat/>
    <w:uiPriority w:val="0"/>
    <w:pPr>
      <w:ind w:left="2520" w:leftChars="1200"/>
    </w:pPr>
  </w:style>
  <w:style w:type="paragraph" w:customStyle="1" w:styleId="688">
    <w:name w:val="2152793030"/>
    <w:basedOn w:val="1"/>
    <w:semiHidden/>
    <w:qFormat/>
    <w:uiPriority w:val="0"/>
    <w:pPr>
      <w:adjustRightInd w:val="0"/>
      <w:spacing w:line="420" w:lineRule="atLeast"/>
      <w:ind w:firstLine="601"/>
      <w:jc w:val="left"/>
      <w:textAlignment w:val="baseline"/>
    </w:pPr>
    <w:rPr>
      <w:rFonts w:ascii="宋体"/>
      <w:spacing w:val="20"/>
      <w:kern w:val="0"/>
      <w:sz w:val="24"/>
      <w:szCs w:val="20"/>
    </w:rPr>
  </w:style>
  <w:style w:type="paragraph" w:customStyle="1" w:styleId="689">
    <w:name w:val="Char Char10 Char Char Char Char"/>
    <w:basedOn w:val="1"/>
    <w:semiHidden/>
    <w:qFormat/>
    <w:uiPriority w:val="0"/>
    <w:pPr>
      <w:tabs>
        <w:tab w:val="left" w:pos="360"/>
      </w:tabs>
    </w:pPr>
    <w:rPr>
      <w:sz w:val="24"/>
    </w:rPr>
  </w:style>
  <w:style w:type="paragraph" w:customStyle="1" w:styleId="690">
    <w:name w:val="_Style 4"/>
    <w:basedOn w:val="1"/>
    <w:semiHidden/>
    <w:qFormat/>
    <w:uiPriority w:val="0"/>
  </w:style>
  <w:style w:type="paragraph" w:customStyle="1" w:styleId="691">
    <w:name w:val="表名[BM]"/>
    <w:semiHidden/>
    <w:qFormat/>
    <w:uiPriority w:val="0"/>
    <w:pPr>
      <w:snapToGrid w:val="0"/>
      <w:spacing w:after="60" w:line="400" w:lineRule="atLeast"/>
    </w:pPr>
    <w:rPr>
      <w:rFonts w:ascii="楷体_GB2312" w:hAnsi="Times New Roman" w:eastAsia="黑体" w:cs="Times New Roman"/>
      <w:sz w:val="24"/>
      <w:lang w:val="en-US" w:eastAsia="zh-CN" w:bidi="ar-SA"/>
    </w:rPr>
  </w:style>
  <w:style w:type="paragraph" w:customStyle="1" w:styleId="692">
    <w:name w:val="11111"/>
    <w:basedOn w:val="64"/>
    <w:semiHidden/>
    <w:qFormat/>
    <w:uiPriority w:val="0"/>
    <w:pPr>
      <w:spacing w:after="0" w:line="500" w:lineRule="exact"/>
      <w:ind w:left="0" w:leftChars="0"/>
    </w:pPr>
    <w:rPr>
      <w:rFonts w:ascii="宋体" w:hAnsi="宋体"/>
      <w:sz w:val="24"/>
      <w:szCs w:val="24"/>
    </w:rPr>
  </w:style>
  <w:style w:type="paragraph" w:customStyle="1" w:styleId="693">
    <w:name w:val="样式 标题 3 + 段前: 0 磅 段后: 0 磅 行距: 1.5 倍行距"/>
    <w:basedOn w:val="4"/>
    <w:semiHidden/>
    <w:qFormat/>
    <w:uiPriority w:val="0"/>
    <w:pPr>
      <w:adjustRightInd w:val="0"/>
      <w:snapToGrid w:val="0"/>
    </w:pPr>
    <w:rPr>
      <w:b/>
      <w:bCs/>
      <w:snapToGrid/>
      <w:kern w:val="2"/>
    </w:rPr>
  </w:style>
  <w:style w:type="paragraph" w:customStyle="1" w:styleId="694">
    <w:name w:val="Char1 Char Char Char Char Char Char Char Char Char3"/>
    <w:basedOn w:val="2"/>
    <w:semiHidden/>
    <w:qFormat/>
    <w:uiPriority w:val="0"/>
    <w:pPr>
      <w:spacing w:before="200" w:beforeLines="20" w:after="200" w:afterLines="20"/>
    </w:pPr>
    <w:rPr>
      <w:b/>
      <w:snapToGrid/>
      <w:kern w:val="44"/>
      <w:sz w:val="28"/>
      <w:szCs w:val="28"/>
      <w:lang w:val="sq-AL"/>
    </w:rPr>
  </w:style>
  <w:style w:type="paragraph" w:customStyle="1" w:styleId="695">
    <w:name w:val="xl56"/>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696">
    <w:name w:val="xl6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697">
    <w:name w:val="样式13"/>
    <w:basedOn w:val="698"/>
    <w:semiHidden/>
    <w:qFormat/>
    <w:uiPriority w:val="0"/>
    <w:pPr>
      <w:spacing w:before="60" w:beforeLines="0" w:after="60" w:afterLines="0" w:line="460" w:lineRule="exact"/>
    </w:pPr>
    <w:rPr>
      <w:sz w:val="24"/>
    </w:rPr>
  </w:style>
  <w:style w:type="paragraph" w:customStyle="1" w:styleId="698">
    <w:name w:val="样式 标题 3 + 四号 非加粗"/>
    <w:basedOn w:val="4"/>
    <w:semiHidden/>
    <w:qFormat/>
    <w:uiPriority w:val="0"/>
    <w:pPr>
      <w:keepNext w:val="0"/>
      <w:keepLines w:val="0"/>
      <w:adjustRightInd w:val="0"/>
      <w:snapToGrid w:val="0"/>
      <w:spacing w:before="192" w:beforeLines="80" w:after="192" w:afterLines="80" w:line="240" w:lineRule="auto"/>
    </w:pPr>
    <w:rPr>
      <w:bCs/>
      <w:snapToGrid/>
      <w:kern w:val="2"/>
      <w:sz w:val="28"/>
      <w:lang w:val="zh-CN"/>
    </w:rPr>
  </w:style>
  <w:style w:type="paragraph" w:customStyle="1" w:styleId="699">
    <w:name w:val="xl8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00">
    <w:name w:val="12"/>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01">
    <w:name w:val="xl39"/>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702">
    <w:name w:val="font15"/>
    <w:basedOn w:val="1"/>
    <w:semiHidden/>
    <w:qFormat/>
    <w:uiPriority w:val="0"/>
    <w:pPr>
      <w:widowControl/>
      <w:spacing w:before="100" w:beforeAutospacing="1" w:after="100" w:afterAutospacing="1"/>
      <w:jc w:val="left"/>
    </w:pPr>
    <w:rPr>
      <w:color w:val="000000"/>
      <w:kern w:val="0"/>
      <w:sz w:val="22"/>
      <w:szCs w:val="22"/>
    </w:rPr>
  </w:style>
  <w:style w:type="paragraph" w:customStyle="1" w:styleId="703">
    <w:name w:val="徐京伦－标题1"/>
    <w:basedOn w:val="2"/>
    <w:semiHidden/>
    <w:qFormat/>
    <w:uiPriority w:val="0"/>
    <w:pPr>
      <w:tabs>
        <w:tab w:val="left" w:pos="340"/>
      </w:tabs>
      <w:spacing w:before="90" w:beforeLines="50" w:after="90" w:line="300" w:lineRule="auto"/>
      <w:ind w:left="425" w:hanging="425"/>
      <w:jc w:val="left"/>
      <w:textAlignment w:val="baseline"/>
    </w:pPr>
    <w:rPr>
      <w:rFonts w:ascii="Arial" w:hAnsi="Arial"/>
      <w:b/>
      <w:color w:val="000000"/>
      <w:sz w:val="28"/>
      <w:szCs w:val="20"/>
    </w:rPr>
  </w:style>
  <w:style w:type="paragraph" w:customStyle="1" w:styleId="704">
    <w:name w:val="样式 宋体 小四 两端对齐 行距: 1.5 倍行距 首行缩进:  2 字符"/>
    <w:basedOn w:val="1"/>
    <w:semiHidden/>
    <w:qFormat/>
    <w:uiPriority w:val="0"/>
    <w:pPr>
      <w:widowControl/>
      <w:spacing w:line="360" w:lineRule="auto"/>
      <w:ind w:firstLine="480" w:firstLineChars="200"/>
    </w:pPr>
    <w:rPr>
      <w:kern w:val="0"/>
      <w:sz w:val="24"/>
    </w:rPr>
  </w:style>
  <w:style w:type="paragraph" w:customStyle="1" w:styleId="705">
    <w:name w:val="首行缩进正文"/>
    <w:basedOn w:val="1"/>
    <w:semiHidden/>
    <w:qFormat/>
    <w:uiPriority w:val="0"/>
    <w:pPr>
      <w:spacing w:line="500" w:lineRule="exact"/>
      <w:ind w:firstLine="567"/>
    </w:pPr>
    <w:rPr>
      <w:rFonts w:eastAsia="仿宋_GB2312"/>
      <w:color w:val="000000"/>
      <w:kern w:val="0"/>
      <w:sz w:val="28"/>
      <w:szCs w:val="20"/>
    </w:rPr>
  </w:style>
  <w:style w:type="paragraph" w:customStyle="1" w:styleId="706">
    <w:name w:val="Char3"/>
    <w:basedOn w:val="1"/>
    <w:semiHidden/>
    <w:qFormat/>
    <w:uiPriority w:val="0"/>
  </w:style>
  <w:style w:type="paragraph" w:customStyle="1" w:styleId="707">
    <w:name w:val="font17"/>
    <w:basedOn w:val="1"/>
    <w:semiHidden/>
    <w:qFormat/>
    <w:uiPriority w:val="0"/>
    <w:pPr>
      <w:widowControl/>
      <w:spacing w:before="100" w:beforeAutospacing="1" w:after="100" w:afterAutospacing="1"/>
      <w:jc w:val="left"/>
    </w:pPr>
    <w:rPr>
      <w:color w:val="000000"/>
      <w:kern w:val="0"/>
      <w:sz w:val="22"/>
      <w:szCs w:val="22"/>
    </w:rPr>
  </w:style>
  <w:style w:type="paragraph" w:customStyle="1" w:styleId="708">
    <w:name w:val="样式 标题 1 + 小四"/>
    <w:basedOn w:val="2"/>
    <w:semiHidden/>
    <w:qFormat/>
    <w:uiPriority w:val="0"/>
    <w:rPr>
      <w:bCs w:val="0"/>
      <w:sz w:val="24"/>
      <w:szCs w:val="24"/>
    </w:rPr>
  </w:style>
  <w:style w:type="paragraph" w:customStyle="1" w:styleId="709">
    <w:name w:val="Char Char Char1 Char Char Char Char Char Char Char Char Char1 Char Char Char Char Char Char"/>
    <w:basedOn w:val="1"/>
    <w:semiHidden/>
    <w:qFormat/>
    <w:uiPriority w:val="0"/>
  </w:style>
  <w:style w:type="paragraph" w:customStyle="1" w:styleId="710">
    <w:name w:val="xl33"/>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2"/>
      <w:szCs w:val="22"/>
    </w:rPr>
  </w:style>
  <w:style w:type="paragraph" w:customStyle="1" w:styleId="711">
    <w:name w:val="xl41"/>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2"/>
      <w:szCs w:val="22"/>
    </w:rPr>
  </w:style>
  <w:style w:type="paragraph" w:customStyle="1" w:styleId="712">
    <w:name w:val="样式 徐京伦－标题2 + 右侧:  0.99 字符"/>
    <w:basedOn w:val="1"/>
    <w:semiHidden/>
    <w:qFormat/>
    <w:uiPriority w:val="0"/>
    <w:pPr>
      <w:keepNext/>
      <w:keepLines/>
      <w:tabs>
        <w:tab w:val="left" w:pos="510"/>
      </w:tabs>
      <w:adjustRightInd w:val="0"/>
      <w:spacing w:before="140" w:after="140" w:line="312" w:lineRule="atLeast"/>
      <w:ind w:left="567" w:right="208" w:rightChars="99"/>
      <w:textAlignment w:val="baseline"/>
      <w:outlineLvl w:val="1"/>
    </w:pPr>
    <w:rPr>
      <w:rFonts w:ascii="Arial" w:hAnsi="Arial" w:eastAsia="黑体"/>
      <w:b/>
      <w:bCs/>
      <w:kern w:val="44"/>
      <w:sz w:val="24"/>
      <w:szCs w:val="20"/>
    </w:rPr>
  </w:style>
  <w:style w:type="paragraph" w:customStyle="1" w:styleId="713">
    <w:name w:val="xl9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0"/>
      <w:szCs w:val="20"/>
    </w:rPr>
  </w:style>
  <w:style w:type="paragraph" w:customStyle="1" w:styleId="714">
    <w:name w:val="默认段落字体 Para Char Char Char Char Char Char Char Char Char Char Char Char Char"/>
    <w:basedOn w:val="22"/>
    <w:semiHidden/>
    <w:qFormat/>
    <w:uiPriority w:val="0"/>
    <w:rPr>
      <w:rFonts w:ascii="Tahoma" w:hAnsi="Tahoma"/>
      <w:sz w:val="24"/>
    </w:rPr>
  </w:style>
  <w:style w:type="paragraph" w:customStyle="1" w:styleId="715">
    <w:name w:val="xl6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716">
    <w:name w:val="xl6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71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18">
    <w:name w:val="Char Char110"/>
    <w:basedOn w:val="1"/>
    <w:semiHidden/>
    <w:qFormat/>
    <w:uiPriority w:val="0"/>
    <w:rPr>
      <w:rFonts w:ascii="Tahoma" w:hAnsi="Tahoma"/>
      <w:sz w:val="24"/>
      <w:szCs w:val="20"/>
    </w:rPr>
  </w:style>
  <w:style w:type="paragraph" w:customStyle="1" w:styleId="719">
    <w:name w:val="样式 标题 3 + Times New Roman 五号"/>
    <w:basedOn w:val="4"/>
    <w:semiHidden/>
    <w:qFormat/>
    <w:uiPriority w:val="0"/>
  </w:style>
  <w:style w:type="paragraph" w:customStyle="1" w:styleId="720">
    <w:name w:val="样式 标题 2 + Times New Roman 非加粗"/>
    <w:basedOn w:val="3"/>
    <w:semiHidden/>
    <w:qFormat/>
    <w:uiPriority w:val="0"/>
    <w:pPr>
      <w:spacing w:before="30" w:beforeLines="30" w:after="30" w:afterLines="30"/>
    </w:pPr>
    <w:rPr>
      <w:rFonts w:ascii="黑体"/>
      <w:bCs/>
    </w:rPr>
  </w:style>
  <w:style w:type="paragraph" w:customStyle="1" w:styleId="72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722">
    <w:name w:val="Char Char2 Char Char Char Char2"/>
    <w:basedOn w:val="1"/>
    <w:semiHidden/>
    <w:qFormat/>
    <w:uiPriority w:val="0"/>
  </w:style>
  <w:style w:type="paragraph" w:customStyle="1" w:styleId="723">
    <w:name w:val="样式44"/>
    <w:basedOn w:val="1"/>
    <w:semiHidden/>
    <w:qFormat/>
    <w:uiPriority w:val="0"/>
    <w:pPr>
      <w:keepNext/>
      <w:keepLines/>
      <w:adjustRightInd w:val="0"/>
      <w:snapToGrid w:val="0"/>
      <w:spacing w:line="460" w:lineRule="exact"/>
      <w:outlineLvl w:val="3"/>
    </w:pPr>
    <w:rPr>
      <w:bCs/>
      <w:sz w:val="24"/>
    </w:rPr>
  </w:style>
  <w:style w:type="paragraph" w:customStyle="1" w:styleId="724">
    <w:name w:val="标题 1+-"/>
    <w:basedOn w:val="2"/>
    <w:semiHidden/>
    <w:qFormat/>
    <w:uiPriority w:val="0"/>
    <w:pPr>
      <w:keepNext w:val="0"/>
      <w:keepLines w:val="0"/>
      <w:adjustRightInd/>
      <w:snapToGrid/>
      <w:ind w:left="480" w:hanging="480" w:hangingChars="150"/>
    </w:pPr>
    <w:rPr>
      <w:rFonts w:ascii="Calibri" w:hAnsi="Calibri"/>
      <w:bCs w:val="0"/>
      <w:snapToGrid/>
      <w:spacing w:val="0"/>
      <w:kern w:val="44"/>
      <w:szCs w:val="20"/>
      <w:lang w:val="en-US"/>
    </w:rPr>
  </w:style>
  <w:style w:type="paragraph" w:styleId="725">
    <w:name w:val="No Spacing"/>
    <w:qFormat/>
    <w:uiPriority w:val="1"/>
    <w:pPr>
      <w:widowControl w:val="0"/>
      <w:spacing w:line="460" w:lineRule="exact"/>
      <w:ind w:firstLine="200" w:firstLineChars="200"/>
      <w:jc w:val="both"/>
    </w:pPr>
    <w:rPr>
      <w:rFonts w:ascii="Calibri" w:hAnsi="Calibri" w:eastAsia="宋体" w:cs="Times New Roman"/>
      <w:kern w:val="2"/>
      <w:sz w:val="24"/>
      <w:szCs w:val="22"/>
      <w:lang w:val="en-US" w:eastAsia="zh-CN" w:bidi="ar-SA"/>
    </w:rPr>
  </w:style>
  <w:style w:type="paragraph" w:customStyle="1" w:styleId="726">
    <w:name w:val="样式 标题 2Heading 2 HiddenHeading 2 CCBSheading 2H2第*章第一章 标题 ..."/>
    <w:basedOn w:val="3"/>
    <w:semiHidden/>
    <w:qFormat/>
    <w:uiPriority w:val="0"/>
    <w:pPr>
      <w:spacing w:line="480" w:lineRule="exact"/>
    </w:pPr>
    <w:rPr>
      <w:bCs/>
      <w:szCs w:val="24"/>
    </w:rPr>
  </w:style>
  <w:style w:type="paragraph" w:customStyle="1" w:styleId="727">
    <w:name w:val="样式 样式 标题 3 + 四号 非加粗 + 右侧:  0.37 厘米"/>
    <w:basedOn w:val="698"/>
    <w:semiHidden/>
    <w:qFormat/>
    <w:uiPriority w:val="0"/>
    <w:pPr>
      <w:spacing w:before="60" w:after="60" w:line="460" w:lineRule="exact"/>
    </w:pPr>
    <w:rPr>
      <w:sz w:val="24"/>
      <w:szCs w:val="20"/>
    </w:rPr>
  </w:style>
  <w:style w:type="paragraph" w:customStyle="1" w:styleId="728">
    <w:name w:val="msolistparagraph"/>
    <w:basedOn w:val="1"/>
    <w:semiHidden/>
    <w:qFormat/>
    <w:uiPriority w:val="0"/>
    <w:pPr>
      <w:ind w:firstLine="420" w:firstLineChars="200"/>
    </w:pPr>
    <w:rPr>
      <w:rFonts w:ascii="Calibri" w:hAnsi="Calibri"/>
      <w:szCs w:val="22"/>
    </w:rPr>
  </w:style>
  <w:style w:type="paragraph" w:customStyle="1" w:styleId="729">
    <w:name w:val="标题 4 +"/>
    <w:basedOn w:val="5"/>
    <w:semiHidden/>
    <w:qFormat/>
    <w:uiPriority w:val="0"/>
    <w:rPr>
      <w:bCs w:val="0"/>
    </w:rPr>
  </w:style>
  <w:style w:type="paragraph" w:customStyle="1" w:styleId="730">
    <w:name w:val="xl112"/>
    <w:basedOn w:val="1"/>
    <w:semiHidden/>
    <w:qFormat/>
    <w:uiPriority w:val="0"/>
    <w:pPr>
      <w:widowControl/>
      <w:pBdr>
        <w:left w:val="single" w:color="auto" w:sz="4" w:space="0"/>
        <w:bottom w:val="single" w:color="auto" w:sz="4" w:space="0"/>
        <w:right w:val="single" w:color="auto" w:sz="4" w:space="0"/>
      </w:pBdr>
      <w:shd w:val="clear" w:color="auto" w:fill="99CC00"/>
      <w:spacing w:before="100" w:beforeAutospacing="1" w:after="100" w:afterAutospacing="1"/>
      <w:jc w:val="left"/>
    </w:pPr>
    <w:rPr>
      <w:kern w:val="0"/>
      <w:sz w:val="24"/>
    </w:rPr>
  </w:style>
  <w:style w:type="paragraph" w:customStyle="1" w:styleId="731">
    <w:name w:val="xl22"/>
    <w:basedOn w:val="1"/>
    <w:semiHidden/>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732">
    <w:name w:val="Char Char Char"/>
    <w:basedOn w:val="22"/>
    <w:next w:val="1"/>
    <w:semiHidden/>
    <w:qFormat/>
    <w:uiPriority w:val="0"/>
    <w:pPr>
      <w:adjustRightInd w:val="0"/>
      <w:spacing w:before="60" w:after="60" w:line="460" w:lineRule="exact"/>
      <w:jc w:val="left"/>
      <w:outlineLvl w:val="3"/>
    </w:pPr>
    <w:rPr>
      <w:rFonts w:ascii="Tahoma" w:hAnsi="Tahoma" w:eastAsia="黑体"/>
      <w:sz w:val="24"/>
    </w:rPr>
  </w:style>
  <w:style w:type="paragraph" w:customStyle="1" w:styleId="733">
    <w:name w:val="Char1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4">
    <w:name w:val="msotocheading"/>
    <w:basedOn w:val="2"/>
    <w:next w:val="1"/>
    <w:semiHidden/>
    <w:qFormat/>
    <w:uiPriority w:val="0"/>
    <w:pPr>
      <w:widowControl/>
      <w:spacing w:before="480" w:after="0" w:line="276" w:lineRule="auto"/>
      <w:jc w:val="left"/>
      <w:outlineLvl w:val="9"/>
    </w:pPr>
    <w:rPr>
      <w:rFonts w:ascii="Cambria" w:hAnsi="Cambria"/>
      <w:bCs w:val="0"/>
      <w:snapToGrid/>
      <w:color w:val="365F91"/>
      <w:sz w:val="28"/>
      <w:szCs w:val="28"/>
    </w:rPr>
  </w:style>
  <w:style w:type="paragraph" w:customStyle="1" w:styleId="735">
    <w:name w:val="样式 标题 1 + 首行缩进:  2.25 厘米"/>
    <w:basedOn w:val="2"/>
    <w:semiHidden/>
    <w:qFormat/>
    <w:uiPriority w:val="0"/>
    <w:rPr>
      <w:bCs w:val="0"/>
      <w:szCs w:val="20"/>
    </w:rPr>
  </w:style>
  <w:style w:type="paragraph" w:customStyle="1" w:styleId="736">
    <w:name w:val="xl8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737">
    <w:name w:val="样式 徐京伦-标题5 + (中文) 黑体"/>
    <w:basedOn w:val="738"/>
    <w:semiHidden/>
    <w:qFormat/>
    <w:uiPriority w:val="0"/>
    <w:pPr>
      <w:spacing w:line="360" w:lineRule="auto"/>
    </w:pPr>
  </w:style>
  <w:style w:type="paragraph" w:customStyle="1" w:styleId="738">
    <w:name w:val="徐京伦-标题5"/>
    <w:basedOn w:val="6"/>
    <w:semiHidden/>
    <w:qFormat/>
    <w:uiPriority w:val="0"/>
    <w:pPr>
      <w:widowControl/>
      <w:adjustRightInd w:val="0"/>
      <w:snapToGrid w:val="0"/>
      <w:spacing w:before="120" w:beforeLines="50" w:after="120" w:line="240" w:lineRule="auto"/>
      <w:jc w:val="left"/>
    </w:pPr>
    <w:rPr>
      <w:rFonts w:ascii="黑体" w:eastAsia="宋体"/>
      <w:bCs w:val="0"/>
      <w:snapToGrid w:val="0"/>
      <w:kern w:val="0"/>
      <w:szCs w:val="28"/>
    </w:rPr>
  </w:style>
  <w:style w:type="paragraph" w:customStyle="1" w:styleId="739">
    <w:name w:val="样式 标题 3 + (中文) 黑体 小四 非加粗 段前: 0 磅 段后: 0 磅 行距: 1.5 倍行距"/>
    <w:basedOn w:val="4"/>
    <w:semiHidden/>
    <w:qFormat/>
    <w:uiPriority w:val="0"/>
    <w:pPr>
      <w:adjustRightInd w:val="0"/>
      <w:snapToGrid w:val="0"/>
    </w:pPr>
    <w:rPr>
      <w:b/>
      <w:snapToGrid/>
      <w:kern w:val="2"/>
    </w:rPr>
  </w:style>
  <w:style w:type="paragraph" w:customStyle="1" w:styleId="740">
    <w:name w:val="Char Char1"/>
    <w:basedOn w:val="1"/>
    <w:semiHidden/>
    <w:qFormat/>
    <w:uiPriority w:val="0"/>
    <w:rPr>
      <w:rFonts w:ascii="Tahoma" w:hAnsi="Tahoma"/>
      <w:sz w:val="24"/>
      <w:szCs w:val="20"/>
    </w:rPr>
  </w:style>
  <w:style w:type="paragraph" w:customStyle="1" w:styleId="741">
    <w:name w:val="xl34"/>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742">
    <w:name w:val="文章标题"/>
    <w:basedOn w:val="75"/>
    <w:semiHidden/>
    <w:qFormat/>
    <w:uiPriority w:val="0"/>
    <w:pPr>
      <w:adjustRightInd/>
      <w:spacing w:before="240" w:after="60"/>
      <w:ind w:firstLine="723"/>
      <w:textAlignment w:val="auto"/>
    </w:pPr>
    <w:rPr>
      <w:rFonts w:ascii="Arial" w:hAnsi="Arial" w:eastAsia="宋体" w:cs="Arial"/>
      <w:b/>
      <w:bCs/>
      <w:kern w:val="2"/>
      <w:szCs w:val="32"/>
    </w:rPr>
  </w:style>
  <w:style w:type="paragraph" w:customStyle="1" w:styleId="743">
    <w:name w:val="样式 标题3 + 首行缩进:  0.74 厘米"/>
    <w:basedOn w:val="1"/>
    <w:semiHidden/>
    <w:qFormat/>
    <w:uiPriority w:val="0"/>
    <w:pPr>
      <w:keepNext/>
      <w:keepLines/>
      <w:adjustRightInd w:val="0"/>
      <w:snapToGrid w:val="0"/>
      <w:spacing w:line="460" w:lineRule="exact"/>
      <w:outlineLvl w:val="2"/>
    </w:pPr>
    <w:rPr>
      <w:rFonts w:eastAsia="黑体"/>
      <w:snapToGrid w:val="0"/>
      <w:kern w:val="0"/>
      <w:sz w:val="24"/>
      <w:szCs w:val="20"/>
    </w:rPr>
  </w:style>
  <w:style w:type="paragraph" w:customStyle="1" w:styleId="744">
    <w:name w:val="Char"/>
    <w:basedOn w:val="1"/>
    <w:semiHidden/>
    <w:qFormat/>
    <w:uiPriority w:val="0"/>
  </w:style>
  <w:style w:type="paragraph" w:customStyle="1" w:styleId="745">
    <w:name w:val="xl120"/>
    <w:basedOn w:val="1"/>
    <w:semiHidden/>
    <w:qFormat/>
    <w:uiPriority w:val="0"/>
    <w:pPr>
      <w:widowControl/>
      <w:pBdr>
        <w:top w:val="single" w:color="auto" w:sz="4" w:space="0"/>
        <w:left w:val="single" w:color="auto" w:sz="4" w:space="0"/>
      </w:pBdr>
      <w:spacing w:before="100" w:beforeAutospacing="1" w:after="100" w:afterAutospacing="1"/>
      <w:jc w:val="center"/>
    </w:pPr>
    <w:rPr>
      <w:kern w:val="0"/>
      <w:sz w:val="24"/>
    </w:rPr>
  </w:style>
  <w:style w:type="paragraph" w:customStyle="1" w:styleId="746">
    <w:name w:val="xl55"/>
    <w:basedOn w:val="1"/>
    <w:semiHidden/>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747">
    <w:name w:val="样式 表格内容 +1"/>
    <w:basedOn w:val="672"/>
    <w:semiHidden/>
    <w:qFormat/>
    <w:uiPriority w:val="0"/>
    <w:pPr>
      <w:framePr w:hSpace="180" w:wrap="around" w:vAnchor="text" w:hAnchor="text" w:y="1"/>
      <w:tabs>
        <w:tab w:val="left" w:pos="3240"/>
      </w:tabs>
      <w:autoSpaceDE w:val="0"/>
      <w:autoSpaceDN w:val="0"/>
      <w:spacing w:line="240" w:lineRule="auto"/>
      <w:ind w:firstLine="562" w:firstLineChars="200"/>
    </w:pPr>
    <w:rPr>
      <w:rFonts w:hAnsi="宋体" w:eastAsia="仿宋_GB2312"/>
      <w:b/>
      <w:snapToGrid w:val="0"/>
      <w:kern w:val="0"/>
      <w:szCs w:val="28"/>
    </w:rPr>
  </w:style>
  <w:style w:type="paragraph" w:customStyle="1" w:styleId="748">
    <w:name w:val="Char1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9">
    <w:name w:val="样式 标题 4 + 行距: 固定值 24 磅"/>
    <w:basedOn w:val="5"/>
    <w:semiHidden/>
    <w:qFormat/>
    <w:uiPriority w:val="0"/>
    <w:pPr>
      <w:adjustRightInd w:val="0"/>
      <w:snapToGrid w:val="0"/>
      <w:spacing w:line="480" w:lineRule="exact"/>
    </w:pPr>
    <w:rPr>
      <w:bCs w:val="0"/>
      <w:szCs w:val="20"/>
    </w:rPr>
  </w:style>
  <w:style w:type="paragraph" w:customStyle="1" w:styleId="750">
    <w:name w:val="font16"/>
    <w:basedOn w:val="1"/>
    <w:semiHidden/>
    <w:qFormat/>
    <w:uiPriority w:val="0"/>
    <w:pPr>
      <w:widowControl/>
      <w:spacing w:before="100" w:beforeAutospacing="1" w:after="100" w:afterAutospacing="1"/>
      <w:jc w:val="left"/>
    </w:pPr>
    <w:rPr>
      <w:rFonts w:ascii="宋体" w:hAnsi="宋体"/>
      <w:color w:val="000000"/>
      <w:kern w:val="0"/>
      <w:sz w:val="18"/>
      <w:szCs w:val="18"/>
    </w:rPr>
  </w:style>
  <w:style w:type="paragraph" w:customStyle="1" w:styleId="751">
    <w:name w:val="z正文1"/>
    <w:basedOn w:val="1"/>
    <w:semiHidden/>
    <w:qFormat/>
    <w:uiPriority w:val="0"/>
    <w:pPr>
      <w:ind w:firstLine="200" w:firstLineChars="200"/>
    </w:pPr>
    <w:rPr>
      <w:sz w:val="28"/>
      <w:szCs w:val="20"/>
    </w:rPr>
  </w:style>
  <w:style w:type="paragraph" w:customStyle="1" w:styleId="752">
    <w:name w:val="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53">
    <w:name w:val="xl24"/>
    <w:basedOn w:val="1"/>
    <w:semiHidden/>
    <w:qFormat/>
    <w:uiPriority w:val="0"/>
    <w:pPr>
      <w:widowControl/>
      <w:pBdr>
        <w:bottom w:val="single" w:color="auto" w:sz="4" w:space="0"/>
        <w:right w:val="single" w:color="auto" w:sz="4" w:space="0"/>
      </w:pBdr>
      <w:spacing w:before="100" w:beforeAutospacing="1" w:after="100" w:afterAutospacing="1"/>
      <w:jc w:val="center"/>
    </w:pPr>
    <w:rPr>
      <w:kern w:val="0"/>
    </w:rPr>
  </w:style>
  <w:style w:type="paragraph" w:customStyle="1" w:styleId="754">
    <w:name w:val="gyy表名图名"/>
    <w:basedOn w:val="1"/>
    <w:semiHidden/>
    <w:qFormat/>
    <w:uiPriority w:val="0"/>
    <w:pPr>
      <w:spacing w:before="120" w:after="60"/>
      <w:jc w:val="center"/>
    </w:pPr>
    <w:rPr>
      <w:rFonts w:eastAsia="黑体"/>
      <w:sz w:val="24"/>
    </w:rPr>
  </w:style>
  <w:style w:type="paragraph" w:customStyle="1" w:styleId="755">
    <w:name w:val="Char2 Char Char Char Char Char Char Char Char Char"/>
    <w:basedOn w:val="1"/>
    <w:semiHidden/>
    <w:qFormat/>
    <w:uiPriority w:val="0"/>
    <w:pPr>
      <w:spacing w:line="360" w:lineRule="auto"/>
      <w:ind w:firstLine="200" w:firstLineChars="200"/>
    </w:pPr>
    <w:rPr>
      <w:rFonts w:ascii="宋体" w:hAnsi="宋体"/>
      <w:sz w:val="24"/>
    </w:rPr>
  </w:style>
  <w:style w:type="paragraph" w:customStyle="1" w:styleId="756">
    <w:name w:val="批注文字1"/>
    <w:basedOn w:val="1"/>
    <w:semiHidden/>
    <w:qFormat/>
    <w:uiPriority w:val="0"/>
    <w:pPr>
      <w:jc w:val="left"/>
    </w:pPr>
    <w:rPr>
      <w:rFonts w:ascii="Calibri" w:hAnsi="Calibri"/>
      <w:szCs w:val="22"/>
    </w:rPr>
  </w:style>
  <w:style w:type="paragraph" w:customStyle="1" w:styleId="757">
    <w:name w:val="xl100"/>
    <w:basedOn w:val="1"/>
    <w:semiHidden/>
    <w:qFormat/>
    <w:uiPriority w:val="0"/>
    <w:pPr>
      <w:widowControl/>
      <w:pBdr>
        <w:top w:val="single" w:color="auto" w:sz="4" w:space="0"/>
        <w:bottom w:val="single" w:color="auto" w:sz="4" w:space="0"/>
      </w:pBdr>
      <w:spacing w:before="100" w:beforeAutospacing="1" w:after="100" w:afterAutospacing="1"/>
      <w:jc w:val="center"/>
    </w:pPr>
    <w:rPr>
      <w:rFonts w:ascii="宋体" w:hAnsi="宋体"/>
      <w:kern w:val="0"/>
      <w:sz w:val="20"/>
      <w:szCs w:val="20"/>
    </w:rPr>
  </w:style>
  <w:style w:type="paragraph" w:customStyle="1" w:styleId="758">
    <w:name w:val="标题 4A敦化"/>
    <w:basedOn w:val="5"/>
    <w:semiHidden/>
    <w:qFormat/>
    <w:uiPriority w:val="0"/>
    <w:pPr>
      <w:tabs>
        <w:tab w:val="left" w:pos="864"/>
      </w:tabs>
      <w:adjustRightInd w:val="0"/>
      <w:snapToGrid w:val="0"/>
      <w:spacing w:line="440" w:lineRule="exact"/>
      <w:ind w:left="864" w:hanging="864"/>
    </w:pPr>
    <w:rPr>
      <w:rFonts w:ascii="Arial" w:hAnsi="Arial" w:cs="Arial"/>
      <w:b/>
      <w:lang w:val="zh-CN"/>
    </w:rPr>
  </w:style>
  <w:style w:type="paragraph" w:customStyle="1" w:styleId="759">
    <w:name w:val="xl4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760">
    <w:name w:val="样式 正文字样D + 小四 自动设置 两端对齐 行距: 固定值 26 磅"/>
    <w:basedOn w:val="1"/>
    <w:semiHidden/>
    <w:qFormat/>
    <w:uiPriority w:val="0"/>
    <w:pPr>
      <w:adjustRightInd w:val="0"/>
      <w:snapToGrid w:val="0"/>
      <w:spacing w:line="520" w:lineRule="exact"/>
      <w:ind w:firstLine="560"/>
    </w:pPr>
    <w:rPr>
      <w:rFonts w:eastAsia="仿宋_GB2312"/>
      <w:kern w:val="0"/>
      <w:sz w:val="28"/>
      <w:szCs w:val="20"/>
    </w:rPr>
  </w:style>
  <w:style w:type="paragraph" w:customStyle="1" w:styleId="761">
    <w:name w:val="xl121"/>
    <w:basedOn w:val="1"/>
    <w:semiHidden/>
    <w:qFormat/>
    <w:uiPriority w:val="0"/>
    <w:pPr>
      <w:widowControl/>
      <w:pBdr>
        <w:left w:val="single" w:color="auto" w:sz="4" w:space="0"/>
        <w:bottom w:val="single" w:color="auto" w:sz="4" w:space="0"/>
      </w:pBdr>
      <w:spacing w:before="100" w:beforeAutospacing="1" w:after="100" w:afterAutospacing="1"/>
      <w:jc w:val="center"/>
    </w:pPr>
    <w:rPr>
      <w:kern w:val="0"/>
      <w:sz w:val="24"/>
    </w:rPr>
  </w:style>
  <w:style w:type="paragraph" w:customStyle="1" w:styleId="762">
    <w:name w:val="图片标题5"/>
    <w:basedOn w:val="1"/>
    <w:next w:val="1"/>
    <w:semiHidden/>
    <w:qFormat/>
    <w:uiPriority w:val="0"/>
    <w:pPr>
      <w:tabs>
        <w:tab w:val="left" w:pos="987"/>
        <w:tab w:val="left" w:pos="1080"/>
      </w:tabs>
      <w:ind w:left="987"/>
      <w:jc w:val="center"/>
      <w:textAlignment w:val="baseline"/>
    </w:pPr>
    <w:rPr>
      <w:rFonts w:ascii="黑体" w:hAnsi="宋体" w:eastAsia="黑体"/>
      <w:sz w:val="24"/>
      <w:szCs w:val="20"/>
    </w:rPr>
  </w:style>
  <w:style w:type="paragraph" w:customStyle="1" w:styleId="763">
    <w:name w:val="et11"/>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等线" w:hAnsi="等线" w:eastAsia="等线"/>
      <w:b/>
      <w:bCs/>
      <w:kern w:val="0"/>
      <w:sz w:val="24"/>
      <w:u w:val="single"/>
    </w:rPr>
  </w:style>
  <w:style w:type="paragraph" w:customStyle="1" w:styleId="764">
    <w:name w:val="xl89"/>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65">
    <w:name w:val="xl10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kern w:val="0"/>
      <w:sz w:val="24"/>
    </w:rPr>
  </w:style>
  <w:style w:type="paragraph" w:customStyle="1" w:styleId="766">
    <w:name w:val="xl58"/>
    <w:basedOn w:val="1"/>
    <w:semiHidden/>
    <w:qFormat/>
    <w:uiPriority w:val="0"/>
    <w:pPr>
      <w:widowControl/>
      <w:pBdr>
        <w:top w:val="single" w:color="auto" w:sz="4" w:space="0"/>
        <w:bottom w:val="single" w:color="auto" w:sz="4" w:space="0"/>
      </w:pBdr>
      <w:spacing w:before="100" w:beforeAutospacing="1" w:after="100" w:afterAutospacing="1"/>
      <w:jc w:val="center"/>
      <w:textAlignment w:val="center"/>
    </w:pPr>
    <w:rPr>
      <w:kern w:val="0"/>
      <w:sz w:val="22"/>
      <w:szCs w:val="22"/>
    </w:rPr>
  </w:style>
  <w:style w:type="paragraph" w:customStyle="1" w:styleId="767">
    <w:name w:val="Char Char Char1 Char Char Char Char Char Char Char Char Char1 Char Char Char Char Char Char4"/>
    <w:basedOn w:val="1"/>
    <w:semiHidden/>
    <w:qFormat/>
    <w:uiPriority w:val="0"/>
  </w:style>
  <w:style w:type="paragraph" w:customStyle="1" w:styleId="768">
    <w:name w:val="报告表中"/>
    <w:basedOn w:val="1"/>
    <w:semiHidden/>
    <w:qFormat/>
    <w:uiPriority w:val="0"/>
    <w:pPr>
      <w:jc w:val="center"/>
    </w:pPr>
    <w:rPr>
      <w:rFonts w:ascii="Calibri" w:hAnsi="Calibri"/>
      <w:sz w:val="18"/>
      <w:szCs w:val="20"/>
    </w:rPr>
  </w:style>
  <w:style w:type="paragraph" w:customStyle="1" w:styleId="769">
    <w:name w:val="徐京伦－标题4"/>
    <w:basedOn w:val="5"/>
    <w:semiHidden/>
    <w:qFormat/>
    <w:uiPriority w:val="0"/>
    <w:pPr>
      <w:keepNext w:val="0"/>
      <w:keepLines w:val="0"/>
      <w:tabs>
        <w:tab w:val="left" w:pos="794"/>
      </w:tabs>
      <w:adjustRightInd w:val="0"/>
      <w:snapToGrid w:val="0"/>
      <w:spacing w:before="120" w:after="120" w:line="240" w:lineRule="auto"/>
      <w:ind w:left="1211"/>
      <w:jc w:val="left"/>
      <w:textAlignment w:val="baseline"/>
    </w:pPr>
    <w:rPr>
      <w:b/>
      <w:snapToGrid w:val="0"/>
      <w:color w:val="FF0000"/>
      <w:kern w:val="0"/>
      <w:szCs w:val="20"/>
    </w:rPr>
  </w:style>
  <w:style w:type="paragraph" w:customStyle="1" w:styleId="770">
    <w:name w:val="样式123321"/>
    <w:basedOn w:val="1"/>
    <w:semiHidden/>
    <w:qFormat/>
    <w:uiPriority w:val="0"/>
    <w:pPr>
      <w:adjustRightInd w:val="0"/>
      <w:snapToGrid w:val="0"/>
      <w:spacing w:before="50" w:beforeLines="50"/>
      <w:jc w:val="center"/>
    </w:pPr>
    <w:rPr>
      <w:rFonts w:ascii="Calibri" w:hAnsi="Calibri" w:eastAsia="黑体"/>
      <w:sz w:val="24"/>
    </w:rPr>
  </w:style>
  <w:style w:type="paragraph" w:customStyle="1" w:styleId="771">
    <w:name w:val="样式 (符号) 宋体 居中 段前: 5 磅 段后: 5 磅"/>
    <w:basedOn w:val="1"/>
    <w:semiHidden/>
    <w:qFormat/>
    <w:uiPriority w:val="0"/>
    <w:pPr>
      <w:jc w:val="center"/>
    </w:pPr>
    <w:rPr>
      <w:rFonts w:ascii="Calibri" w:hAnsi="宋体"/>
      <w:szCs w:val="20"/>
    </w:rPr>
  </w:style>
  <w:style w:type="paragraph" w:customStyle="1" w:styleId="772">
    <w:name w:val="xl57"/>
    <w:basedOn w:val="1"/>
    <w:semiHidden/>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773">
    <w:name w:val="表内容左对齐"/>
    <w:basedOn w:val="1"/>
    <w:semiHidden/>
    <w:qFormat/>
    <w:uiPriority w:val="0"/>
    <w:pPr>
      <w:autoSpaceDE w:val="0"/>
      <w:autoSpaceDN w:val="0"/>
      <w:adjustRightInd w:val="0"/>
      <w:spacing w:line="320" w:lineRule="exact"/>
    </w:pPr>
    <w:rPr>
      <w:rFonts w:eastAsia="Terminal"/>
      <w:kern w:val="0"/>
      <w:lang w:val="zh-CN"/>
    </w:rPr>
  </w:style>
  <w:style w:type="paragraph" w:customStyle="1" w:styleId="774">
    <w:name w:val="图标题"/>
    <w:basedOn w:val="1"/>
    <w:semiHidden/>
    <w:qFormat/>
    <w:uiPriority w:val="0"/>
    <w:pPr>
      <w:adjustRightInd w:val="0"/>
      <w:snapToGrid w:val="0"/>
      <w:spacing w:line="360" w:lineRule="auto"/>
      <w:ind w:left="454"/>
      <w:jc w:val="center"/>
    </w:pPr>
    <w:rPr>
      <w:rFonts w:ascii="宋体" w:hAnsi="宋体"/>
      <w:b/>
      <w:spacing w:val="14"/>
    </w:rPr>
  </w:style>
  <w:style w:type="paragraph" w:customStyle="1" w:styleId="775">
    <w:name w:val="标题 2-"/>
    <w:basedOn w:val="3"/>
    <w:semiHidden/>
    <w:qFormat/>
    <w:uiPriority w:val="0"/>
    <w:rPr>
      <w:bCs/>
      <w:color w:val="000000"/>
    </w:rPr>
  </w:style>
  <w:style w:type="paragraph" w:customStyle="1" w:styleId="776">
    <w:name w:val="修订1"/>
    <w:semiHidden/>
    <w:qFormat/>
    <w:uiPriority w:val="99"/>
    <w:rPr>
      <w:rFonts w:ascii="Calibri" w:hAnsi="Calibri" w:eastAsia="宋体" w:cs="Times New Roman"/>
      <w:kern w:val="2"/>
      <w:sz w:val="21"/>
      <w:szCs w:val="24"/>
      <w:lang w:val="en-US" w:eastAsia="zh-CN" w:bidi="ar-SA"/>
    </w:rPr>
  </w:style>
  <w:style w:type="paragraph" w:customStyle="1" w:styleId="777">
    <w:name w:val="图标标题"/>
    <w:basedOn w:val="1"/>
    <w:semiHidden/>
    <w:qFormat/>
    <w:uiPriority w:val="0"/>
    <w:pPr>
      <w:spacing w:after="50" w:afterLines="50"/>
      <w:jc w:val="center"/>
    </w:pPr>
    <w:rPr>
      <w:sz w:val="28"/>
      <w:szCs w:val="30"/>
    </w:rPr>
  </w:style>
  <w:style w:type="paragraph" w:customStyle="1" w:styleId="778">
    <w:name w:val="1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79">
    <w:name w:val="Char Char Char Char Char Char1 Char1"/>
    <w:basedOn w:val="1"/>
    <w:semiHidden/>
    <w:qFormat/>
    <w:uiPriority w:val="0"/>
    <w:pPr>
      <w:spacing w:line="360" w:lineRule="auto"/>
      <w:ind w:firstLine="200" w:firstLineChars="200"/>
    </w:pPr>
    <w:rPr>
      <w:rFonts w:ascii="宋体" w:hAnsi="宋体"/>
      <w:sz w:val="24"/>
    </w:rPr>
  </w:style>
  <w:style w:type="paragraph" w:customStyle="1" w:styleId="780">
    <w:name w:val="xl9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781">
    <w:name w:val="xl38"/>
    <w:basedOn w:val="1"/>
    <w:semiHidden/>
    <w:qFormat/>
    <w:uiPriority w:val="0"/>
    <w:pPr>
      <w:widowControl/>
      <w:pBdr>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782">
    <w:name w:val="xl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783">
    <w:name w:val="样式 标题 1 +"/>
    <w:basedOn w:val="2"/>
    <w:semiHidden/>
    <w:qFormat/>
    <w:uiPriority w:val="0"/>
    <w:pPr>
      <w:adjustRightInd/>
      <w:snapToGrid/>
      <w:spacing w:before="4320" w:beforeLines="1800" w:after="0" w:line="240" w:lineRule="auto"/>
      <w:jc w:val="center"/>
    </w:pPr>
    <w:rPr>
      <w:rFonts w:eastAsia="方正魏碑简体"/>
      <w:b/>
      <w:bCs w:val="0"/>
      <w:snapToGrid/>
      <w:kern w:val="2"/>
      <w:sz w:val="52"/>
      <w:szCs w:val="52"/>
    </w:rPr>
  </w:style>
  <w:style w:type="paragraph" w:customStyle="1" w:styleId="784">
    <w:name w:val="Char2 Char Char Char Char Char Char Char Char Char3"/>
    <w:basedOn w:val="1"/>
    <w:semiHidden/>
    <w:qFormat/>
    <w:uiPriority w:val="0"/>
    <w:pPr>
      <w:spacing w:line="360" w:lineRule="auto"/>
      <w:ind w:firstLine="200" w:firstLineChars="200"/>
    </w:pPr>
    <w:rPr>
      <w:rFonts w:ascii="宋体" w:hAnsi="宋体"/>
      <w:sz w:val="24"/>
    </w:rPr>
  </w:style>
  <w:style w:type="paragraph" w:customStyle="1" w:styleId="785">
    <w:name w:val="纯文本12"/>
    <w:basedOn w:val="1"/>
    <w:semiHidden/>
    <w:qFormat/>
    <w:uiPriority w:val="0"/>
    <w:pPr>
      <w:adjustRightInd w:val="0"/>
      <w:jc w:val="left"/>
      <w:textAlignment w:val="baseline"/>
    </w:pPr>
    <w:rPr>
      <w:rFonts w:ascii="宋体" w:hAnsi="Courier New" w:cs="Courier New"/>
    </w:rPr>
  </w:style>
  <w:style w:type="paragraph" w:customStyle="1" w:styleId="786">
    <w:name w:val="样式 标题 2 + 首行缩进:  0 字符1"/>
    <w:basedOn w:val="3"/>
    <w:semiHidden/>
    <w:qFormat/>
    <w:uiPriority w:val="0"/>
    <w:pPr>
      <w:adjustRightInd w:val="0"/>
      <w:snapToGrid w:val="0"/>
      <w:spacing w:line="240" w:lineRule="auto"/>
      <w:textAlignment w:val="baseline"/>
    </w:pPr>
    <w:rPr>
      <w:rFonts w:ascii="Arial" w:hAnsi="Arial"/>
      <w:b/>
      <w:bCs/>
      <w:snapToGrid/>
      <w:sz w:val="32"/>
      <w:szCs w:val="20"/>
    </w:rPr>
  </w:style>
  <w:style w:type="paragraph" w:customStyle="1" w:styleId="787">
    <w:name w:val="TOC Heading"/>
    <w:basedOn w:val="2"/>
    <w:next w:val="1"/>
    <w:qFormat/>
    <w:uiPriority w:val="39"/>
    <w:pPr>
      <w:widowControl/>
      <w:spacing w:before="480" w:beforeLines="50" w:after="0" w:line="276" w:lineRule="auto"/>
      <w:jc w:val="left"/>
      <w:outlineLvl w:val="9"/>
    </w:pPr>
    <w:rPr>
      <w:rFonts w:ascii="Cambria" w:hAnsi="Cambria" w:eastAsia="宋体"/>
      <w:b/>
      <w:bCs w:val="0"/>
      <w:snapToGrid/>
      <w:color w:val="365F91"/>
      <w:sz w:val="28"/>
      <w:szCs w:val="28"/>
    </w:rPr>
  </w:style>
  <w:style w:type="paragraph" w:customStyle="1" w:styleId="788">
    <w:name w:val="xl37"/>
    <w:basedOn w:val="1"/>
    <w:semiHidden/>
    <w:qFormat/>
    <w:uiPriority w:val="0"/>
    <w:pPr>
      <w:widowControl/>
      <w:pBdr>
        <w:right w:val="single" w:color="auto" w:sz="4" w:space="0"/>
      </w:pBdr>
      <w:spacing w:before="100" w:beforeAutospacing="1" w:after="100" w:afterAutospacing="1"/>
      <w:jc w:val="center"/>
      <w:textAlignment w:val="center"/>
    </w:pPr>
    <w:rPr>
      <w:kern w:val="0"/>
      <w:sz w:val="22"/>
      <w:szCs w:val="22"/>
    </w:rPr>
  </w:style>
  <w:style w:type="paragraph" w:customStyle="1" w:styleId="789">
    <w:name w:val="Char Char Char Char2"/>
    <w:basedOn w:val="1"/>
    <w:semiHidden/>
    <w:qFormat/>
    <w:uiPriority w:val="0"/>
  </w:style>
  <w:style w:type="paragraph" w:customStyle="1" w:styleId="790">
    <w:name w:val="简单回函地址"/>
    <w:basedOn w:val="1"/>
    <w:semiHidden/>
    <w:qFormat/>
    <w:uiPriority w:val="0"/>
  </w:style>
  <w:style w:type="paragraph" w:customStyle="1" w:styleId="791">
    <w:name w:val="Char Char Char1 Char Char Char Char Char Char Char Char Char1 Char Char Char Char Char Char1"/>
    <w:basedOn w:val="1"/>
    <w:semiHidden/>
    <w:qFormat/>
    <w:uiPriority w:val="0"/>
  </w:style>
  <w:style w:type="paragraph" w:customStyle="1" w:styleId="792">
    <w:name w:val="列出段落1"/>
    <w:basedOn w:val="1"/>
    <w:semiHidden/>
    <w:qFormat/>
    <w:uiPriority w:val="0"/>
    <w:pPr>
      <w:ind w:firstLine="420" w:firstLineChars="200"/>
    </w:pPr>
    <w:rPr>
      <w:rFonts w:ascii="Calibri" w:hAnsi="Calibri"/>
      <w:szCs w:val="20"/>
    </w:rPr>
  </w:style>
  <w:style w:type="paragraph" w:customStyle="1" w:styleId="793">
    <w:name w:val="xl110"/>
    <w:basedOn w:val="1"/>
    <w:semiHidden/>
    <w:qFormat/>
    <w:uiPriority w:val="0"/>
    <w:pPr>
      <w:widowControl/>
      <w:pBdr>
        <w:top w:val="single" w:color="auto" w:sz="4" w:space="0"/>
        <w:left w:val="single" w:color="auto" w:sz="4" w:space="0"/>
        <w:right w:val="single" w:color="auto" w:sz="4" w:space="0"/>
      </w:pBdr>
      <w:shd w:val="clear" w:color="auto" w:fill="FFFF00"/>
      <w:spacing w:before="100" w:beforeAutospacing="1" w:after="100" w:afterAutospacing="1"/>
      <w:jc w:val="left"/>
    </w:pPr>
    <w:rPr>
      <w:b/>
      <w:bCs/>
      <w:kern w:val="0"/>
      <w:sz w:val="24"/>
    </w:rPr>
  </w:style>
  <w:style w:type="paragraph" w:customStyle="1" w:styleId="794">
    <w:name w:val="样式 样式 标题 1 + 小三 + 首行缩进:  2 字符"/>
    <w:basedOn w:val="795"/>
    <w:semiHidden/>
    <w:qFormat/>
    <w:uiPriority w:val="0"/>
    <w:pPr>
      <w:spacing w:line="240" w:lineRule="auto"/>
    </w:pPr>
    <w:rPr>
      <w:szCs w:val="20"/>
    </w:rPr>
  </w:style>
  <w:style w:type="paragraph" w:customStyle="1" w:styleId="795">
    <w:name w:val="样式 标题 1 + 小三"/>
    <w:basedOn w:val="2"/>
    <w:semiHidden/>
    <w:qFormat/>
    <w:uiPriority w:val="0"/>
    <w:pPr>
      <w:spacing w:before="240" w:after="0" w:line="578" w:lineRule="auto"/>
      <w:textAlignment w:val="baseline"/>
    </w:pPr>
    <w:rPr>
      <w:rFonts w:ascii="宋体" w:eastAsia="宋体"/>
      <w:b/>
      <w:snapToGrid/>
      <w:kern w:val="44"/>
      <w:sz w:val="30"/>
      <w:szCs w:val="44"/>
    </w:rPr>
  </w:style>
  <w:style w:type="paragraph" w:customStyle="1" w:styleId="796">
    <w:name w:val="Char Char Char Char Char Char Char Char Char Char Char1 Char1 Char Char Char Char Char Char Char Char Char Char Char Char Char Char Char Char Char Char Char Char Char Char Char Char Char Char1 Char Char Char Char Char Char"/>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797">
    <w:name w:val="样式 标题 2 + (西文) Times New Roman (中文) 宋体 小四"/>
    <w:basedOn w:val="3"/>
    <w:semiHidden/>
    <w:qFormat/>
    <w:uiPriority w:val="0"/>
    <w:rPr>
      <w:rFonts w:eastAsia="宋体" w:cs="Times New Roman"/>
    </w:rPr>
  </w:style>
  <w:style w:type="paragraph" w:customStyle="1" w:styleId="798">
    <w:name w:val="Char1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99">
    <w:name w:val="纯文本1"/>
    <w:basedOn w:val="1"/>
    <w:semiHidden/>
    <w:qFormat/>
    <w:uiPriority w:val="0"/>
    <w:pPr>
      <w:adjustRightInd w:val="0"/>
      <w:jc w:val="left"/>
      <w:textAlignment w:val="baseline"/>
    </w:pPr>
    <w:rPr>
      <w:rFonts w:ascii="宋体" w:hAnsi="Courier New" w:eastAsia="仿宋_GB2312"/>
      <w:sz w:val="24"/>
      <w:szCs w:val="20"/>
    </w:rPr>
  </w:style>
  <w:style w:type="paragraph" w:customStyle="1" w:styleId="800">
    <w:name w:val="et6"/>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等线" w:hAnsi="等线" w:eastAsia="等线"/>
      <w:kern w:val="0"/>
      <w:sz w:val="24"/>
      <w:u w:val="single"/>
    </w:rPr>
  </w:style>
  <w:style w:type="paragraph" w:customStyle="1" w:styleId="801">
    <w:name w:val="样式 标题 3标题 3（报告）标题 3（报告）(小3黑)条标题1.1.13h33rd levelH3l3CT..."/>
    <w:basedOn w:val="4"/>
    <w:semiHidden/>
    <w:qFormat/>
    <w:uiPriority w:val="0"/>
    <w:pPr>
      <w:adjustRightInd w:val="0"/>
      <w:snapToGrid w:val="0"/>
    </w:pPr>
    <w:rPr>
      <w:bCs/>
      <w:spacing w:val="4"/>
    </w:rPr>
  </w:style>
  <w:style w:type="paragraph" w:customStyle="1" w:styleId="802">
    <w:name w:val="标题5"/>
    <w:basedOn w:val="1"/>
    <w:semiHidden/>
    <w:qFormat/>
    <w:uiPriority w:val="0"/>
    <w:pPr>
      <w:adjustRightInd w:val="0"/>
      <w:snapToGrid w:val="0"/>
      <w:spacing w:before="50" w:beforeLines="50" w:line="500" w:lineRule="exact"/>
      <w:jc w:val="center"/>
    </w:pPr>
    <w:rPr>
      <w:rFonts w:eastAsia="黑体"/>
      <w:sz w:val="24"/>
      <w:szCs w:val="28"/>
    </w:rPr>
  </w:style>
  <w:style w:type="paragraph" w:customStyle="1" w:styleId="803">
    <w:name w:val="表5.1"/>
    <w:basedOn w:val="804"/>
    <w:semiHidden/>
    <w:qFormat/>
    <w:uiPriority w:val="0"/>
    <w:pPr>
      <w:tabs>
        <w:tab w:val="left" w:pos="842"/>
        <w:tab w:val="left" w:pos="945"/>
      </w:tabs>
      <w:ind w:left="945" w:hanging="945"/>
    </w:pPr>
  </w:style>
  <w:style w:type="paragraph" w:customStyle="1" w:styleId="804">
    <w:name w:val="表3.1"/>
    <w:basedOn w:val="65"/>
    <w:semiHidden/>
    <w:qFormat/>
    <w:uiPriority w:val="0"/>
    <w:pPr>
      <w:keepNext/>
      <w:tabs>
        <w:tab w:val="left" w:pos="842"/>
      </w:tabs>
      <w:spacing w:line="160" w:lineRule="atLeast"/>
      <w:ind w:left="0" w:leftChars="0" w:firstLine="0" w:firstLineChars="0"/>
      <w:jc w:val="center"/>
    </w:pPr>
    <w:rPr>
      <w:rFonts w:ascii="华文宋体" w:hAnsi="华文宋体" w:eastAsia="黑体"/>
      <w:sz w:val="24"/>
    </w:rPr>
  </w:style>
  <w:style w:type="paragraph" w:customStyle="1" w:styleId="805">
    <w:name w:val="xl88"/>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06">
    <w:name w:val="表格题目"/>
    <w:basedOn w:val="1"/>
    <w:semiHidden/>
    <w:qFormat/>
    <w:uiPriority w:val="0"/>
    <w:pPr>
      <w:tabs>
        <w:tab w:val="left" w:pos="540"/>
      </w:tabs>
      <w:spacing w:before="180" w:after="60" w:line="360" w:lineRule="auto"/>
      <w:jc w:val="center"/>
    </w:pPr>
    <w:rPr>
      <w:rFonts w:eastAsia="黑体" w:cs="Times New Roman"/>
      <w:bCs/>
      <w:szCs w:val="24"/>
      <w:lang w:val="zh-CN"/>
    </w:rPr>
  </w:style>
  <w:style w:type="paragraph" w:customStyle="1" w:styleId="807">
    <w:name w:val="Char15"/>
    <w:basedOn w:val="1"/>
    <w:semiHidden/>
    <w:qFormat/>
    <w:uiPriority w:val="0"/>
  </w:style>
  <w:style w:type="paragraph" w:customStyle="1" w:styleId="808">
    <w:name w:val="样式 标题 2 + 四号 非加粗 段前: 0 磅 段后: 0 磅 行距: 1.5 倍行距"/>
    <w:basedOn w:val="3"/>
    <w:semiHidden/>
    <w:qFormat/>
    <w:uiPriority w:val="0"/>
    <w:pPr>
      <w:adjustRightInd w:val="0"/>
      <w:snapToGrid w:val="0"/>
    </w:pPr>
    <w:rPr>
      <w:b/>
      <w:snapToGrid/>
      <w:kern w:val="2"/>
    </w:rPr>
  </w:style>
  <w:style w:type="paragraph" w:customStyle="1" w:styleId="809">
    <w:name w:val="样式 题注 + 居中"/>
    <w:basedOn w:val="19"/>
    <w:semiHidden/>
    <w:qFormat/>
    <w:uiPriority w:val="0"/>
    <w:pPr>
      <w:adjustRightInd w:val="0"/>
      <w:snapToGrid w:val="0"/>
      <w:spacing w:before="50" w:beforeLines="50" w:line="460" w:lineRule="exact"/>
      <w:jc w:val="center"/>
    </w:pPr>
    <w:rPr>
      <w:rFonts w:cs="宋体"/>
      <w:sz w:val="24"/>
      <w:szCs w:val="24"/>
    </w:rPr>
  </w:style>
  <w:style w:type="paragraph" w:customStyle="1" w:styleId="810">
    <w:name w:val="1"/>
    <w:basedOn w:val="1"/>
    <w:next w:val="18"/>
    <w:semiHidden/>
    <w:qFormat/>
    <w:uiPriority w:val="0"/>
    <w:pPr>
      <w:ind w:firstLine="420"/>
    </w:pPr>
    <w:rPr>
      <w:szCs w:val="20"/>
    </w:rPr>
  </w:style>
  <w:style w:type="paragraph" w:customStyle="1" w:styleId="811">
    <w:name w:val="00000"/>
    <w:semiHidden/>
    <w:qFormat/>
    <w:uiPriority w:val="0"/>
    <w:pPr>
      <w:widowControl w:val="0"/>
      <w:spacing w:line="460" w:lineRule="exact"/>
      <w:ind w:firstLine="200" w:firstLineChars="200"/>
      <w:jc w:val="both"/>
    </w:pPr>
    <w:rPr>
      <w:rFonts w:ascii="Times New Roman" w:hAnsi="Times New Roman" w:eastAsia="宋体" w:cs="Times New Roman"/>
      <w:spacing w:val="4"/>
      <w:sz w:val="24"/>
      <w:lang w:val="en-US" w:eastAsia="zh-CN" w:bidi="ar-SA"/>
    </w:rPr>
  </w:style>
  <w:style w:type="paragraph" w:customStyle="1" w:styleId="812">
    <w:name w:val="样式 宋体 居中 首行缩进:  2 字符"/>
    <w:basedOn w:val="1"/>
    <w:semiHidden/>
    <w:qFormat/>
    <w:uiPriority w:val="0"/>
    <w:pPr>
      <w:adjustRightInd w:val="0"/>
      <w:jc w:val="center"/>
      <w:textAlignment w:val="baseline"/>
    </w:pPr>
    <w:rPr>
      <w:rFonts w:ascii="宋体" w:hAnsi="宋体"/>
      <w:kern w:val="0"/>
      <w:sz w:val="24"/>
      <w:szCs w:val="20"/>
    </w:rPr>
  </w:style>
  <w:style w:type="paragraph" w:customStyle="1" w:styleId="813">
    <w:name w:val="样式22"/>
    <w:basedOn w:val="1"/>
    <w:semiHidden/>
    <w:qFormat/>
    <w:uiPriority w:val="0"/>
    <w:pPr>
      <w:spacing w:line="480" w:lineRule="exact"/>
      <w:jc w:val="center"/>
    </w:pPr>
    <w:rPr>
      <w:rFonts w:eastAsia="黑体"/>
      <w:sz w:val="24"/>
    </w:rPr>
  </w:style>
  <w:style w:type="paragraph" w:customStyle="1" w:styleId="814">
    <w:name w:val="样式  + 四号 首行缩进:  2 字符"/>
    <w:basedOn w:val="1"/>
    <w:semiHidden/>
    <w:qFormat/>
    <w:uiPriority w:val="0"/>
    <w:pPr>
      <w:adjustRightInd w:val="0"/>
      <w:spacing w:line="360" w:lineRule="auto"/>
      <w:ind w:firstLine="560" w:firstLineChars="200"/>
      <w:textAlignment w:val="baseline"/>
    </w:pPr>
    <w:rPr>
      <w:sz w:val="24"/>
      <w:szCs w:val="20"/>
    </w:rPr>
  </w:style>
  <w:style w:type="paragraph" w:customStyle="1" w:styleId="815">
    <w:name w:val="样式6"/>
    <w:basedOn w:val="1"/>
    <w:semiHidden/>
    <w:qFormat/>
    <w:uiPriority w:val="0"/>
    <w:pPr>
      <w:adjustRightInd w:val="0"/>
      <w:spacing w:before="120" w:after="120" w:line="400" w:lineRule="atLeast"/>
      <w:jc w:val="center"/>
      <w:textAlignment w:val="baseline"/>
    </w:pPr>
    <w:rPr>
      <w:rFonts w:ascii="黑体" w:eastAsia="黑体"/>
      <w:kern w:val="0"/>
      <w:szCs w:val="20"/>
    </w:rPr>
  </w:style>
  <w:style w:type="paragraph" w:customStyle="1" w:styleId="816">
    <w:name w:val="xl2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817">
    <w:name w:val="Char21"/>
    <w:next w:val="1"/>
    <w:semiHidden/>
    <w:qFormat/>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818">
    <w:name w:val="xl86"/>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819">
    <w:name w:val="xl6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820">
    <w:name w:val="xl11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b/>
      <w:bCs/>
      <w:kern w:val="0"/>
      <w:sz w:val="24"/>
    </w:rPr>
  </w:style>
  <w:style w:type="paragraph" w:customStyle="1" w:styleId="821">
    <w:name w:val="xl54"/>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822">
    <w:name w:val="表格（小）"/>
    <w:basedOn w:val="1"/>
    <w:semiHidden/>
    <w:qFormat/>
    <w:uiPriority w:val="0"/>
    <w:pPr>
      <w:adjustRightInd w:val="0"/>
      <w:snapToGrid w:val="0"/>
    </w:pPr>
    <w:rPr>
      <w:snapToGrid w:val="0"/>
      <w:kern w:val="0"/>
    </w:rPr>
  </w:style>
  <w:style w:type="paragraph" w:customStyle="1" w:styleId="823">
    <w:name w:val="xl116"/>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pPr>
    <w:rPr>
      <w:rFonts w:ascii="宋体" w:hAnsi="宋体"/>
      <w:kern w:val="0"/>
      <w:sz w:val="24"/>
    </w:rPr>
  </w:style>
  <w:style w:type="paragraph" w:customStyle="1" w:styleId="824">
    <w:name w:val="列表段落1"/>
    <w:basedOn w:val="1"/>
    <w:semiHidden/>
    <w:qFormat/>
    <w:uiPriority w:val="34"/>
    <w:pPr>
      <w:adjustRightInd w:val="0"/>
      <w:spacing w:line="360" w:lineRule="atLeast"/>
      <w:ind w:firstLine="420" w:firstLineChars="200"/>
      <w:textAlignment w:val="baseline"/>
    </w:pPr>
    <w:rPr>
      <w:rFonts w:ascii="宋体" w:hAnsi="Calibri"/>
      <w:kern w:val="0"/>
      <w:sz w:val="24"/>
      <w:szCs w:val="20"/>
    </w:rPr>
  </w:style>
  <w:style w:type="paragraph" w:customStyle="1" w:styleId="825">
    <w:name w:val="Char2 Char Char Char Char Char Char Char Char Char1"/>
    <w:basedOn w:val="1"/>
    <w:semiHidden/>
    <w:qFormat/>
    <w:uiPriority w:val="0"/>
    <w:pPr>
      <w:spacing w:line="360" w:lineRule="auto"/>
      <w:ind w:firstLine="200" w:firstLineChars="200"/>
    </w:pPr>
    <w:rPr>
      <w:rFonts w:ascii="宋体" w:hAnsi="宋体"/>
      <w:sz w:val="24"/>
    </w:rPr>
  </w:style>
  <w:style w:type="paragraph" w:customStyle="1" w:styleId="826">
    <w:name w:val="Char Char113"/>
    <w:basedOn w:val="1"/>
    <w:semiHidden/>
    <w:qFormat/>
    <w:uiPriority w:val="0"/>
    <w:rPr>
      <w:rFonts w:ascii="Tahoma" w:hAnsi="Tahoma"/>
      <w:sz w:val="24"/>
      <w:szCs w:val="20"/>
    </w:rPr>
  </w:style>
  <w:style w:type="paragraph" w:customStyle="1" w:styleId="827">
    <w:name w:val="et15"/>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等线" w:hAnsi="等线" w:eastAsia="等线"/>
      <w:kern w:val="0"/>
      <w:sz w:val="24"/>
      <w:u w:val="single"/>
    </w:rPr>
  </w:style>
  <w:style w:type="paragraph" w:customStyle="1" w:styleId="828">
    <w:name w:val="样式 首行缩进:  0.99 厘米 行距: 固定值 24 磅"/>
    <w:basedOn w:val="1"/>
    <w:semiHidden/>
    <w:qFormat/>
    <w:uiPriority w:val="0"/>
    <w:pPr>
      <w:spacing w:line="520" w:lineRule="exact"/>
      <w:ind w:firstLine="561"/>
    </w:pPr>
    <w:rPr>
      <w:sz w:val="28"/>
      <w:szCs w:val="20"/>
    </w:rPr>
  </w:style>
  <w:style w:type="paragraph" w:customStyle="1" w:styleId="829">
    <w:name w:val="Char Char Char Char Char Char Char Char Char1 Char Char Char Char Char Char Char Char Char Char Char Char Char"/>
    <w:basedOn w:val="1"/>
    <w:semiHidden/>
    <w:qFormat/>
    <w:uiPriority w:val="0"/>
    <w:rPr>
      <w:rFonts w:ascii="宋体" w:hAnsi="宋体"/>
      <w:b/>
      <w:sz w:val="24"/>
    </w:rPr>
  </w:style>
  <w:style w:type="paragraph" w:customStyle="1" w:styleId="830">
    <w:name w:val="样式 标题 3标题 3（报告）标题 3（报告）(小3黑)条标题1.1.13h33rd levelH3l3CT...1"/>
    <w:basedOn w:val="4"/>
    <w:semiHidden/>
    <w:qFormat/>
    <w:uiPriority w:val="0"/>
    <w:pPr>
      <w:adjustRightInd w:val="0"/>
      <w:snapToGrid w:val="0"/>
    </w:pPr>
    <w:rPr>
      <w:bCs/>
      <w:spacing w:val="4"/>
    </w:rPr>
  </w:style>
  <w:style w:type="paragraph" w:customStyle="1" w:styleId="831">
    <w:name w:val="Char Char Char Char Char Char Char Char Char Char Char Char Char Char Char Char4"/>
    <w:basedOn w:val="1"/>
    <w:semiHidden/>
    <w:qFormat/>
    <w:uiPriority w:val="0"/>
    <w:pPr>
      <w:tabs>
        <w:tab w:val="left" w:pos="360"/>
      </w:tabs>
      <w:spacing w:line="480" w:lineRule="exact"/>
      <w:ind w:firstLine="560" w:firstLineChars="200"/>
    </w:pPr>
    <w:rPr>
      <w:sz w:val="28"/>
      <w:szCs w:val="28"/>
    </w:rPr>
  </w:style>
  <w:style w:type="paragraph" w:customStyle="1" w:styleId="832">
    <w:name w:val="Char Char Char Char4"/>
    <w:basedOn w:val="1"/>
    <w:semiHidden/>
    <w:qFormat/>
    <w:uiPriority w:val="0"/>
  </w:style>
  <w:style w:type="paragraph" w:customStyle="1" w:styleId="833">
    <w:name w:val="et10"/>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等线" w:hAnsi="等线" w:eastAsia="等线"/>
      <w:b/>
      <w:bCs/>
      <w:kern w:val="0"/>
      <w:sz w:val="24"/>
      <w:u w:val="single"/>
    </w:rPr>
  </w:style>
  <w:style w:type="paragraph" w:customStyle="1" w:styleId="834">
    <w:name w:val="正文5号"/>
    <w:basedOn w:val="1"/>
    <w:semiHidden/>
    <w:qFormat/>
    <w:uiPriority w:val="0"/>
    <w:rPr>
      <w:rFonts w:ascii="宋体" w:hAnsi="宋体"/>
      <w:sz w:val="24"/>
    </w:rPr>
  </w:style>
  <w:style w:type="paragraph" w:customStyle="1" w:styleId="835">
    <w:name w:val="无间隔1"/>
    <w:semiHidden/>
    <w:qFormat/>
    <w:uiPriority w:val="1"/>
    <w:pPr>
      <w:widowControl w:val="0"/>
      <w:spacing w:line="460" w:lineRule="exact"/>
      <w:ind w:firstLine="200" w:firstLineChars="200"/>
      <w:jc w:val="both"/>
    </w:pPr>
    <w:rPr>
      <w:rFonts w:ascii="Calibri" w:hAnsi="Calibri" w:eastAsia="宋体" w:cs="Times New Roman"/>
      <w:kern w:val="2"/>
      <w:sz w:val="24"/>
      <w:szCs w:val="22"/>
      <w:lang w:val="en-US" w:eastAsia="zh-CN" w:bidi="ar-SA"/>
    </w:rPr>
  </w:style>
  <w:style w:type="paragraph" w:customStyle="1" w:styleId="836">
    <w:name w:val="et5"/>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b/>
      <w:bCs/>
      <w:kern w:val="0"/>
      <w:sz w:val="24"/>
      <w:u w:val="single"/>
    </w:rPr>
  </w:style>
  <w:style w:type="paragraph" w:customStyle="1" w:styleId="837">
    <w:name w:val="样式 标题 3 + (西文) Times New Roman"/>
    <w:basedOn w:val="4"/>
    <w:semiHidden/>
    <w:qFormat/>
    <w:uiPriority w:val="0"/>
    <w:pPr>
      <w:adjustRightInd w:val="0"/>
      <w:snapToGrid w:val="0"/>
      <w:textAlignment w:val="baseline"/>
    </w:pPr>
    <w:rPr>
      <w:bCs/>
      <w:snapToGrid/>
    </w:rPr>
  </w:style>
  <w:style w:type="paragraph" w:customStyle="1" w:styleId="838">
    <w:name w:val="技术报告正文"/>
    <w:basedOn w:val="839"/>
    <w:semiHidden/>
    <w:qFormat/>
    <w:uiPriority w:val="0"/>
    <w:pPr>
      <w:adjustRightInd/>
      <w:spacing w:line="460" w:lineRule="exact"/>
      <w:ind w:firstLine="200"/>
      <w:textAlignment w:val="auto"/>
    </w:pPr>
    <w:rPr>
      <w:rFonts w:ascii="Times New Roman"/>
      <w:kern w:val="2"/>
      <w:szCs w:val="24"/>
    </w:rPr>
  </w:style>
  <w:style w:type="paragraph" w:styleId="839">
    <w:name w:val="List Paragraph"/>
    <w:basedOn w:val="1"/>
    <w:qFormat/>
    <w:uiPriority w:val="34"/>
    <w:pPr>
      <w:adjustRightInd w:val="0"/>
      <w:spacing w:line="360" w:lineRule="atLeast"/>
      <w:ind w:firstLine="420" w:firstLineChars="200"/>
      <w:textAlignment w:val="baseline"/>
    </w:pPr>
    <w:rPr>
      <w:rFonts w:ascii="宋体"/>
      <w:kern w:val="0"/>
      <w:sz w:val="24"/>
      <w:szCs w:val="20"/>
    </w:rPr>
  </w:style>
  <w:style w:type="paragraph" w:customStyle="1" w:styleId="840">
    <w:name w:val="et9"/>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b/>
      <w:bCs/>
      <w:kern w:val="0"/>
      <w:sz w:val="24"/>
      <w:u w:val="single"/>
    </w:rPr>
  </w:style>
  <w:style w:type="paragraph" w:customStyle="1" w:styleId="841">
    <w:name w:val="样式15"/>
    <w:basedOn w:val="1"/>
    <w:semiHidden/>
    <w:qFormat/>
    <w:uiPriority w:val="0"/>
    <w:pPr>
      <w:adjustRightInd w:val="0"/>
      <w:snapToGrid w:val="0"/>
      <w:spacing w:line="480" w:lineRule="exact"/>
      <w:jc w:val="center"/>
    </w:pPr>
    <w:rPr>
      <w:rFonts w:eastAsia="黑体"/>
      <w:sz w:val="24"/>
    </w:rPr>
  </w:style>
  <w:style w:type="paragraph" w:customStyle="1" w:styleId="842">
    <w:name w:val="font10"/>
    <w:basedOn w:val="1"/>
    <w:qFormat/>
    <w:uiPriority w:val="0"/>
    <w:pPr>
      <w:widowControl/>
      <w:spacing w:before="100" w:beforeAutospacing="1" w:after="100" w:afterAutospacing="1"/>
      <w:jc w:val="left"/>
    </w:pPr>
    <w:rPr>
      <w:kern w:val="0"/>
      <w:sz w:val="22"/>
      <w:szCs w:val="22"/>
    </w:rPr>
  </w:style>
  <w:style w:type="paragraph" w:customStyle="1" w:styleId="843">
    <w:name w:val="Char1 Char Char Char1"/>
    <w:basedOn w:val="1"/>
    <w:semiHidden/>
    <w:qFormat/>
    <w:uiPriority w:val="0"/>
    <w:pPr>
      <w:widowControl/>
      <w:spacing w:before="100" w:beforeAutospacing="1" w:after="100" w:afterAutospacing="1" w:line="330" w:lineRule="atLeast"/>
      <w:ind w:left="360"/>
      <w:jc w:val="left"/>
    </w:pPr>
    <w:rPr>
      <w:rFonts w:ascii="ˎ̥" w:hAnsi="ˎ̥"/>
      <w:color w:val="51585D"/>
      <w:kern w:val="0"/>
      <w:sz w:val="24"/>
      <w:szCs w:val="18"/>
    </w:rPr>
  </w:style>
  <w:style w:type="paragraph" w:customStyle="1" w:styleId="844">
    <w:name w:val="样式4"/>
    <w:basedOn w:val="3"/>
    <w:semiHidden/>
    <w:qFormat/>
    <w:uiPriority w:val="0"/>
    <w:pPr>
      <w:adjustRightInd w:val="0"/>
      <w:snapToGrid w:val="0"/>
      <w:spacing w:before="100" w:after="100"/>
    </w:pPr>
    <w:rPr>
      <w:b/>
    </w:rPr>
  </w:style>
  <w:style w:type="paragraph" w:customStyle="1" w:styleId="845">
    <w:name w:val="徐京伦－标题3"/>
    <w:basedOn w:val="4"/>
    <w:semiHidden/>
    <w:qFormat/>
    <w:uiPriority w:val="0"/>
    <w:pPr>
      <w:tabs>
        <w:tab w:val="left" w:pos="709"/>
        <w:tab w:val="left" w:pos="1080"/>
      </w:tabs>
      <w:autoSpaceDE w:val="0"/>
      <w:autoSpaceDN w:val="0"/>
      <w:adjustRightInd w:val="0"/>
      <w:spacing w:before="0" w:after="0" w:line="360" w:lineRule="auto"/>
      <w:ind w:left="709" w:hanging="709"/>
      <w:jc w:val="left"/>
      <w:textAlignment w:val="bottom"/>
    </w:pPr>
    <w:rPr>
      <w:bCs/>
      <w:color w:val="000000"/>
      <w:szCs w:val="20"/>
    </w:rPr>
  </w:style>
  <w:style w:type="paragraph" w:customStyle="1" w:styleId="846">
    <w:name w:val="xl8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center"/>
    </w:pPr>
    <w:rPr>
      <w:kern w:val="0"/>
      <w:sz w:val="20"/>
      <w:szCs w:val="20"/>
    </w:rPr>
  </w:style>
  <w:style w:type="paragraph" w:customStyle="1" w:styleId="847">
    <w:name w:val="样式 标准正文 + 加粗 首行缩进:  0.9 厘米 Char"/>
    <w:basedOn w:val="1"/>
    <w:semiHidden/>
    <w:qFormat/>
    <w:uiPriority w:val="0"/>
    <w:pPr>
      <w:adjustRightInd w:val="0"/>
      <w:snapToGrid w:val="0"/>
      <w:spacing w:before="156" w:beforeLines="50" w:line="360" w:lineRule="auto"/>
      <w:ind w:firstLine="510"/>
    </w:pPr>
    <w:rPr>
      <w:rFonts w:ascii="仿宋_GB2312" w:eastAsia="仿宋_GB2312"/>
      <w:bCs/>
      <w:sz w:val="28"/>
      <w:szCs w:val="20"/>
    </w:rPr>
  </w:style>
  <w:style w:type="paragraph" w:customStyle="1" w:styleId="848">
    <w:name w:val="Char Char6 Char Char Char Char Char Char2"/>
    <w:basedOn w:val="1"/>
    <w:semiHidden/>
    <w:qFormat/>
    <w:uiPriority w:val="0"/>
    <w:rPr>
      <w:b/>
    </w:rPr>
  </w:style>
  <w:style w:type="paragraph" w:customStyle="1" w:styleId="849">
    <w:name w:val="char"/>
    <w:basedOn w:val="1"/>
    <w:semiHidden/>
    <w:qFormat/>
    <w:uiPriority w:val="0"/>
    <w:pPr>
      <w:snapToGrid w:val="0"/>
      <w:spacing w:line="440" w:lineRule="exact"/>
      <w:ind w:firstLine="200" w:firstLineChars="200"/>
    </w:pPr>
    <w:rPr>
      <w:sz w:val="24"/>
    </w:rPr>
  </w:style>
  <w:style w:type="paragraph" w:customStyle="1" w:styleId="850">
    <w:name w:val="表格对中"/>
    <w:basedOn w:val="1"/>
    <w:semiHidden/>
    <w:qFormat/>
    <w:uiPriority w:val="0"/>
    <w:pPr>
      <w:adjustRightInd w:val="0"/>
      <w:snapToGrid w:val="0"/>
      <w:spacing w:line="360" w:lineRule="exact"/>
      <w:jc w:val="center"/>
    </w:pPr>
    <w:rPr>
      <w:snapToGrid w:val="0"/>
      <w:kern w:val="0"/>
      <w:szCs w:val="20"/>
    </w:rPr>
  </w:style>
  <w:style w:type="paragraph" w:customStyle="1" w:styleId="851">
    <w:name w:val="Char2 Char Char Char Char Char Char Char Char Char4"/>
    <w:basedOn w:val="1"/>
    <w:semiHidden/>
    <w:qFormat/>
    <w:uiPriority w:val="0"/>
    <w:pPr>
      <w:spacing w:line="360" w:lineRule="auto"/>
      <w:ind w:firstLine="200" w:firstLineChars="200"/>
    </w:pPr>
    <w:rPr>
      <w:rFonts w:ascii="宋体" w:hAnsi="宋体"/>
      <w:sz w:val="24"/>
    </w:rPr>
  </w:style>
  <w:style w:type="paragraph" w:customStyle="1" w:styleId="852">
    <w:name w:val="xl32"/>
    <w:basedOn w:val="1"/>
    <w:semiHidden/>
    <w:qFormat/>
    <w:uiPriority w:val="0"/>
    <w:pPr>
      <w:widowControl/>
      <w:pBdr>
        <w:lef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853">
    <w:name w:val="xl102"/>
    <w:basedOn w:val="1"/>
    <w:semiHidden/>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854">
    <w:name w:val="纯文本13"/>
    <w:basedOn w:val="1"/>
    <w:semiHidden/>
    <w:qFormat/>
    <w:uiPriority w:val="0"/>
    <w:pPr>
      <w:adjustRightInd w:val="0"/>
      <w:jc w:val="left"/>
      <w:textAlignment w:val="baseline"/>
    </w:pPr>
    <w:rPr>
      <w:rFonts w:ascii="宋体" w:hAnsi="Courier New" w:cs="Courier New"/>
    </w:rPr>
  </w:style>
  <w:style w:type="paragraph" w:customStyle="1" w:styleId="855">
    <w:name w:val="font1"/>
    <w:basedOn w:val="1"/>
    <w:semiHidden/>
    <w:qFormat/>
    <w:uiPriority w:val="0"/>
    <w:pPr>
      <w:widowControl/>
      <w:spacing w:before="100" w:beforeAutospacing="1" w:after="100" w:afterAutospacing="1"/>
      <w:jc w:val="left"/>
    </w:pPr>
    <w:rPr>
      <w:rFonts w:hint="eastAsia" w:ascii="宋体" w:hAnsi="宋体"/>
      <w:kern w:val="0"/>
      <w:sz w:val="24"/>
    </w:rPr>
  </w:style>
  <w:style w:type="paragraph" w:customStyle="1" w:styleId="856">
    <w:name w:val="xl77"/>
    <w:basedOn w:val="1"/>
    <w:qFormat/>
    <w:uiPriority w:val="0"/>
    <w:pPr>
      <w:widowControl/>
      <w:pBdr>
        <w:right w:val="single" w:color="auto" w:sz="4" w:space="0"/>
      </w:pBdr>
      <w:spacing w:before="100" w:beforeAutospacing="1" w:after="100" w:afterAutospacing="1"/>
      <w:jc w:val="center"/>
    </w:pPr>
    <w:rPr>
      <w:kern w:val="0"/>
      <w:sz w:val="18"/>
      <w:szCs w:val="18"/>
    </w:rPr>
  </w:style>
  <w:style w:type="paragraph" w:customStyle="1" w:styleId="857">
    <w:name w:val="Char2"/>
    <w:next w:val="1"/>
    <w:semiHidden/>
    <w:qFormat/>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858">
    <w:name w:val="表头[BT]"/>
    <w:basedOn w:val="1"/>
    <w:semiHidden/>
    <w:qFormat/>
    <w:uiPriority w:val="0"/>
    <w:pPr>
      <w:adjustRightInd w:val="0"/>
      <w:spacing w:before="120" w:after="120"/>
      <w:jc w:val="center"/>
      <w:textAlignment w:val="baseline"/>
    </w:pPr>
    <w:rPr>
      <w:rFonts w:ascii="仿宋_GB2312" w:eastAsia="仿宋_GB2312"/>
      <w:kern w:val="0"/>
      <w:sz w:val="28"/>
      <w:szCs w:val="20"/>
    </w:rPr>
  </w:style>
  <w:style w:type="paragraph" w:customStyle="1" w:styleId="859">
    <w:name w:val="正文1"/>
    <w:semiHidden/>
    <w:qFormat/>
    <w:uiPriority w:val="0"/>
    <w:pPr>
      <w:jc w:val="both"/>
    </w:pPr>
    <w:rPr>
      <w:rFonts w:ascii="Times New Roman" w:hAnsi="Times New Roman" w:eastAsia="宋体" w:cs="宋体"/>
      <w:kern w:val="2"/>
      <w:sz w:val="21"/>
      <w:szCs w:val="21"/>
      <w:lang w:val="en-US" w:eastAsia="zh-CN" w:bidi="ar-SA"/>
    </w:rPr>
  </w:style>
  <w:style w:type="paragraph" w:customStyle="1" w:styleId="860">
    <w:name w:val="表格数字"/>
    <w:semiHidden/>
    <w:qFormat/>
    <w:uiPriority w:val="0"/>
    <w:pPr>
      <w:jc w:val="center"/>
    </w:pPr>
    <w:rPr>
      <w:rFonts w:ascii="宋体" w:hAnsi="宋体" w:eastAsia="宋体" w:cs="Times New Roman"/>
      <w:sz w:val="21"/>
      <w:lang w:val="en-US" w:eastAsia="zh-CN" w:bidi="ar-SA"/>
    </w:rPr>
  </w:style>
  <w:style w:type="paragraph" w:customStyle="1" w:styleId="861">
    <w:name w:val="xl64"/>
    <w:basedOn w:val="1"/>
    <w:semiHidden/>
    <w:qFormat/>
    <w:uiPriority w:val="0"/>
    <w:pPr>
      <w:widowControl/>
      <w:pBdr>
        <w:left w:val="single" w:color="auto" w:sz="4" w:space="0"/>
        <w:right w:val="single" w:color="auto" w:sz="4" w:space="0"/>
      </w:pBdr>
      <w:spacing w:before="100" w:beforeAutospacing="1" w:after="100" w:afterAutospacing="1"/>
      <w:jc w:val="center"/>
    </w:pPr>
    <w:rPr>
      <w:kern w:val="0"/>
      <w:sz w:val="18"/>
      <w:szCs w:val="18"/>
    </w:rPr>
  </w:style>
  <w:style w:type="paragraph" w:customStyle="1" w:styleId="862">
    <w:name w:val="样式 标题 4款标题1.1.1.1标题 4，宋体，四号，四级（1.1.1.1）H4表图题标题zsc4L4h44t..."/>
    <w:basedOn w:val="5"/>
    <w:semiHidden/>
    <w:qFormat/>
    <w:uiPriority w:val="0"/>
    <w:pPr>
      <w:spacing w:line="520" w:lineRule="exact"/>
    </w:pPr>
    <w:rPr>
      <w:rFonts w:eastAsia="仿宋_GB2312"/>
      <w:b/>
      <w:sz w:val="28"/>
      <w:szCs w:val="28"/>
    </w:rPr>
  </w:style>
  <w:style w:type="paragraph" w:customStyle="1" w:styleId="863">
    <w:name w:val="表内文字(小5号字）"/>
    <w:basedOn w:val="1"/>
    <w:semiHidden/>
    <w:qFormat/>
    <w:uiPriority w:val="0"/>
    <w:pPr>
      <w:jc w:val="center"/>
    </w:pPr>
    <w:rPr>
      <w:rFonts w:cs="Times New Roman"/>
      <w:sz w:val="18"/>
      <w:szCs w:val="24"/>
      <w:lang w:val="zh-CN"/>
    </w:rPr>
  </w:style>
  <w:style w:type="paragraph" w:customStyle="1" w:styleId="864">
    <w:name w:val="样式 样式 样式 行距: 固定值 22 磅 + 首行缩进:  2 字符 + 首行缩进:  2 字符 Char"/>
    <w:basedOn w:val="1"/>
    <w:semiHidden/>
    <w:qFormat/>
    <w:uiPriority w:val="0"/>
    <w:pPr>
      <w:spacing w:line="480" w:lineRule="exact"/>
      <w:ind w:firstLine="480" w:firstLineChars="200"/>
    </w:pPr>
    <w:rPr>
      <w:rFonts w:eastAsia="华文中宋"/>
      <w:sz w:val="24"/>
      <w:szCs w:val="20"/>
    </w:rPr>
  </w:style>
  <w:style w:type="paragraph" w:customStyle="1" w:styleId="865">
    <w:name w:val="样式 标题 2 + Times New Roman 五号"/>
    <w:basedOn w:val="3"/>
    <w:semiHidden/>
    <w:qFormat/>
    <w:uiPriority w:val="0"/>
    <w:pPr>
      <w:spacing w:line="280" w:lineRule="exact"/>
    </w:pPr>
    <w:rPr>
      <w:bCs/>
      <w:szCs w:val="32"/>
    </w:rPr>
  </w:style>
  <w:style w:type="paragraph" w:customStyle="1" w:styleId="866">
    <w:name w:val="样式 标题 3标题 3 Char1标题 3XW Char1标题 3XW Char Char1标题 3XW Char Ch..."/>
    <w:basedOn w:val="4"/>
    <w:semiHidden/>
    <w:qFormat/>
    <w:uiPriority w:val="0"/>
    <w:pPr>
      <w:tabs>
        <w:tab w:val="left" w:pos="1260"/>
      </w:tabs>
      <w:spacing w:before="0" w:after="0" w:line="415" w:lineRule="auto"/>
      <w:ind w:left="1260" w:hanging="420"/>
    </w:pPr>
    <w:rPr>
      <w:rFonts w:ascii="Arial" w:hAnsi="Arial"/>
      <w:b/>
      <w:bCs/>
      <w:sz w:val="28"/>
      <w:szCs w:val="28"/>
    </w:rPr>
  </w:style>
  <w:style w:type="paragraph" w:customStyle="1" w:styleId="867">
    <w:name w:val="xl107"/>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pPr>
    <w:rPr>
      <w:kern w:val="0"/>
      <w:sz w:val="24"/>
    </w:rPr>
  </w:style>
  <w:style w:type="paragraph" w:customStyle="1" w:styleId="868">
    <w:name w:val="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69">
    <w:name w:val="Char Char Char1 Char Char Char Char Char Char Char Char Char1 Char Char Char Char Char Char2"/>
    <w:basedOn w:val="1"/>
    <w:semiHidden/>
    <w:qFormat/>
    <w:uiPriority w:val="0"/>
  </w:style>
  <w:style w:type="paragraph" w:customStyle="1" w:styleId="870">
    <w:name w:val="xl52"/>
    <w:basedOn w:val="1"/>
    <w:semiHidden/>
    <w:qFormat/>
    <w:uiPriority w:val="0"/>
    <w:pPr>
      <w:widowControl/>
      <w:pBdr>
        <w:bottom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871">
    <w:name w:val="Char1 Char Char Char"/>
    <w:basedOn w:val="1"/>
    <w:semiHidden/>
    <w:qFormat/>
    <w:uiPriority w:val="0"/>
    <w:pPr>
      <w:widowControl/>
      <w:spacing w:before="100" w:beforeAutospacing="1" w:after="100" w:afterAutospacing="1" w:line="330" w:lineRule="atLeast"/>
      <w:ind w:left="360"/>
      <w:jc w:val="left"/>
    </w:pPr>
    <w:rPr>
      <w:rFonts w:ascii="ˎ̥" w:hAnsi="ˎ̥"/>
      <w:color w:val="51585D"/>
      <w:kern w:val="0"/>
      <w:sz w:val="24"/>
      <w:szCs w:val="18"/>
    </w:rPr>
  </w:style>
  <w:style w:type="paragraph" w:customStyle="1" w:styleId="872">
    <w:name w:val="xl74"/>
    <w:basedOn w:val="1"/>
    <w:qFormat/>
    <w:uiPriority w:val="0"/>
    <w:pPr>
      <w:widowControl/>
      <w:pBdr>
        <w:right w:val="single" w:color="auto" w:sz="4" w:space="0"/>
      </w:pBdr>
      <w:spacing w:before="100" w:beforeAutospacing="1" w:after="100" w:afterAutospacing="1"/>
      <w:jc w:val="center"/>
    </w:pPr>
    <w:rPr>
      <w:rFonts w:ascii="宋体" w:hAnsi="宋体"/>
      <w:kern w:val="0"/>
      <w:sz w:val="18"/>
      <w:szCs w:val="18"/>
    </w:rPr>
  </w:style>
  <w:style w:type="paragraph" w:customStyle="1" w:styleId="873">
    <w:name w:val="Char Char Char Char Char Char Char Char Char Char Char Char Char Char Char Char2"/>
    <w:basedOn w:val="1"/>
    <w:semiHidden/>
    <w:qFormat/>
    <w:uiPriority w:val="0"/>
    <w:pPr>
      <w:tabs>
        <w:tab w:val="left" w:pos="360"/>
      </w:tabs>
      <w:spacing w:line="480" w:lineRule="exact"/>
      <w:ind w:firstLine="560" w:firstLineChars="200"/>
    </w:pPr>
    <w:rPr>
      <w:sz w:val="28"/>
      <w:szCs w:val="28"/>
    </w:rPr>
  </w:style>
  <w:style w:type="paragraph" w:customStyle="1" w:styleId="874">
    <w:name w:val="msormpane"/>
    <w:semiHidden/>
    <w:qFormat/>
    <w:uiPriority w:val="0"/>
    <w:rPr>
      <w:rFonts w:ascii="Times New Roman" w:hAnsi="Times New Roman" w:eastAsia="宋体" w:cs="Times New Roman"/>
      <w:kern w:val="2"/>
      <w:sz w:val="24"/>
      <w:szCs w:val="24"/>
      <w:lang w:val="en-US" w:eastAsia="zh-CN" w:bidi="ar-SA"/>
    </w:rPr>
  </w:style>
  <w:style w:type="paragraph" w:customStyle="1" w:styleId="875">
    <w:name w:val="样式 标题 2节标题 1.1h2l22nd levelTitre2Header 2节节标题一级节名第一节H..."/>
    <w:basedOn w:val="3"/>
    <w:semiHidden/>
    <w:qFormat/>
    <w:uiPriority w:val="0"/>
    <w:pPr>
      <w:snapToGrid w:val="0"/>
      <w:spacing w:before="100" w:after="100"/>
    </w:pPr>
  </w:style>
  <w:style w:type="paragraph" w:customStyle="1" w:styleId="876">
    <w:name w:val="Char5"/>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877">
    <w:name w:val="font3"/>
    <w:basedOn w:val="1"/>
    <w:semiHidden/>
    <w:uiPriority w:val="0"/>
    <w:pPr>
      <w:widowControl/>
      <w:spacing w:before="100" w:beforeAutospacing="1" w:after="100" w:afterAutospacing="1"/>
      <w:jc w:val="left"/>
    </w:pPr>
    <w:rPr>
      <w:b/>
      <w:bCs/>
      <w:color w:val="000000"/>
      <w:kern w:val="0"/>
      <w:sz w:val="24"/>
      <w:u w:val="single"/>
      <w:vertAlign w:val="superscript"/>
    </w:rPr>
  </w:style>
  <w:style w:type="paragraph" w:customStyle="1" w:styleId="878">
    <w:name w:val="xl31"/>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879">
    <w:name w:val="xl75"/>
    <w:basedOn w:val="1"/>
    <w:qFormat/>
    <w:uiPriority w:val="0"/>
    <w:pPr>
      <w:widowControl/>
      <w:pBdr>
        <w:right w:val="single" w:color="auto" w:sz="4" w:space="0"/>
      </w:pBdr>
      <w:spacing w:before="100" w:beforeAutospacing="1" w:after="100" w:afterAutospacing="1"/>
      <w:jc w:val="center"/>
      <w:textAlignment w:val="center"/>
    </w:pPr>
    <w:rPr>
      <w:kern w:val="0"/>
      <w:sz w:val="18"/>
      <w:szCs w:val="18"/>
    </w:rPr>
  </w:style>
  <w:style w:type="paragraph" w:customStyle="1" w:styleId="880">
    <w:name w:val="xl46"/>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881">
    <w:name w:val="9"/>
    <w:basedOn w:val="1"/>
    <w:next w:val="39"/>
    <w:semiHidden/>
    <w:qFormat/>
    <w:uiPriority w:val="0"/>
    <w:pPr>
      <w:adjustRightInd w:val="0"/>
      <w:snapToGrid w:val="0"/>
      <w:spacing w:line="430" w:lineRule="exact"/>
      <w:ind w:firstLine="510"/>
    </w:pPr>
    <w:rPr>
      <w:rFonts w:ascii="宋体" w:hAnsi="Courier New"/>
      <w:b/>
      <w:bCs/>
      <w:snapToGrid w:val="0"/>
      <w:kern w:val="0"/>
      <w:szCs w:val="20"/>
    </w:rPr>
  </w:style>
  <w:style w:type="paragraph" w:customStyle="1" w:styleId="882">
    <w:name w:val="Char Char Char Char Char Char Char Char Char Char Char"/>
    <w:basedOn w:val="1"/>
    <w:semiHidden/>
    <w:qFormat/>
    <w:uiPriority w:val="0"/>
    <w:pPr>
      <w:pageBreakBefore/>
      <w:snapToGrid w:val="0"/>
      <w:spacing w:line="360" w:lineRule="auto"/>
      <w:ind w:firstLine="200" w:firstLineChars="200"/>
    </w:pPr>
    <w:rPr>
      <w:rFonts w:ascii="宋体" w:hAnsi="宋体" w:eastAsia="System"/>
      <w:b/>
      <w:kern w:val="0"/>
    </w:rPr>
  </w:style>
  <w:style w:type="paragraph" w:customStyle="1" w:styleId="883">
    <w:name w:val="et7"/>
    <w:basedOn w:val="1"/>
    <w:semiHidden/>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24"/>
      <w:u w:val="single"/>
    </w:rPr>
  </w:style>
  <w:style w:type="paragraph" w:customStyle="1" w:styleId="884">
    <w:name w:val="Char6"/>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885">
    <w:name w:val="样式 小四 行距: 1.5 倍行距1"/>
    <w:basedOn w:val="1"/>
    <w:semiHidden/>
    <w:qFormat/>
    <w:uiPriority w:val="0"/>
    <w:pPr>
      <w:spacing w:line="480" w:lineRule="exact"/>
    </w:pPr>
    <w:rPr>
      <w:rFonts w:ascii="Calibri" w:hAnsi="Calibri"/>
      <w:sz w:val="24"/>
      <w:szCs w:val="20"/>
    </w:rPr>
  </w:style>
  <w:style w:type="paragraph" w:customStyle="1" w:styleId="886">
    <w:name w:val="font7"/>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887">
    <w:name w:val="Char1 Char Char Char2"/>
    <w:basedOn w:val="1"/>
    <w:semiHidden/>
    <w:qFormat/>
    <w:uiPriority w:val="0"/>
    <w:pPr>
      <w:widowControl/>
      <w:spacing w:before="100" w:beforeAutospacing="1" w:after="100" w:afterAutospacing="1" w:line="330" w:lineRule="atLeast"/>
      <w:ind w:left="360"/>
      <w:jc w:val="left"/>
    </w:pPr>
    <w:rPr>
      <w:rFonts w:ascii="ˎ̥" w:hAnsi="ˎ̥"/>
      <w:color w:val="51585D"/>
      <w:kern w:val="0"/>
      <w:sz w:val="24"/>
      <w:szCs w:val="18"/>
    </w:rPr>
  </w:style>
  <w:style w:type="paragraph" w:customStyle="1" w:styleId="888">
    <w:name w:val="8.1.1b Char Char Char Char Char Char Char"/>
    <w:next w:val="1"/>
    <w:semiHidden/>
    <w:qFormat/>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889">
    <w:name w:val="报告正文 Char Char"/>
    <w:basedOn w:val="1"/>
    <w:semiHidden/>
    <w:qFormat/>
    <w:uiPriority w:val="0"/>
    <w:pPr>
      <w:wordWrap w:val="0"/>
      <w:topLinePunct/>
      <w:spacing w:line="360" w:lineRule="auto"/>
      <w:ind w:firstLine="200" w:firstLineChars="200"/>
    </w:pPr>
    <w:rPr>
      <w:bCs/>
      <w:spacing w:val="14"/>
      <w:sz w:val="24"/>
    </w:rPr>
  </w:style>
  <w:style w:type="paragraph" w:customStyle="1" w:styleId="890">
    <w:name w:val="Char Char6 Char Char Char Char Char Char"/>
    <w:basedOn w:val="1"/>
    <w:semiHidden/>
    <w:uiPriority w:val="0"/>
    <w:rPr>
      <w:b/>
    </w:rPr>
  </w:style>
  <w:style w:type="paragraph" w:customStyle="1" w:styleId="891">
    <w:name w:val="样式36"/>
    <w:basedOn w:val="1"/>
    <w:semiHidden/>
    <w:qFormat/>
    <w:uiPriority w:val="0"/>
    <w:pPr>
      <w:ind w:firstLine="480" w:firstLineChars="200"/>
    </w:pPr>
    <w:rPr>
      <w:rFonts w:ascii="Calibri" w:hAnsi="Calibri" w:eastAsia="华文中宋"/>
      <w:sz w:val="24"/>
    </w:rPr>
  </w:style>
  <w:style w:type="paragraph" w:customStyle="1" w:styleId="892">
    <w:name w:val="gyy正文 Char Char"/>
    <w:basedOn w:val="1"/>
    <w:semiHidden/>
    <w:qFormat/>
    <w:uiPriority w:val="0"/>
    <w:pPr>
      <w:spacing w:line="360" w:lineRule="auto"/>
      <w:ind w:firstLine="480" w:firstLineChars="200"/>
    </w:pPr>
    <w:rPr>
      <w:sz w:val="24"/>
    </w:rPr>
  </w:style>
  <w:style w:type="paragraph" w:customStyle="1" w:styleId="893">
    <w:name w:val="xl122"/>
    <w:basedOn w:val="1"/>
    <w:semiHidden/>
    <w:qFormat/>
    <w:uiPriority w:val="0"/>
    <w:pPr>
      <w:widowControl/>
      <w:pBdr>
        <w:top w:val="single" w:color="auto" w:sz="4" w:space="0"/>
        <w:right w:val="single" w:color="auto" w:sz="4" w:space="0"/>
      </w:pBdr>
      <w:spacing w:before="100" w:beforeAutospacing="1" w:after="100" w:afterAutospacing="1"/>
      <w:jc w:val="center"/>
    </w:pPr>
    <w:rPr>
      <w:kern w:val="0"/>
      <w:sz w:val="24"/>
    </w:rPr>
  </w:style>
  <w:style w:type="paragraph" w:customStyle="1" w:styleId="894">
    <w:name w:val="font2"/>
    <w:basedOn w:val="1"/>
    <w:semiHidden/>
    <w:uiPriority w:val="0"/>
    <w:pPr>
      <w:widowControl/>
      <w:spacing w:before="100" w:beforeAutospacing="1" w:after="100" w:afterAutospacing="1"/>
      <w:jc w:val="left"/>
    </w:pPr>
    <w:rPr>
      <w:rFonts w:ascii="等线" w:hAnsi="等线" w:eastAsia="等线"/>
      <w:b/>
      <w:bCs/>
      <w:color w:val="000000"/>
      <w:kern w:val="0"/>
      <w:sz w:val="24"/>
      <w:u w:val="single"/>
    </w:rPr>
  </w:style>
  <w:style w:type="paragraph" w:customStyle="1" w:styleId="895">
    <w:name w:val="Char1 Char Char Char4"/>
    <w:basedOn w:val="1"/>
    <w:semiHidden/>
    <w:qFormat/>
    <w:uiPriority w:val="0"/>
    <w:pPr>
      <w:widowControl/>
      <w:spacing w:before="100" w:beforeAutospacing="1" w:after="100" w:afterAutospacing="1" w:line="330" w:lineRule="atLeast"/>
      <w:ind w:left="360"/>
      <w:jc w:val="left"/>
    </w:pPr>
    <w:rPr>
      <w:rFonts w:ascii="ˎ̥" w:hAnsi="ˎ̥"/>
      <w:color w:val="51585D"/>
      <w:kern w:val="0"/>
      <w:sz w:val="24"/>
      <w:szCs w:val="18"/>
    </w:rPr>
  </w:style>
  <w:style w:type="paragraph" w:customStyle="1" w:styleId="896">
    <w:name w:val="Char24"/>
    <w:next w:val="1"/>
    <w:semiHidden/>
    <w:qFormat/>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897">
    <w:name w:val="标题  4"/>
    <w:basedOn w:val="1"/>
    <w:next w:val="1"/>
    <w:semiHidden/>
    <w:qFormat/>
    <w:uiPriority w:val="0"/>
    <w:pPr>
      <w:adjustRightInd w:val="0"/>
      <w:spacing w:line="520" w:lineRule="exact"/>
      <w:jc w:val="left"/>
      <w:textAlignment w:val="baseline"/>
      <w:outlineLvl w:val="0"/>
    </w:pPr>
    <w:rPr>
      <w:rFonts w:ascii="Arial"/>
      <w:b/>
      <w:kern w:val="0"/>
      <w:sz w:val="28"/>
      <w:szCs w:val="20"/>
    </w:rPr>
  </w:style>
  <w:style w:type="paragraph" w:customStyle="1" w:styleId="898">
    <w:name w:val="Y正文"/>
    <w:basedOn w:val="1"/>
    <w:semiHidden/>
    <w:qFormat/>
    <w:uiPriority w:val="0"/>
    <w:pPr>
      <w:widowControl/>
      <w:adjustRightInd w:val="0"/>
      <w:snapToGrid w:val="0"/>
      <w:spacing w:line="560" w:lineRule="exact"/>
      <w:ind w:firstLine="200" w:firstLineChars="200"/>
      <w:jc w:val="left"/>
    </w:pPr>
    <w:rPr>
      <w:kern w:val="0"/>
      <w:sz w:val="28"/>
      <w:szCs w:val="28"/>
    </w:rPr>
  </w:style>
  <w:style w:type="paragraph" w:customStyle="1" w:styleId="899">
    <w:name w:val="样式 小四 行距: 1.5 倍行距"/>
    <w:basedOn w:val="1"/>
    <w:semiHidden/>
    <w:qFormat/>
    <w:uiPriority w:val="0"/>
    <w:pPr>
      <w:adjustRightInd w:val="0"/>
      <w:snapToGrid w:val="0"/>
      <w:spacing w:line="360" w:lineRule="auto"/>
      <w:ind w:firstLine="200" w:firstLineChars="200"/>
    </w:pPr>
    <w:rPr>
      <w:spacing w:val="14"/>
      <w:sz w:val="24"/>
      <w:szCs w:val="20"/>
    </w:rPr>
  </w:style>
  <w:style w:type="paragraph" w:customStyle="1" w:styleId="900">
    <w:name w:val="xl9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0"/>
      <w:szCs w:val="20"/>
    </w:rPr>
  </w:style>
  <w:style w:type="paragraph" w:customStyle="1" w:styleId="901">
    <w:name w:val="Char Char Char1 Char Char Char Char Char Char Char Char Char1 Char Char Char Char Char Char3"/>
    <w:basedOn w:val="1"/>
    <w:semiHidden/>
    <w:qFormat/>
    <w:uiPriority w:val="0"/>
  </w:style>
  <w:style w:type="paragraph" w:customStyle="1" w:styleId="902">
    <w:name w:val="Char Char Char Char Char Char Char Char Char Char Char1"/>
    <w:basedOn w:val="1"/>
    <w:semiHidden/>
    <w:qFormat/>
    <w:uiPriority w:val="0"/>
    <w:pPr>
      <w:pageBreakBefore/>
      <w:snapToGrid w:val="0"/>
      <w:spacing w:line="360" w:lineRule="auto"/>
      <w:ind w:firstLine="200" w:firstLineChars="200"/>
    </w:pPr>
    <w:rPr>
      <w:rFonts w:ascii="宋体" w:hAnsi="宋体" w:eastAsia="System"/>
      <w:b/>
      <w:kern w:val="0"/>
    </w:rPr>
  </w:style>
  <w:style w:type="paragraph" w:customStyle="1" w:styleId="903">
    <w:name w:val="样式 标题 2 + (西文) Times New Roman (中文) 黑体 三号 非加粗"/>
    <w:basedOn w:val="3"/>
    <w:semiHidden/>
    <w:qFormat/>
    <w:uiPriority w:val="0"/>
    <w:pPr>
      <w:adjustRightInd w:val="0"/>
      <w:snapToGrid w:val="0"/>
      <w:spacing w:line="360" w:lineRule="auto"/>
    </w:pPr>
    <w:rPr>
      <w:bCs/>
    </w:rPr>
  </w:style>
  <w:style w:type="paragraph" w:customStyle="1" w:styleId="904">
    <w:name w:val="font12"/>
    <w:basedOn w:val="1"/>
    <w:semiHidden/>
    <w:qFormat/>
    <w:uiPriority w:val="0"/>
    <w:pPr>
      <w:widowControl/>
      <w:spacing w:before="100" w:beforeAutospacing="1" w:after="100" w:afterAutospacing="1"/>
      <w:jc w:val="left"/>
    </w:pPr>
    <w:rPr>
      <w:b/>
      <w:bCs/>
      <w:kern w:val="0"/>
      <w:sz w:val="28"/>
      <w:szCs w:val="28"/>
    </w:rPr>
  </w:style>
  <w:style w:type="paragraph" w:customStyle="1" w:styleId="905">
    <w:name w:val="xl47"/>
    <w:basedOn w:val="1"/>
    <w:semiHidden/>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906">
    <w:name w:val="a4"/>
    <w:basedOn w:val="1"/>
    <w:semiHidden/>
    <w:qFormat/>
    <w:uiPriority w:val="0"/>
    <w:pPr>
      <w:widowControl/>
      <w:spacing w:before="100" w:beforeAutospacing="1" w:after="100" w:afterAutospacing="1"/>
      <w:jc w:val="left"/>
    </w:pPr>
    <w:rPr>
      <w:rFonts w:ascii="宋体" w:hAnsi="宋体"/>
      <w:kern w:val="0"/>
      <w:sz w:val="24"/>
    </w:rPr>
  </w:style>
  <w:style w:type="paragraph" w:customStyle="1" w:styleId="907">
    <w:name w:val="表格居中"/>
    <w:basedOn w:val="1"/>
    <w:semiHidden/>
    <w:qFormat/>
    <w:uiPriority w:val="0"/>
    <w:pPr>
      <w:overflowPunct w:val="0"/>
      <w:adjustRightInd w:val="0"/>
      <w:snapToGrid w:val="0"/>
      <w:spacing w:line="360" w:lineRule="auto"/>
      <w:ind w:firstLine="510"/>
    </w:pPr>
    <w:rPr>
      <w:rFonts w:ascii="宋体" w:hAnsi="宋体"/>
      <w:snapToGrid w:val="0"/>
      <w:kern w:val="0"/>
      <w:sz w:val="24"/>
    </w:rPr>
  </w:style>
  <w:style w:type="paragraph" w:customStyle="1" w:styleId="908">
    <w:name w:val="Char Char Char Char Char Char Char Char Char1 Char Char Char Char Char Char Char Char Char Char Char Char Char3"/>
    <w:basedOn w:val="1"/>
    <w:semiHidden/>
    <w:qFormat/>
    <w:uiPriority w:val="0"/>
    <w:rPr>
      <w:rFonts w:ascii="宋体" w:hAnsi="宋体"/>
      <w:b/>
      <w:sz w:val="24"/>
    </w:rPr>
  </w:style>
  <w:style w:type="paragraph" w:customStyle="1" w:styleId="909">
    <w:name w:val="8"/>
    <w:basedOn w:val="1"/>
    <w:next w:val="18"/>
    <w:semiHidden/>
    <w:qFormat/>
    <w:uiPriority w:val="0"/>
    <w:pPr>
      <w:adjustRightInd w:val="0"/>
      <w:snapToGrid w:val="0"/>
      <w:spacing w:line="430" w:lineRule="exact"/>
      <w:ind w:firstLine="420" w:firstLineChars="200"/>
    </w:pPr>
    <w:rPr>
      <w:snapToGrid w:val="0"/>
      <w:kern w:val="0"/>
      <w:sz w:val="24"/>
      <w:szCs w:val="28"/>
    </w:rPr>
  </w:style>
  <w:style w:type="paragraph" w:customStyle="1" w:styleId="910">
    <w:name w:val="表题"/>
    <w:basedOn w:val="1"/>
    <w:semiHidden/>
    <w:qFormat/>
    <w:uiPriority w:val="0"/>
    <w:pPr>
      <w:spacing w:before="156" w:beforeLines="50" w:after="156" w:afterLines="50" w:line="460" w:lineRule="atLeast"/>
      <w:jc w:val="center"/>
    </w:pPr>
    <w:rPr>
      <w:rFonts w:eastAsia="华文中宋"/>
      <w:b/>
      <w:sz w:val="24"/>
      <w:szCs w:val="20"/>
    </w:rPr>
  </w:style>
  <w:style w:type="paragraph" w:customStyle="1" w:styleId="911">
    <w:name w:val="样式 小四 行距: 固定值 23 磅"/>
    <w:basedOn w:val="1"/>
    <w:semiHidden/>
    <w:uiPriority w:val="0"/>
    <w:pPr>
      <w:spacing w:line="460" w:lineRule="exact"/>
      <w:outlineLvl w:val="3"/>
    </w:pPr>
    <w:rPr>
      <w:rFonts w:ascii="Calibri" w:hAnsi="Calibri"/>
      <w:sz w:val="24"/>
      <w:szCs w:val="20"/>
    </w:rPr>
  </w:style>
  <w:style w:type="paragraph" w:customStyle="1" w:styleId="912">
    <w:name w:val="Char22"/>
    <w:next w:val="1"/>
    <w:semiHidden/>
    <w:qFormat/>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paragraph" w:customStyle="1" w:styleId="913">
    <w:name w:val="et8"/>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等线" w:hAnsi="等线" w:eastAsia="等线"/>
      <w:kern w:val="0"/>
      <w:sz w:val="24"/>
      <w:u w:val="single"/>
    </w:rPr>
  </w:style>
  <w:style w:type="paragraph" w:customStyle="1" w:styleId="914">
    <w:name w:val="xl98"/>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915">
    <w:name w:val="图片标题1"/>
    <w:basedOn w:val="1"/>
    <w:qFormat/>
    <w:uiPriority w:val="0"/>
    <w:pPr>
      <w:tabs>
        <w:tab w:val="left" w:pos="1320"/>
      </w:tabs>
      <w:snapToGrid w:val="0"/>
      <w:spacing w:before="120" w:beforeLines="50"/>
      <w:jc w:val="center"/>
    </w:pPr>
    <w:rPr>
      <w:rFonts w:eastAsia="黑体"/>
      <w:sz w:val="24"/>
      <w:szCs w:val="20"/>
    </w:rPr>
  </w:style>
  <w:style w:type="paragraph" w:customStyle="1" w:styleId="916">
    <w:name w:val="font4"/>
    <w:basedOn w:val="1"/>
    <w:semiHidden/>
    <w:qFormat/>
    <w:uiPriority w:val="0"/>
    <w:pPr>
      <w:widowControl/>
      <w:spacing w:before="100" w:beforeAutospacing="1" w:after="100" w:afterAutospacing="1"/>
      <w:jc w:val="left"/>
    </w:pPr>
    <w:rPr>
      <w:color w:val="000000"/>
      <w:kern w:val="0"/>
      <w:sz w:val="24"/>
      <w:u w:val="single"/>
      <w:vertAlign w:val="superscript"/>
    </w:rPr>
  </w:style>
  <w:style w:type="paragraph" w:customStyle="1" w:styleId="917">
    <w:name w:val="xl99"/>
    <w:basedOn w:val="1"/>
    <w:semiHidden/>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918">
    <w:name w:val="Char Char Char Char Char Char Char Char Char Char Char4"/>
    <w:basedOn w:val="1"/>
    <w:semiHidden/>
    <w:qFormat/>
    <w:uiPriority w:val="0"/>
    <w:pPr>
      <w:pageBreakBefore/>
      <w:snapToGrid w:val="0"/>
      <w:spacing w:line="360" w:lineRule="auto"/>
      <w:ind w:firstLine="200" w:firstLineChars="200"/>
    </w:pPr>
    <w:rPr>
      <w:rFonts w:ascii="宋体" w:hAnsi="宋体" w:eastAsia="System"/>
      <w:b/>
      <w:kern w:val="0"/>
    </w:rPr>
  </w:style>
  <w:style w:type="paragraph" w:customStyle="1" w:styleId="919">
    <w:name w:val="xl5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920">
    <w:name w:val="样式7"/>
    <w:basedOn w:val="921"/>
    <w:semiHidden/>
    <w:qFormat/>
    <w:uiPriority w:val="0"/>
    <w:pPr>
      <w:spacing w:before="100" w:after="100"/>
    </w:pPr>
    <w:rPr>
      <w:sz w:val="30"/>
      <w:szCs w:val="30"/>
    </w:rPr>
  </w:style>
  <w:style w:type="paragraph" w:customStyle="1" w:styleId="921">
    <w:name w:val="样式3"/>
    <w:basedOn w:val="2"/>
    <w:semiHidden/>
    <w:qFormat/>
    <w:uiPriority w:val="0"/>
    <w:pPr>
      <w:spacing w:after="160"/>
    </w:pPr>
    <w:rPr>
      <w:b/>
      <w:snapToGrid/>
    </w:rPr>
  </w:style>
  <w:style w:type="paragraph" w:customStyle="1" w:styleId="922">
    <w:name w:val="样式 标题 2 + 黑色"/>
    <w:basedOn w:val="3"/>
    <w:semiHidden/>
    <w:qFormat/>
    <w:uiPriority w:val="0"/>
    <w:pPr>
      <w:adjustRightInd w:val="0"/>
      <w:snapToGrid w:val="0"/>
      <w:spacing w:before="260" w:after="260" w:line="360" w:lineRule="auto"/>
      <w:textAlignment w:val="baseline"/>
    </w:pPr>
    <w:rPr>
      <w:rFonts w:ascii="Arial" w:hAnsi="Arial" w:eastAsia="宋体"/>
      <w:b/>
      <w:bCs/>
      <w:snapToGrid/>
      <w:color w:val="000000"/>
      <w:sz w:val="32"/>
      <w:szCs w:val="32"/>
    </w:rPr>
  </w:style>
  <w:style w:type="paragraph" w:customStyle="1" w:styleId="923">
    <w:name w:val="Char23"/>
    <w:next w:val="1"/>
    <w:semiHidden/>
    <w:qFormat/>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paragraph" w:customStyle="1" w:styleId="924">
    <w:name w:val="样式9"/>
    <w:basedOn w:val="1"/>
    <w:semiHidden/>
    <w:qFormat/>
    <w:uiPriority w:val="0"/>
    <w:pPr>
      <w:adjustRightInd w:val="0"/>
      <w:snapToGrid w:val="0"/>
      <w:spacing w:line="460" w:lineRule="exact"/>
    </w:pPr>
    <w:rPr>
      <w:rFonts w:eastAsia="黑体"/>
      <w:sz w:val="24"/>
    </w:rPr>
  </w:style>
  <w:style w:type="paragraph" w:customStyle="1" w:styleId="925">
    <w:name w:val="xl28"/>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926">
    <w:name w:val="表格正文"/>
    <w:basedOn w:val="1"/>
    <w:semiHidden/>
    <w:qFormat/>
    <w:uiPriority w:val="0"/>
    <w:rPr>
      <w:rFonts w:ascii="Calibri" w:hAnsi="Calibri"/>
      <w:sz w:val="24"/>
      <w:szCs w:val="22"/>
    </w:rPr>
  </w:style>
  <w:style w:type="paragraph" w:customStyle="1" w:styleId="927">
    <w:name w:val="样式 标题 5标题1.1.1.1.1H5 +"/>
    <w:basedOn w:val="6"/>
    <w:semiHidden/>
    <w:qFormat/>
    <w:uiPriority w:val="0"/>
    <w:pPr>
      <w:outlineLvl w:val="9"/>
    </w:pPr>
    <w:rPr>
      <w:bCs w:val="0"/>
      <w:kern w:val="0"/>
    </w:rPr>
  </w:style>
  <w:style w:type="paragraph" w:customStyle="1" w:styleId="928">
    <w:name w:val="样式 标题 5标题1.1.1.1.1H5 + 四号"/>
    <w:basedOn w:val="6"/>
    <w:semiHidden/>
    <w:qFormat/>
    <w:uiPriority w:val="0"/>
    <w:pPr>
      <w:outlineLvl w:val="9"/>
    </w:pPr>
    <w:rPr>
      <w:bCs w:val="0"/>
      <w:sz w:val="28"/>
    </w:rPr>
  </w:style>
  <w:style w:type="paragraph" w:customStyle="1" w:styleId="929">
    <w:name w:val="标题 1+"/>
    <w:basedOn w:val="2"/>
    <w:semiHidden/>
    <w:qFormat/>
    <w:uiPriority w:val="0"/>
    <w:pPr>
      <w:keepNext w:val="0"/>
      <w:keepLines w:val="0"/>
      <w:pageBreakBefore/>
      <w:spacing w:before="120"/>
    </w:pPr>
  </w:style>
  <w:style w:type="paragraph" w:customStyle="1" w:styleId="930">
    <w:name w:val="Char Char2 Char Char Char Char"/>
    <w:basedOn w:val="1"/>
    <w:semiHidden/>
    <w:qFormat/>
    <w:uiPriority w:val="0"/>
  </w:style>
  <w:style w:type="paragraph" w:customStyle="1" w:styleId="931">
    <w:name w:val="xl7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932">
    <w:name w:val="样式 表格内容 +"/>
    <w:basedOn w:val="672"/>
    <w:semiHidden/>
    <w:qFormat/>
    <w:uiPriority w:val="0"/>
    <w:pPr>
      <w:tabs>
        <w:tab w:val="left" w:pos="3240"/>
      </w:tabs>
      <w:autoSpaceDE w:val="0"/>
      <w:autoSpaceDN w:val="0"/>
      <w:spacing w:line="360" w:lineRule="exact"/>
      <w:ind w:firstLine="352"/>
      <w:jc w:val="right"/>
    </w:pPr>
    <w:rPr>
      <w:rFonts w:eastAsia="仿宋_GB2312"/>
      <w:snapToGrid w:val="0"/>
      <w:kern w:val="0"/>
      <w:szCs w:val="28"/>
    </w:rPr>
  </w:style>
  <w:style w:type="paragraph" w:customStyle="1" w:styleId="933">
    <w:name w:val="xl51"/>
    <w:basedOn w:val="1"/>
    <w:semiHidden/>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934">
    <w:name w:val="xl23"/>
    <w:basedOn w:val="1"/>
    <w:semiHidden/>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 w:val="18"/>
      <w:szCs w:val="18"/>
    </w:rPr>
  </w:style>
  <w:style w:type="paragraph" w:customStyle="1" w:styleId="935">
    <w:name w:val="样式12"/>
    <w:basedOn w:val="29"/>
    <w:semiHidden/>
    <w:qFormat/>
    <w:uiPriority w:val="0"/>
    <w:pPr>
      <w:spacing w:after="0"/>
    </w:pPr>
    <w:rPr>
      <w:rFonts w:ascii="宋体" w:hAnsi="宋体"/>
      <w:sz w:val="28"/>
      <w:szCs w:val="28"/>
    </w:rPr>
  </w:style>
  <w:style w:type="paragraph" w:customStyle="1" w:styleId="936">
    <w:name w:val="样式 样式3 + 居中"/>
    <w:basedOn w:val="921"/>
    <w:semiHidden/>
    <w:qFormat/>
    <w:uiPriority w:val="0"/>
    <w:pPr>
      <w:adjustRightInd/>
      <w:snapToGrid/>
      <w:spacing w:before="60" w:after="0"/>
      <w:jc w:val="center"/>
      <w:outlineLvl w:val="2"/>
    </w:pPr>
    <w:rPr>
      <w:rFonts w:ascii="Calibri" w:hAnsi="Calibri"/>
      <w:b w:val="0"/>
      <w:bCs w:val="0"/>
      <w:spacing w:val="0"/>
      <w:kern w:val="2"/>
      <w:sz w:val="24"/>
      <w:szCs w:val="20"/>
      <w:lang w:val="en-US"/>
    </w:rPr>
  </w:style>
  <w:style w:type="paragraph" w:customStyle="1" w:styleId="937">
    <w:name w:val="6"/>
    <w:basedOn w:val="1"/>
    <w:semiHidden/>
    <w:qFormat/>
    <w:uiPriority w:val="0"/>
    <w:pPr>
      <w:spacing w:before="120" w:beforeLines="50" w:line="460" w:lineRule="exact"/>
      <w:jc w:val="center"/>
    </w:pPr>
    <w:rPr>
      <w:rFonts w:eastAsia="黑体"/>
      <w:color w:val="000000"/>
      <w:sz w:val="24"/>
    </w:rPr>
  </w:style>
  <w:style w:type="paragraph" w:customStyle="1" w:styleId="938">
    <w:name w:val="Char Char Char Char Char Char Char Char Char Char Char Char Char Char Char Char3"/>
    <w:basedOn w:val="1"/>
    <w:semiHidden/>
    <w:qFormat/>
    <w:uiPriority w:val="0"/>
    <w:pPr>
      <w:tabs>
        <w:tab w:val="left" w:pos="360"/>
      </w:tabs>
      <w:spacing w:line="480" w:lineRule="exact"/>
      <w:ind w:firstLine="560" w:firstLineChars="200"/>
    </w:pPr>
    <w:rPr>
      <w:sz w:val="28"/>
      <w:szCs w:val="28"/>
    </w:rPr>
  </w:style>
  <w:style w:type="paragraph" w:customStyle="1" w:styleId="939">
    <w:name w:val="样式 (中文) 黑体 小四 居中"/>
    <w:basedOn w:val="1"/>
    <w:semiHidden/>
    <w:qFormat/>
    <w:uiPriority w:val="0"/>
    <w:pPr>
      <w:spacing w:before="50" w:beforeLines="50" w:line="460" w:lineRule="exact"/>
      <w:jc w:val="center"/>
    </w:pPr>
    <w:rPr>
      <w:rFonts w:eastAsia="黑体"/>
      <w:sz w:val="24"/>
    </w:rPr>
  </w:style>
  <w:style w:type="paragraph" w:customStyle="1" w:styleId="940">
    <w:name w:val="xl10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b/>
      <w:bCs/>
      <w:kern w:val="0"/>
      <w:sz w:val="24"/>
    </w:rPr>
  </w:style>
  <w:style w:type="paragraph" w:customStyle="1" w:styleId="941">
    <w:name w:val="Char Char Char Char Char Char Char Char Char Char Char2"/>
    <w:basedOn w:val="1"/>
    <w:semiHidden/>
    <w:qFormat/>
    <w:uiPriority w:val="0"/>
    <w:pPr>
      <w:pageBreakBefore/>
      <w:snapToGrid w:val="0"/>
      <w:spacing w:line="360" w:lineRule="auto"/>
      <w:ind w:firstLine="200" w:firstLineChars="200"/>
    </w:pPr>
    <w:rPr>
      <w:rFonts w:ascii="宋体" w:hAnsi="宋体" w:eastAsia="System"/>
      <w:b/>
      <w:kern w:val="0"/>
    </w:rPr>
  </w:style>
  <w:style w:type="paragraph" w:customStyle="1" w:styleId="942">
    <w:name w:val="10"/>
    <w:next w:val="1"/>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43">
    <w:name w:val="正文1.1.1"/>
    <w:basedOn w:val="1"/>
    <w:semiHidden/>
    <w:qFormat/>
    <w:uiPriority w:val="0"/>
    <w:pPr>
      <w:widowControl/>
      <w:spacing w:line="351" w:lineRule="atLeast"/>
      <w:ind w:firstLine="419"/>
      <w:textAlignment w:val="baseline"/>
    </w:pPr>
    <w:rPr>
      <w:rFonts w:ascii="宋体"/>
      <w:snapToGrid w:val="0"/>
      <w:color w:val="000000"/>
      <w:kern w:val="0"/>
      <w:sz w:val="28"/>
      <w:szCs w:val="20"/>
      <w:u w:color="000000"/>
    </w:rPr>
  </w:style>
  <w:style w:type="paragraph" w:customStyle="1" w:styleId="944">
    <w:name w:val="font6"/>
    <w:basedOn w:val="1"/>
    <w:qFormat/>
    <w:uiPriority w:val="0"/>
    <w:pPr>
      <w:widowControl/>
      <w:spacing w:before="100" w:beforeAutospacing="1" w:after="100" w:afterAutospacing="1"/>
      <w:jc w:val="left"/>
    </w:pPr>
    <w:rPr>
      <w:kern w:val="0"/>
      <w:sz w:val="24"/>
    </w:rPr>
  </w:style>
  <w:style w:type="paragraph" w:customStyle="1" w:styleId="945">
    <w:name w:val="Char1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46">
    <w:name w:val="样式 标题 3 + (中文) 仿宋_GB2312 四号 非加粗 段前: 6 磅"/>
    <w:basedOn w:val="4"/>
    <w:semiHidden/>
    <w:qFormat/>
    <w:uiPriority w:val="0"/>
    <w:pPr>
      <w:spacing w:before="120" w:after="0" w:line="240" w:lineRule="auto"/>
    </w:pPr>
    <w:rPr>
      <w:rFonts w:eastAsia="仿宋_GB2312"/>
      <w:b/>
      <w:snapToGrid/>
      <w:kern w:val="2"/>
      <w:sz w:val="28"/>
      <w:szCs w:val="20"/>
    </w:rPr>
  </w:style>
  <w:style w:type="paragraph" w:customStyle="1" w:styleId="947">
    <w:name w:val="表格文字缩"/>
    <w:basedOn w:val="948"/>
    <w:semiHidden/>
    <w:qFormat/>
    <w:uiPriority w:val="0"/>
    <w:pPr>
      <w:spacing w:line="300" w:lineRule="atLeast"/>
      <w:ind w:left="-30" w:leftChars="-30" w:right="-30" w:rightChars="-30" w:firstLine="0" w:firstLineChars="0"/>
      <w:outlineLvl w:val="0"/>
    </w:pPr>
    <w:rPr>
      <w:rFonts w:eastAsia="仿宋_GB2312"/>
      <w:sz w:val="21"/>
    </w:rPr>
  </w:style>
  <w:style w:type="paragraph" w:customStyle="1" w:styleId="948">
    <w:name w:val="表格文字"/>
    <w:basedOn w:val="1"/>
    <w:semiHidden/>
    <w:qFormat/>
    <w:uiPriority w:val="0"/>
    <w:pPr>
      <w:autoSpaceDE w:val="0"/>
      <w:autoSpaceDN w:val="0"/>
      <w:adjustRightInd w:val="0"/>
      <w:snapToGrid w:val="0"/>
      <w:ind w:left="-63" w:leftChars="-58" w:right="-107" w:rightChars="-51" w:hanging="59" w:hangingChars="33"/>
      <w:jc w:val="center"/>
    </w:pPr>
    <w:rPr>
      <w:rFonts w:eastAsia="楷体_GB2312"/>
      <w:sz w:val="18"/>
    </w:rPr>
  </w:style>
  <w:style w:type="paragraph" w:customStyle="1" w:styleId="949">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950">
    <w:name w:val="样式 标题 1 + 小四 左 段前: 6 磅 段后: 6 磅 行距: 1.5 倍行距"/>
    <w:basedOn w:val="2"/>
    <w:semiHidden/>
    <w:qFormat/>
    <w:uiPriority w:val="0"/>
    <w:pPr>
      <w:adjustRightInd/>
      <w:snapToGrid/>
      <w:spacing w:before="50" w:beforeLines="50" w:after="50" w:afterLines="50"/>
      <w:jc w:val="left"/>
    </w:pPr>
    <w:rPr>
      <w:rFonts w:eastAsia="宋体"/>
      <w:b/>
      <w:snapToGrid/>
      <w:kern w:val="2"/>
      <w:sz w:val="24"/>
      <w:szCs w:val="20"/>
    </w:rPr>
  </w:style>
  <w:style w:type="paragraph" w:customStyle="1" w:styleId="951">
    <w:name w:val="Char Char Char1 Char"/>
    <w:basedOn w:val="1"/>
    <w:semiHidden/>
    <w:qFormat/>
    <w:uiPriority w:val="0"/>
    <w:rPr>
      <w:position w:val="16"/>
      <w:sz w:val="28"/>
      <w:szCs w:val="20"/>
    </w:rPr>
  </w:style>
  <w:style w:type="paragraph" w:customStyle="1" w:styleId="952">
    <w:name w:val="xl3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53">
    <w:name w:val="表内容"/>
    <w:basedOn w:val="68"/>
    <w:semiHidden/>
    <w:qFormat/>
    <w:uiPriority w:val="0"/>
    <w:pPr>
      <w:widowControl/>
      <w:tabs>
        <w:tab w:val="center" w:pos="400"/>
      </w:tabs>
      <w:autoSpaceDE/>
      <w:autoSpaceDN/>
      <w:snapToGrid w:val="0"/>
      <w:spacing w:line="500" w:lineRule="exact"/>
    </w:pPr>
    <w:rPr>
      <w:rFonts w:hAnsi="宋体"/>
      <w:b w:val="0"/>
      <w:bCs w:val="0"/>
      <w:color w:val="000000"/>
      <w:sz w:val="24"/>
      <w:szCs w:val="24"/>
      <w:lang w:val="en-US"/>
    </w:rPr>
  </w:style>
  <w:style w:type="paragraph" w:customStyle="1" w:styleId="954">
    <w:name w:val="gyy表内文字"/>
    <w:basedOn w:val="1"/>
    <w:semiHidden/>
    <w:qFormat/>
    <w:uiPriority w:val="0"/>
    <w:pPr>
      <w:spacing w:before="40" w:after="40"/>
      <w:jc w:val="center"/>
    </w:pPr>
  </w:style>
  <w:style w:type="paragraph" w:customStyle="1" w:styleId="955">
    <w:name w:val="字元 字元 Char Char Char"/>
    <w:basedOn w:val="22"/>
    <w:semiHidden/>
    <w:qFormat/>
    <w:uiPriority w:val="0"/>
    <w:pPr>
      <w:spacing w:line="480" w:lineRule="exact"/>
      <w:ind w:firstLine="200" w:firstLineChars="200"/>
    </w:pPr>
    <w:rPr>
      <w:rFonts w:ascii="Tahoma" w:hAnsi="Tahoma" w:cs="Tahoma"/>
      <w:sz w:val="24"/>
    </w:rPr>
  </w:style>
  <w:style w:type="paragraph" w:customStyle="1" w:styleId="956">
    <w:name w:val="样式 样式23 + 首行缩进:  2 字符"/>
    <w:basedOn w:val="1"/>
    <w:semiHidden/>
    <w:qFormat/>
    <w:uiPriority w:val="0"/>
    <w:pPr>
      <w:spacing w:line="480" w:lineRule="exact"/>
      <w:ind w:firstLine="420" w:firstLineChars="200"/>
    </w:pPr>
    <w:rPr>
      <w:rFonts w:eastAsia="华文中宋"/>
      <w:szCs w:val="20"/>
    </w:rPr>
  </w:style>
  <w:style w:type="paragraph" w:customStyle="1" w:styleId="957">
    <w:name w:val="xl76"/>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958">
    <w:name w:val="样式 标题 3 + (中文) 黑体 非加粗 行距: 1.5 倍行距"/>
    <w:basedOn w:val="4"/>
    <w:semiHidden/>
    <w:qFormat/>
    <w:uiPriority w:val="0"/>
    <w:pPr>
      <w:keepNext w:val="0"/>
      <w:keepLines w:val="0"/>
      <w:adjustRightInd w:val="0"/>
      <w:snapToGrid w:val="0"/>
      <w:spacing w:line="360" w:lineRule="auto"/>
    </w:pPr>
    <w:rPr>
      <w:bCs/>
      <w:snapToGrid/>
      <w:sz w:val="28"/>
      <w:szCs w:val="20"/>
    </w:rPr>
  </w:style>
  <w:style w:type="paragraph" w:customStyle="1" w:styleId="959">
    <w:name w:val="xl4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960">
    <w:name w:val="表文[BW]"/>
    <w:basedOn w:val="1"/>
    <w:next w:val="1"/>
    <w:semiHidden/>
    <w:qFormat/>
    <w:uiPriority w:val="5"/>
    <w:pPr>
      <w:adjustRightInd w:val="0"/>
      <w:spacing w:before="60" w:after="60"/>
      <w:jc w:val="center"/>
      <w:textAlignment w:val="baseline"/>
    </w:pPr>
    <w:rPr>
      <w:rFonts w:ascii="楷体_GB2312" w:eastAsia="楷体_GB2312"/>
      <w:kern w:val="0"/>
      <w:szCs w:val="20"/>
    </w:rPr>
  </w:style>
  <w:style w:type="paragraph" w:customStyle="1" w:styleId="961">
    <w:name w:val="样式 标题 2 + 首行缩进:  0.99 厘米1"/>
    <w:basedOn w:val="3"/>
    <w:semiHidden/>
    <w:qFormat/>
    <w:uiPriority w:val="0"/>
    <w:pPr>
      <w:adjustRightInd w:val="0"/>
      <w:snapToGrid w:val="0"/>
    </w:pPr>
    <w:rPr>
      <w:szCs w:val="20"/>
    </w:rPr>
  </w:style>
  <w:style w:type="paragraph" w:customStyle="1" w:styleId="962">
    <w:name w:val="et13"/>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24"/>
      <w:u w:val="single"/>
    </w:rPr>
  </w:style>
  <w:style w:type="paragraph" w:customStyle="1" w:styleId="963">
    <w:name w:val="表格右"/>
    <w:basedOn w:val="1"/>
    <w:semiHidden/>
    <w:qFormat/>
    <w:uiPriority w:val="0"/>
    <w:pPr>
      <w:widowControl/>
      <w:spacing w:line="240" w:lineRule="atLeast"/>
      <w:ind w:right="62"/>
      <w:jc w:val="right"/>
    </w:pPr>
    <w:rPr>
      <w:rFonts w:ascii="宋体" w:hAnsi="宋体"/>
      <w:kern w:val="0"/>
      <w:szCs w:val="28"/>
    </w:rPr>
  </w:style>
  <w:style w:type="paragraph" w:customStyle="1" w:styleId="964">
    <w:name w:val="xl6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kern w:val="0"/>
      <w:sz w:val="18"/>
      <w:szCs w:val="18"/>
    </w:rPr>
  </w:style>
  <w:style w:type="paragraph" w:customStyle="1" w:styleId="965">
    <w:name w:val="7"/>
    <w:basedOn w:val="1"/>
    <w:next w:val="39"/>
    <w:semiHidden/>
    <w:qFormat/>
    <w:uiPriority w:val="0"/>
    <w:pPr>
      <w:adjustRightInd w:val="0"/>
      <w:snapToGrid w:val="0"/>
      <w:spacing w:line="430" w:lineRule="exact"/>
      <w:ind w:firstLine="510"/>
    </w:pPr>
    <w:rPr>
      <w:rFonts w:ascii="宋体" w:hAnsi="Courier New" w:cs="Courier New"/>
      <w:snapToGrid w:val="0"/>
      <w:kern w:val="0"/>
    </w:rPr>
  </w:style>
  <w:style w:type="paragraph" w:customStyle="1" w:styleId="966">
    <w:name w:val="Default"/>
    <w:semiHidden/>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7">
    <w:name w:val="样式 标题 2H2Heading 2 HiddenHeading 2 CCBS2nd levelh22Header...1"/>
    <w:basedOn w:val="3"/>
    <w:semiHidden/>
    <w:qFormat/>
    <w:uiPriority w:val="0"/>
    <w:pPr>
      <w:spacing w:after="120" w:line="480" w:lineRule="exact"/>
    </w:pPr>
    <w:rPr>
      <w:bCs/>
    </w:rPr>
  </w:style>
  <w:style w:type="paragraph" w:customStyle="1" w:styleId="968">
    <w:name w:val="font14"/>
    <w:basedOn w:val="1"/>
    <w:semiHidden/>
    <w:qFormat/>
    <w:uiPriority w:val="0"/>
    <w:pPr>
      <w:widowControl/>
      <w:spacing w:before="100" w:beforeAutospacing="1" w:after="100" w:afterAutospacing="1"/>
      <w:jc w:val="left"/>
    </w:pPr>
    <w:rPr>
      <w:b/>
      <w:bCs/>
      <w:kern w:val="0"/>
      <w:sz w:val="22"/>
      <w:szCs w:val="22"/>
    </w:rPr>
  </w:style>
  <w:style w:type="paragraph" w:customStyle="1" w:styleId="969">
    <w:name w:val="xl71"/>
    <w:basedOn w:val="1"/>
    <w:qFormat/>
    <w:uiPriority w:val="0"/>
    <w:pPr>
      <w:widowControl/>
      <w:spacing w:before="100" w:beforeAutospacing="1" w:after="100" w:afterAutospacing="1"/>
      <w:jc w:val="center"/>
      <w:textAlignment w:val="center"/>
    </w:pPr>
    <w:rPr>
      <w:rFonts w:ascii="宋体" w:hAnsi="宋体"/>
      <w:kern w:val="0"/>
      <w:sz w:val="18"/>
      <w:szCs w:val="18"/>
    </w:rPr>
  </w:style>
  <w:style w:type="paragraph" w:customStyle="1" w:styleId="970">
    <w:name w:val="正文1.1.1.1"/>
    <w:basedOn w:val="1"/>
    <w:semiHidden/>
    <w:qFormat/>
    <w:uiPriority w:val="0"/>
    <w:rPr>
      <w:rFonts w:ascii="仿宋_GB2312" w:eastAsia="仿宋_GB2312"/>
      <w:sz w:val="28"/>
    </w:rPr>
  </w:style>
  <w:style w:type="paragraph" w:customStyle="1" w:styleId="971">
    <w:name w:val="xl101"/>
    <w:basedOn w:val="1"/>
    <w:semiHidden/>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972">
    <w:name w:val="图表"/>
    <w:basedOn w:val="1"/>
    <w:semiHidden/>
    <w:qFormat/>
    <w:uiPriority w:val="0"/>
    <w:pPr>
      <w:spacing w:line="460" w:lineRule="exact"/>
      <w:jc w:val="center"/>
    </w:pPr>
    <w:rPr>
      <w:rFonts w:eastAsia="黑体"/>
      <w:bCs/>
      <w:sz w:val="24"/>
    </w:rPr>
  </w:style>
  <w:style w:type="paragraph" w:customStyle="1" w:styleId="973">
    <w:name w:val="正文字样D"/>
    <w:basedOn w:val="1"/>
    <w:semiHidden/>
    <w:qFormat/>
    <w:uiPriority w:val="0"/>
    <w:pPr>
      <w:adjustRightInd w:val="0"/>
      <w:snapToGrid w:val="0"/>
      <w:spacing w:line="490" w:lineRule="exact"/>
      <w:ind w:firstLine="560" w:firstLineChars="200"/>
      <w:jc w:val="left"/>
    </w:pPr>
    <w:rPr>
      <w:rFonts w:eastAsia="仿宋_GB2312"/>
      <w:color w:val="000000"/>
      <w:sz w:val="28"/>
      <w:szCs w:val="20"/>
    </w:rPr>
  </w:style>
  <w:style w:type="paragraph" w:customStyle="1" w:styleId="974">
    <w:name w:val="样式 标题 1 + (中文) 黑体"/>
    <w:basedOn w:val="2"/>
    <w:semiHidden/>
    <w:qFormat/>
    <w:uiPriority w:val="0"/>
    <w:pPr>
      <w:textAlignment w:val="top"/>
    </w:pPr>
    <w:rPr>
      <w:rFonts w:ascii="Calibri" w:hAnsi="Calibri"/>
    </w:rPr>
  </w:style>
  <w:style w:type="paragraph" w:customStyle="1" w:styleId="975">
    <w:name w:val="yy"/>
    <w:basedOn w:val="1"/>
    <w:semiHidden/>
    <w:qFormat/>
    <w:uiPriority w:val="0"/>
    <w:pPr>
      <w:adjustRightInd w:val="0"/>
      <w:spacing w:after="60" w:line="269" w:lineRule="auto"/>
      <w:ind w:firstLine="510"/>
      <w:textAlignment w:val="baseline"/>
    </w:pPr>
    <w:rPr>
      <w:rFonts w:ascii="Calibri" w:hAnsi="Calibri"/>
      <w:kern w:val="0"/>
      <w:sz w:val="24"/>
      <w:szCs w:val="20"/>
    </w:rPr>
  </w:style>
  <w:style w:type="paragraph" w:customStyle="1" w:styleId="976">
    <w:name w:val="表头"/>
    <w:basedOn w:val="19"/>
    <w:semiHidden/>
    <w:qFormat/>
    <w:uiPriority w:val="0"/>
    <w:pPr>
      <w:spacing w:before="50" w:beforeLines="50" w:line="460" w:lineRule="exact"/>
      <w:jc w:val="center"/>
    </w:pPr>
    <w:rPr>
      <w:rFonts w:cs="Times New Roman"/>
      <w:sz w:val="24"/>
      <w:szCs w:val="24"/>
    </w:rPr>
  </w:style>
  <w:style w:type="paragraph" w:customStyle="1" w:styleId="977">
    <w:name w:val="Char Char Char Char Char Char Char Char Char Char Char1 Char1 Char Char Char Char Char Char Char Char Char Char Char Char Char Char Char Char Char Char Char Char Char Char Char Char Char Char1 Char Char Char Char Char Char3"/>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978">
    <w:name w:val="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979">
    <w:name w:val="xl82"/>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center"/>
    </w:pPr>
    <w:rPr>
      <w:kern w:val="0"/>
      <w:sz w:val="20"/>
      <w:szCs w:val="20"/>
    </w:rPr>
  </w:style>
  <w:style w:type="paragraph" w:customStyle="1" w:styleId="980">
    <w:name w:val="xl35"/>
    <w:basedOn w:val="1"/>
    <w:semiHidden/>
    <w:uiPriority w:val="0"/>
    <w:pPr>
      <w:widowControl/>
      <w:spacing w:before="100" w:beforeAutospacing="1" w:after="100" w:afterAutospacing="1"/>
      <w:jc w:val="center"/>
    </w:pPr>
    <w:rPr>
      <w:rFonts w:ascii="宋体" w:hAnsi="宋体"/>
      <w:kern w:val="0"/>
      <w:sz w:val="36"/>
      <w:szCs w:val="36"/>
    </w:rPr>
  </w:style>
  <w:style w:type="paragraph" w:customStyle="1" w:styleId="981">
    <w:name w:val="xl94"/>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982">
    <w:name w:val="样式 标题 2 + (中文) 仿宋_GB2312 小三 非加粗 段前: 5 磅 段后: 5 磅 行距: 固定值 26 磅"/>
    <w:basedOn w:val="3"/>
    <w:semiHidden/>
    <w:qFormat/>
    <w:uiPriority w:val="0"/>
    <w:pPr>
      <w:keepNext w:val="0"/>
      <w:keepLines w:val="0"/>
      <w:widowControl/>
      <w:autoSpaceDE w:val="0"/>
      <w:autoSpaceDN w:val="0"/>
      <w:adjustRightInd w:val="0"/>
      <w:snapToGrid w:val="0"/>
      <w:spacing w:line="520" w:lineRule="exact"/>
    </w:pPr>
    <w:rPr>
      <w:bCs/>
      <w:sz w:val="32"/>
      <w:szCs w:val="32"/>
    </w:rPr>
  </w:style>
  <w:style w:type="paragraph" w:customStyle="1" w:styleId="983">
    <w:name w:val="表格左对齐"/>
    <w:basedOn w:val="850"/>
    <w:semiHidden/>
    <w:qFormat/>
    <w:uiPriority w:val="0"/>
    <w:pPr>
      <w:jc w:val="left"/>
    </w:pPr>
  </w:style>
  <w:style w:type="paragraph" w:customStyle="1" w:styleId="984">
    <w:name w:val="样式 标题 3条标题1.1.13h33rd levelH3l3CT段标题 3 Char Char Char C..."/>
    <w:basedOn w:val="4"/>
    <w:semiHidden/>
    <w:qFormat/>
    <w:uiPriority w:val="0"/>
    <w:rPr>
      <w:bCs/>
      <w:szCs w:val="20"/>
    </w:rPr>
  </w:style>
  <w:style w:type="paragraph" w:customStyle="1" w:styleId="985">
    <w:name w:val="Char Char115"/>
    <w:basedOn w:val="1"/>
    <w:semiHidden/>
    <w:qFormat/>
    <w:uiPriority w:val="0"/>
    <w:rPr>
      <w:rFonts w:ascii="Tahoma" w:hAnsi="Tahoma"/>
      <w:sz w:val="24"/>
      <w:szCs w:val="20"/>
    </w:rPr>
  </w:style>
  <w:style w:type="paragraph" w:customStyle="1" w:styleId="986">
    <w:name w:val="样式 首行缩进 + 五号 两端对齐"/>
    <w:basedOn w:val="1"/>
    <w:semiHidden/>
    <w:qFormat/>
    <w:uiPriority w:val="0"/>
    <w:pPr>
      <w:adjustRightInd w:val="0"/>
      <w:snapToGrid w:val="0"/>
      <w:spacing w:line="360" w:lineRule="exact"/>
      <w:jc w:val="left"/>
    </w:pPr>
    <w:rPr>
      <w:snapToGrid w:val="0"/>
      <w:kern w:val="0"/>
      <w:szCs w:val="20"/>
    </w:rPr>
  </w:style>
  <w:style w:type="paragraph" w:customStyle="1" w:styleId="987">
    <w:name w:val="xl123"/>
    <w:basedOn w:val="1"/>
    <w:semiHidden/>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988">
    <w:name w:val="Char Char Char Char Char Char1 Char2"/>
    <w:basedOn w:val="1"/>
    <w:semiHidden/>
    <w:qFormat/>
    <w:uiPriority w:val="0"/>
    <w:pPr>
      <w:spacing w:line="360" w:lineRule="auto"/>
      <w:ind w:firstLine="200" w:firstLineChars="200"/>
    </w:pPr>
    <w:rPr>
      <w:rFonts w:ascii="宋体" w:hAnsi="宋体"/>
      <w:sz w:val="24"/>
    </w:rPr>
  </w:style>
  <w:style w:type="paragraph" w:customStyle="1" w:styleId="989">
    <w:name w:val="xl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990">
    <w:name w:val="Char Char Char Char Char Char Char Char Char Char Char Char Char Char Char Char1"/>
    <w:basedOn w:val="1"/>
    <w:semiHidden/>
    <w:qFormat/>
    <w:uiPriority w:val="0"/>
    <w:pPr>
      <w:tabs>
        <w:tab w:val="left" w:pos="360"/>
      </w:tabs>
      <w:spacing w:line="480" w:lineRule="exact"/>
      <w:ind w:firstLine="560" w:firstLineChars="200"/>
    </w:pPr>
    <w:rPr>
      <w:sz w:val="28"/>
      <w:szCs w:val="28"/>
    </w:rPr>
  </w:style>
  <w:style w:type="paragraph" w:customStyle="1" w:styleId="991">
    <w:name w:val="xl65"/>
    <w:basedOn w:val="1"/>
    <w:qFormat/>
    <w:uiPriority w:val="0"/>
    <w:pPr>
      <w:widowControl/>
      <w:pBdr>
        <w:top w:val="single" w:color="auto" w:sz="4" w:space="0"/>
        <w:bottom w:val="single" w:color="auto" w:sz="4" w:space="0"/>
      </w:pBdr>
      <w:spacing w:before="100" w:beforeAutospacing="1" w:after="100" w:afterAutospacing="1"/>
      <w:jc w:val="center"/>
      <w:textAlignment w:val="center"/>
    </w:pPr>
    <w:rPr>
      <w:kern w:val="0"/>
      <w:sz w:val="18"/>
      <w:szCs w:val="18"/>
    </w:rPr>
  </w:style>
  <w:style w:type="paragraph" w:customStyle="1" w:styleId="992">
    <w:name w:val="标题3，"/>
    <w:basedOn w:val="4"/>
    <w:semiHidden/>
    <w:qFormat/>
    <w:uiPriority w:val="0"/>
    <w:pPr>
      <w:adjustRightInd w:val="0"/>
      <w:snapToGrid w:val="0"/>
    </w:pPr>
    <w:rPr>
      <w:b/>
    </w:rPr>
  </w:style>
  <w:style w:type="paragraph" w:customStyle="1" w:styleId="993">
    <w:name w:val="纯文本14"/>
    <w:basedOn w:val="1"/>
    <w:semiHidden/>
    <w:qFormat/>
    <w:uiPriority w:val="0"/>
    <w:pPr>
      <w:adjustRightInd w:val="0"/>
      <w:jc w:val="left"/>
      <w:textAlignment w:val="baseline"/>
    </w:pPr>
    <w:rPr>
      <w:rFonts w:ascii="宋体" w:hAnsi="Courier New" w:cs="Courier New"/>
    </w:rPr>
  </w:style>
  <w:style w:type="paragraph" w:customStyle="1" w:styleId="994">
    <w:name w:val="xl117"/>
    <w:basedOn w:val="1"/>
    <w:semiHidden/>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left"/>
    </w:pPr>
    <w:rPr>
      <w:rFonts w:ascii="宋体" w:hAnsi="宋体"/>
      <w:kern w:val="0"/>
      <w:sz w:val="24"/>
    </w:rPr>
  </w:style>
  <w:style w:type="paragraph" w:customStyle="1" w:styleId="995">
    <w:name w:val="5"/>
    <w:basedOn w:val="1"/>
    <w:next w:val="73"/>
    <w:semiHidden/>
    <w:qFormat/>
    <w:uiPriority w:val="0"/>
    <w:pPr>
      <w:adjustRightInd w:val="0"/>
      <w:snapToGrid w:val="0"/>
      <w:spacing w:line="430" w:lineRule="exact"/>
      <w:ind w:firstLine="510"/>
    </w:pPr>
    <w:rPr>
      <w:snapToGrid w:val="0"/>
      <w:kern w:val="0"/>
      <w:sz w:val="24"/>
    </w:rPr>
  </w:style>
  <w:style w:type="paragraph" w:customStyle="1" w:styleId="996">
    <w:name w:val="样式 标题 1 + 三号"/>
    <w:basedOn w:val="2"/>
    <w:semiHidden/>
    <w:qFormat/>
    <w:uiPriority w:val="0"/>
  </w:style>
  <w:style w:type="paragraph" w:customStyle="1" w:styleId="997">
    <w:name w:val="发文正文"/>
    <w:basedOn w:val="1"/>
    <w:semiHidden/>
    <w:qFormat/>
    <w:uiPriority w:val="0"/>
    <w:pPr>
      <w:widowControl/>
      <w:spacing w:line="680" w:lineRule="exact"/>
    </w:pPr>
    <w:rPr>
      <w:rFonts w:ascii="仿宋_GB2312" w:hAnsi="宋体" w:eastAsia="仿宋_GB2312"/>
      <w:kern w:val="0"/>
      <w:sz w:val="32"/>
      <w:szCs w:val="20"/>
    </w:rPr>
  </w:style>
  <w:style w:type="paragraph" w:customStyle="1" w:styleId="998">
    <w:name w:val="xl4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999">
    <w:name w:val="xl59"/>
    <w:basedOn w:val="1"/>
    <w:semiHidden/>
    <w:qFormat/>
    <w:uiPriority w:val="0"/>
    <w:pPr>
      <w:widowControl/>
      <w:pBdr>
        <w:bottom w:val="single" w:color="auto" w:sz="4" w:space="0"/>
      </w:pBdr>
      <w:spacing w:before="100" w:beforeAutospacing="1" w:after="100" w:afterAutospacing="1"/>
      <w:jc w:val="left"/>
    </w:pPr>
    <w:rPr>
      <w:kern w:val="0"/>
      <w:sz w:val="24"/>
    </w:rPr>
  </w:style>
  <w:style w:type="paragraph" w:customStyle="1" w:styleId="1000">
    <w:name w:val="Char Char Char Char Char Char Char Char Char Char Char1 Char1 Char Char Char Char Char Char Char Char Char Char Char Char Char Char Char Char Char Char Char Char Char Char Char Char Char Char1 Char Char Char Char Char Char4"/>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1001">
    <w:name w:val="标题2"/>
    <w:basedOn w:val="3"/>
    <w:semiHidden/>
    <w:qFormat/>
    <w:uiPriority w:val="0"/>
    <w:pPr>
      <w:adjustRightInd w:val="0"/>
      <w:snapToGrid w:val="0"/>
      <w:spacing w:line="520" w:lineRule="exact"/>
    </w:pPr>
    <w:rPr>
      <w:bCs/>
      <w:sz w:val="32"/>
      <w:szCs w:val="32"/>
      <w:u w:color="000000"/>
    </w:rPr>
  </w:style>
  <w:style w:type="paragraph" w:customStyle="1" w:styleId="1002">
    <w:name w:val="Char Char Char Char Char Char Char Char Char Char Char3"/>
    <w:basedOn w:val="1"/>
    <w:semiHidden/>
    <w:uiPriority w:val="0"/>
    <w:pPr>
      <w:pageBreakBefore/>
      <w:snapToGrid w:val="0"/>
      <w:spacing w:line="360" w:lineRule="auto"/>
      <w:ind w:firstLine="200" w:firstLineChars="200"/>
    </w:pPr>
    <w:rPr>
      <w:rFonts w:ascii="宋体" w:hAnsi="宋体" w:eastAsia="System"/>
      <w:b/>
      <w:kern w:val="0"/>
    </w:rPr>
  </w:style>
  <w:style w:type="paragraph" w:customStyle="1" w:styleId="1003">
    <w:name w:val="说明正文"/>
    <w:basedOn w:val="1"/>
    <w:semiHidden/>
    <w:qFormat/>
    <w:uiPriority w:val="0"/>
    <w:pPr>
      <w:widowControl/>
      <w:adjustRightInd w:val="0"/>
      <w:spacing w:line="560" w:lineRule="exact"/>
      <w:ind w:right="74" w:firstLine="539" w:firstLineChars="200"/>
      <w:textAlignment w:val="baseline"/>
    </w:pPr>
    <w:rPr>
      <w:rFonts w:ascii="宋体" w:hAnsi="宋体"/>
      <w:kern w:val="0"/>
      <w:sz w:val="28"/>
      <w:szCs w:val="20"/>
    </w:rPr>
  </w:style>
  <w:style w:type="paragraph" w:customStyle="1" w:styleId="1004">
    <w:name w:val="font8"/>
    <w:basedOn w:val="1"/>
    <w:qFormat/>
    <w:uiPriority w:val="0"/>
    <w:pPr>
      <w:widowControl/>
      <w:spacing w:before="100" w:beforeAutospacing="1" w:after="100" w:afterAutospacing="1"/>
      <w:jc w:val="left"/>
    </w:pPr>
    <w:rPr>
      <w:rFonts w:hint="eastAsia" w:ascii="宋体" w:hAnsi="宋体"/>
      <w:kern w:val="0"/>
      <w:sz w:val="22"/>
      <w:szCs w:val="22"/>
    </w:rPr>
  </w:style>
  <w:style w:type="paragraph" w:customStyle="1" w:styleId="1005">
    <w:name w:val="Char Char6 Char Char Char Char Char Char1"/>
    <w:basedOn w:val="1"/>
    <w:semiHidden/>
    <w:qFormat/>
    <w:uiPriority w:val="0"/>
    <w:rPr>
      <w:b/>
    </w:rPr>
  </w:style>
  <w:style w:type="paragraph" w:customStyle="1" w:styleId="1006">
    <w:name w:val="xl106"/>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b/>
      <w:bCs/>
      <w:kern w:val="0"/>
      <w:sz w:val="24"/>
    </w:rPr>
  </w:style>
  <w:style w:type="paragraph" w:customStyle="1" w:styleId="1007">
    <w:name w:val="样式 标题 1 + 行距: 固定值 23 磅"/>
    <w:basedOn w:val="2"/>
    <w:semiHidden/>
    <w:uiPriority w:val="0"/>
    <w:pPr>
      <w:adjustRightInd/>
      <w:snapToGrid/>
      <w:spacing w:before="340"/>
    </w:pPr>
    <w:rPr>
      <w:bCs w:val="0"/>
    </w:rPr>
  </w:style>
  <w:style w:type="paragraph" w:customStyle="1" w:styleId="1008">
    <w:name w:val="Char7"/>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1009">
    <w:name w:val="font0"/>
    <w:basedOn w:val="1"/>
    <w:semiHidden/>
    <w:qFormat/>
    <w:uiPriority w:val="0"/>
    <w:pPr>
      <w:widowControl/>
      <w:spacing w:before="100" w:beforeAutospacing="1" w:after="100" w:afterAutospacing="1"/>
      <w:jc w:val="left"/>
    </w:pPr>
    <w:rPr>
      <w:rFonts w:hint="eastAsia" w:ascii="宋体" w:hAnsi="宋体"/>
      <w:kern w:val="0"/>
      <w:sz w:val="24"/>
    </w:rPr>
  </w:style>
  <w:style w:type="paragraph" w:customStyle="1" w:styleId="1010">
    <w:name w:val="Char4"/>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1011">
    <w:name w:val="图表头"/>
    <w:basedOn w:val="1"/>
    <w:semiHidden/>
    <w:qFormat/>
    <w:uiPriority w:val="0"/>
    <w:pPr>
      <w:tabs>
        <w:tab w:val="center" w:pos="4140"/>
        <w:tab w:val="right" w:pos="8280"/>
      </w:tabs>
      <w:spacing w:before="50" w:beforeLines="50" w:line="460" w:lineRule="exact"/>
      <w:jc w:val="center"/>
    </w:pPr>
    <w:rPr>
      <w:rFonts w:eastAsia="黑体"/>
      <w:sz w:val="24"/>
    </w:rPr>
  </w:style>
  <w:style w:type="paragraph" w:customStyle="1" w:styleId="1012">
    <w:name w:val="Char Char Char Char Char Char Char Char Char Char Char1 Char1 Char Char Char Char Char Char Char Char Char Char Char Char Char Char Char Char Char Char Char Char Char Char Char Char Char Char1 Char Char Char Char Char Char2"/>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1013">
    <w:name w:val="xl63"/>
    <w:basedOn w:val="1"/>
    <w:qFormat/>
    <w:uiPriority w:val="0"/>
    <w:pPr>
      <w:widowControl/>
      <w:pBdr>
        <w:left w:val="single" w:color="auto" w:sz="4" w:space="0"/>
      </w:pBdr>
      <w:spacing w:before="100" w:beforeAutospacing="1" w:after="100" w:afterAutospacing="1"/>
      <w:jc w:val="center"/>
    </w:pPr>
    <w:rPr>
      <w:rFonts w:ascii="宋体" w:hAnsi="宋体"/>
      <w:kern w:val="0"/>
      <w:sz w:val="18"/>
      <w:szCs w:val="18"/>
    </w:rPr>
  </w:style>
  <w:style w:type="paragraph" w:customStyle="1" w:styleId="1014">
    <w:name w:val="正文a"/>
    <w:basedOn w:val="1"/>
    <w:semiHidden/>
    <w:qFormat/>
    <w:uiPriority w:val="0"/>
    <w:pPr>
      <w:widowControl/>
      <w:spacing w:line="360" w:lineRule="auto"/>
      <w:ind w:firstLine="567"/>
      <w:textAlignment w:val="baseline"/>
    </w:pPr>
    <w:rPr>
      <w:rFonts w:ascii="宋体"/>
      <w:snapToGrid w:val="0"/>
      <w:color w:val="000000"/>
      <w:kern w:val="0"/>
      <w:sz w:val="28"/>
      <w:szCs w:val="20"/>
      <w:u w:color="000000"/>
    </w:rPr>
  </w:style>
  <w:style w:type="paragraph" w:customStyle="1" w:styleId="1015">
    <w:name w:val="xl10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4"/>
    </w:rPr>
  </w:style>
  <w:style w:type="paragraph" w:customStyle="1" w:styleId="1016">
    <w:name w:val="样式 正文a + 首行缩进:  2 字符"/>
    <w:basedOn w:val="1014"/>
    <w:semiHidden/>
    <w:qFormat/>
    <w:uiPriority w:val="0"/>
    <w:pPr>
      <w:spacing w:line="460" w:lineRule="exact"/>
      <w:ind w:left="187" w:firstLine="200" w:firstLineChars="200"/>
    </w:pPr>
    <w:rPr>
      <w:sz w:val="24"/>
    </w:rPr>
  </w:style>
  <w:style w:type="paragraph" w:customStyle="1" w:styleId="1017">
    <w:name w:val="xl11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jc w:val="left"/>
    </w:pPr>
    <w:rPr>
      <w:rFonts w:ascii="宋体" w:hAnsi="宋体"/>
      <w:kern w:val="0"/>
      <w:sz w:val="24"/>
    </w:rPr>
  </w:style>
  <w:style w:type="paragraph" w:customStyle="1" w:styleId="1018">
    <w:name w:val="Char Char Char Char Char Char Char Char Char1 Char Char Char Char Char Char Char Char Char Char Char Char Char1"/>
    <w:basedOn w:val="1"/>
    <w:semiHidden/>
    <w:qFormat/>
    <w:uiPriority w:val="0"/>
    <w:rPr>
      <w:rFonts w:ascii="宋体" w:hAnsi="宋体"/>
      <w:b/>
      <w:sz w:val="24"/>
    </w:rPr>
  </w:style>
  <w:style w:type="paragraph" w:customStyle="1" w:styleId="1019">
    <w:name w:val="修订11"/>
    <w:semiHidden/>
    <w:qFormat/>
    <w:uiPriority w:val="99"/>
    <w:rPr>
      <w:rFonts w:ascii="Calibri" w:hAnsi="Calibri" w:eastAsia="宋体" w:cs="Times New Roman"/>
      <w:kern w:val="2"/>
      <w:sz w:val="21"/>
      <w:szCs w:val="22"/>
      <w:lang w:val="en-US" w:eastAsia="zh-CN" w:bidi="ar-SA"/>
    </w:rPr>
  </w:style>
  <w:style w:type="paragraph" w:customStyle="1" w:styleId="1020">
    <w:name w:val="Char Char2 Char Char Char Char1"/>
    <w:basedOn w:val="1"/>
    <w:semiHidden/>
    <w:qFormat/>
    <w:uiPriority w:val="0"/>
  </w:style>
  <w:style w:type="paragraph" w:customStyle="1" w:styleId="1021">
    <w:name w:val="xl113"/>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kern w:val="0"/>
      <w:sz w:val="24"/>
    </w:rPr>
  </w:style>
  <w:style w:type="paragraph" w:customStyle="1" w:styleId="102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4"/>
    </w:rPr>
  </w:style>
  <w:style w:type="paragraph" w:customStyle="1" w:styleId="1023">
    <w:name w:val="Char1 Char Char Char Char Char Char Char Char Char2"/>
    <w:basedOn w:val="2"/>
    <w:semiHidden/>
    <w:qFormat/>
    <w:uiPriority w:val="0"/>
    <w:pPr>
      <w:spacing w:beforeLines="20" w:afterLines="20"/>
    </w:pPr>
    <w:rPr>
      <w:b/>
      <w:snapToGrid/>
      <w:kern w:val="44"/>
      <w:sz w:val="28"/>
      <w:szCs w:val="28"/>
      <w:lang w:val="sq-AL"/>
    </w:rPr>
  </w:style>
  <w:style w:type="paragraph" w:customStyle="1" w:styleId="1024">
    <w:name w:val="样式 表格内容 + Times New Roman"/>
    <w:basedOn w:val="672"/>
    <w:semiHidden/>
    <w:qFormat/>
    <w:uiPriority w:val="0"/>
    <w:pPr>
      <w:tabs>
        <w:tab w:val="left" w:pos="3240"/>
      </w:tabs>
      <w:autoSpaceDE w:val="0"/>
      <w:autoSpaceDN w:val="0"/>
      <w:spacing w:line="360" w:lineRule="exact"/>
      <w:ind w:firstLine="352"/>
      <w:jc w:val="left"/>
    </w:pPr>
    <w:rPr>
      <w:rFonts w:eastAsia="仿宋_GB2312"/>
      <w:snapToGrid w:val="0"/>
      <w:kern w:val="0"/>
      <w:szCs w:val="28"/>
    </w:rPr>
  </w:style>
  <w:style w:type="paragraph" w:customStyle="1" w:styleId="1025">
    <w:name w:val="Table Paragraph"/>
    <w:basedOn w:val="1"/>
    <w:semiHidden/>
    <w:qFormat/>
    <w:uiPriority w:val="1"/>
    <w:pPr>
      <w:autoSpaceDE w:val="0"/>
      <w:autoSpaceDN w:val="0"/>
      <w:adjustRightInd w:val="0"/>
      <w:spacing w:before="22"/>
      <w:jc w:val="center"/>
    </w:pPr>
    <w:rPr>
      <w:rFonts w:ascii="仿宋" w:eastAsia="仿宋" w:cs="仿宋"/>
      <w:kern w:val="0"/>
      <w:sz w:val="24"/>
    </w:rPr>
  </w:style>
  <w:style w:type="paragraph" w:customStyle="1" w:styleId="1026">
    <w:name w:val="3"/>
    <w:basedOn w:val="1"/>
    <w:next w:val="839"/>
    <w:semiHidden/>
    <w:qFormat/>
    <w:uiPriority w:val="0"/>
    <w:pPr>
      <w:adjustRightInd w:val="0"/>
      <w:spacing w:line="360" w:lineRule="atLeast"/>
      <w:ind w:firstLine="420" w:firstLineChars="200"/>
      <w:textAlignment w:val="baseline"/>
    </w:pPr>
    <w:rPr>
      <w:rFonts w:ascii="宋体" w:hAnsi="宋体"/>
      <w:kern w:val="0"/>
      <w:sz w:val="24"/>
    </w:rPr>
  </w:style>
  <w:style w:type="paragraph" w:customStyle="1" w:styleId="1027">
    <w:name w:val="样式 样式 样式 行距: 固定值 22 磅 + 首行缩进:  2 字符 + 首行缩进:  2 字符"/>
    <w:basedOn w:val="1"/>
    <w:semiHidden/>
    <w:qFormat/>
    <w:uiPriority w:val="0"/>
    <w:pPr>
      <w:spacing w:line="480" w:lineRule="exact"/>
      <w:ind w:firstLine="480" w:firstLineChars="200"/>
    </w:pPr>
    <w:rPr>
      <w:rFonts w:eastAsia="华文中宋"/>
      <w:sz w:val="24"/>
      <w:szCs w:val="20"/>
    </w:rPr>
  </w:style>
  <w:style w:type="paragraph" w:customStyle="1" w:styleId="1028">
    <w:name w:val="xl72"/>
    <w:basedOn w:val="1"/>
    <w:qFormat/>
    <w:uiPriority w:val="0"/>
    <w:pPr>
      <w:widowControl/>
      <w:spacing w:before="100" w:beforeAutospacing="1" w:after="100" w:afterAutospacing="1"/>
      <w:jc w:val="center"/>
    </w:pPr>
    <w:rPr>
      <w:rFonts w:ascii="宋体" w:hAnsi="宋体"/>
      <w:kern w:val="0"/>
      <w:sz w:val="18"/>
      <w:szCs w:val="18"/>
    </w:rPr>
  </w:style>
  <w:style w:type="paragraph" w:customStyle="1" w:styleId="1029">
    <w:name w:val="样式 标题 2 + Times New Roman 五号 段前: 6 磅 段后: 6 磅 行距: 单倍行距"/>
    <w:basedOn w:val="3"/>
    <w:semiHidden/>
    <w:qFormat/>
    <w:uiPriority w:val="0"/>
    <w:pPr>
      <w:snapToGrid w:val="0"/>
      <w:spacing w:before="50" w:beforeLines="50" w:after="50" w:afterLines="50" w:line="360" w:lineRule="auto"/>
    </w:pPr>
    <w:rPr>
      <w:b/>
      <w:sz w:val="21"/>
      <w:szCs w:val="20"/>
    </w:rPr>
  </w:style>
  <w:style w:type="paragraph" w:customStyle="1" w:styleId="1030">
    <w:name w:val="Char Char Char Char3"/>
    <w:basedOn w:val="1"/>
    <w:semiHidden/>
    <w:qFormat/>
    <w:uiPriority w:val="0"/>
  </w:style>
  <w:style w:type="paragraph" w:customStyle="1" w:styleId="1031">
    <w:name w:val="标题3"/>
    <w:basedOn w:val="1"/>
    <w:semiHidden/>
    <w:qFormat/>
    <w:uiPriority w:val="0"/>
    <w:pPr>
      <w:spacing w:before="60" w:after="60" w:line="460" w:lineRule="exact"/>
    </w:pPr>
    <w:rPr>
      <w:rFonts w:eastAsia="黑体"/>
      <w:sz w:val="24"/>
    </w:rPr>
  </w:style>
  <w:style w:type="paragraph" w:customStyle="1" w:styleId="1032">
    <w:name w:val="xl50"/>
    <w:basedOn w:val="1"/>
    <w:semiHidden/>
    <w:qFormat/>
    <w:uiPriority w:val="0"/>
    <w:pPr>
      <w:widowControl/>
      <w:pBdr>
        <w:left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033">
    <w:name w:val="xl83"/>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0"/>
      <w:szCs w:val="20"/>
    </w:rPr>
  </w:style>
  <w:style w:type="paragraph" w:customStyle="1" w:styleId="1034">
    <w:name w:val="TOC 标题1"/>
    <w:basedOn w:val="2"/>
    <w:next w:val="1"/>
    <w:semiHidden/>
    <w:qFormat/>
    <w:uiPriority w:val="39"/>
    <w:pPr>
      <w:widowControl/>
      <w:adjustRightInd/>
      <w:snapToGrid/>
      <w:spacing w:before="480" w:beforeLines="50" w:after="0" w:line="276" w:lineRule="auto"/>
      <w:jc w:val="left"/>
      <w:outlineLvl w:val="9"/>
    </w:pPr>
    <w:rPr>
      <w:rFonts w:ascii="Cambria" w:hAnsi="Cambria" w:eastAsia="宋体"/>
      <w:b/>
      <w:bCs w:val="0"/>
      <w:snapToGrid/>
      <w:color w:val="365F91"/>
      <w:spacing w:val="0"/>
      <w:sz w:val="28"/>
      <w:szCs w:val="28"/>
      <w:lang w:val="en-US"/>
    </w:rPr>
  </w:style>
  <w:style w:type="paragraph" w:customStyle="1" w:styleId="1035">
    <w:name w:val="xl9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0"/>
      <w:szCs w:val="20"/>
    </w:rPr>
  </w:style>
  <w:style w:type="paragraph" w:customStyle="1" w:styleId="1036">
    <w:name w:val="样式 小四 黑色 行距: 固定值 23 磅 首行缩进:  2 字符"/>
    <w:basedOn w:val="1"/>
    <w:semiHidden/>
    <w:qFormat/>
    <w:uiPriority w:val="0"/>
    <w:pPr>
      <w:spacing w:line="460" w:lineRule="exact"/>
      <w:ind w:firstLine="480" w:firstLineChars="200"/>
    </w:pPr>
    <w:rPr>
      <w:color w:val="000000"/>
      <w:sz w:val="24"/>
    </w:rPr>
  </w:style>
  <w:style w:type="paragraph" w:customStyle="1" w:styleId="1037">
    <w:name w:val="xl4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038">
    <w:name w:val="第三级"/>
    <w:basedOn w:val="1"/>
    <w:next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39">
    <w:name w:val="样式 四号 首行缩进:  0.74 厘米 段前: 7.8 磅 行距: 固定值 25 磅"/>
    <w:basedOn w:val="1"/>
    <w:next w:val="839"/>
    <w:semiHidden/>
    <w:qFormat/>
    <w:uiPriority w:val="0"/>
    <w:pPr>
      <w:spacing w:before="156" w:line="500" w:lineRule="exact"/>
      <w:ind w:firstLine="420"/>
    </w:pPr>
    <w:rPr>
      <w:sz w:val="28"/>
      <w:szCs w:val="20"/>
    </w:rPr>
  </w:style>
  <w:style w:type="paragraph" w:customStyle="1" w:styleId="1040">
    <w:name w:val="Char Char Char Char Char Char Char Char Char1 Char Char Char Char Char Char Char Char Char Char Char Char Char4"/>
    <w:basedOn w:val="1"/>
    <w:semiHidden/>
    <w:qFormat/>
    <w:uiPriority w:val="0"/>
    <w:rPr>
      <w:rFonts w:ascii="宋体" w:hAnsi="宋体"/>
      <w:b/>
      <w:sz w:val="24"/>
    </w:rPr>
  </w:style>
  <w:style w:type="paragraph" w:customStyle="1" w:styleId="1041">
    <w:name w:val="xl62"/>
    <w:basedOn w:val="1"/>
    <w:semiHidden/>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042">
    <w:name w:val="xl26"/>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1043">
    <w:name w:val="Char Char6 Char Char Char Char Char Char3"/>
    <w:basedOn w:val="1"/>
    <w:semiHidden/>
    <w:uiPriority w:val="0"/>
    <w:rPr>
      <w:b/>
    </w:rPr>
  </w:style>
  <w:style w:type="paragraph" w:customStyle="1" w:styleId="1044">
    <w:name w:val="报告-正文"/>
    <w:semiHidden/>
    <w:qFormat/>
    <w:uiPriority w:val="0"/>
    <w:pPr>
      <w:widowControl w:val="0"/>
      <w:snapToGrid w:val="0"/>
      <w:spacing w:line="336" w:lineRule="auto"/>
      <w:ind w:firstLine="624"/>
      <w:jc w:val="both"/>
      <w:textAlignment w:val="center"/>
    </w:pPr>
    <w:rPr>
      <w:rFonts w:ascii="Times New Roman" w:hAnsi="Times New Roman" w:eastAsia="宋体" w:cs="Times New Roman"/>
      <w:kern w:val="2"/>
      <w:sz w:val="28"/>
      <w:lang w:val="en-US" w:eastAsia="zh-CN" w:bidi="ar-SA"/>
    </w:rPr>
  </w:style>
  <w:style w:type="paragraph" w:customStyle="1" w:styleId="1045">
    <w:name w:val="Char Char Char Char Char Char1 Char"/>
    <w:basedOn w:val="1"/>
    <w:semiHidden/>
    <w:qFormat/>
    <w:uiPriority w:val="0"/>
    <w:pPr>
      <w:spacing w:line="360" w:lineRule="auto"/>
      <w:ind w:firstLine="200" w:firstLineChars="200"/>
    </w:pPr>
    <w:rPr>
      <w:rFonts w:ascii="宋体" w:hAnsi="宋体"/>
      <w:sz w:val="24"/>
    </w:rPr>
  </w:style>
  <w:style w:type="paragraph" w:customStyle="1" w:styleId="1046">
    <w:name w:val="Char Char116"/>
    <w:basedOn w:val="1"/>
    <w:semiHidden/>
    <w:uiPriority w:val="0"/>
    <w:rPr>
      <w:rFonts w:ascii="Tahoma" w:hAnsi="Tahoma"/>
      <w:sz w:val="24"/>
      <w:szCs w:val="20"/>
    </w:rPr>
  </w:style>
  <w:style w:type="paragraph" w:customStyle="1" w:styleId="1047">
    <w:name w:val="xl6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048">
    <w:name w:val="表格1"/>
    <w:basedOn w:val="1"/>
    <w:semiHidden/>
    <w:qFormat/>
    <w:uiPriority w:val="0"/>
    <w:pPr>
      <w:adjustRightInd w:val="0"/>
      <w:spacing w:line="20" w:lineRule="atLeast"/>
      <w:jc w:val="center"/>
      <w:textAlignment w:val="center"/>
    </w:pPr>
    <w:rPr>
      <w:rFonts w:ascii="宋体"/>
      <w:kern w:val="0"/>
      <w:szCs w:val="20"/>
    </w:rPr>
  </w:style>
  <w:style w:type="paragraph" w:customStyle="1" w:styleId="1049">
    <w:name w:val="et3"/>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olor w:val="000000"/>
      <w:kern w:val="0"/>
      <w:sz w:val="20"/>
      <w:szCs w:val="20"/>
    </w:rPr>
  </w:style>
  <w:style w:type="paragraph" w:customStyle="1" w:styleId="1050">
    <w:name w:val="样式 标题 6 + 居中"/>
    <w:basedOn w:val="7"/>
    <w:semiHidden/>
    <w:qFormat/>
    <w:uiPriority w:val="0"/>
    <w:pPr>
      <w:jc w:val="center"/>
      <w:outlineLvl w:val="9"/>
    </w:pPr>
    <w:rPr>
      <w:bCs w:val="0"/>
      <w:szCs w:val="20"/>
    </w:rPr>
  </w:style>
  <w:style w:type="paragraph" w:customStyle="1" w:styleId="1051">
    <w:name w:val="xl73"/>
    <w:basedOn w:val="1"/>
    <w:uiPriority w:val="0"/>
    <w:pPr>
      <w:widowControl/>
      <w:pBdr>
        <w:bottom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1052">
    <w:name w:val="样式 标题 2 + 首行缩进:  2.5 字符"/>
    <w:basedOn w:val="3"/>
    <w:semiHidden/>
    <w:qFormat/>
    <w:uiPriority w:val="0"/>
    <w:pPr>
      <w:adjustRightInd w:val="0"/>
      <w:snapToGrid w:val="0"/>
      <w:spacing w:before="0" w:line="240" w:lineRule="auto"/>
      <w:textAlignment w:val="baseline"/>
    </w:pPr>
    <w:rPr>
      <w:rFonts w:ascii="Arial" w:hAnsi="Arial"/>
      <w:b/>
      <w:bCs/>
      <w:snapToGrid/>
      <w:sz w:val="32"/>
      <w:szCs w:val="20"/>
    </w:rPr>
  </w:style>
  <w:style w:type="paragraph" w:customStyle="1" w:styleId="1053">
    <w:name w:val="表格"/>
    <w:basedOn w:val="1"/>
    <w:semiHidden/>
    <w:qFormat/>
    <w:uiPriority w:val="0"/>
    <w:pPr>
      <w:tabs>
        <w:tab w:val="left" w:pos="3240"/>
      </w:tabs>
      <w:autoSpaceDE w:val="0"/>
      <w:autoSpaceDN w:val="0"/>
      <w:adjustRightInd w:val="0"/>
      <w:snapToGrid w:val="0"/>
      <w:spacing w:line="360" w:lineRule="exact"/>
      <w:ind w:firstLine="350" w:firstLineChars="350"/>
      <w:jc w:val="right"/>
    </w:pPr>
    <w:rPr>
      <w:rFonts w:hAnsi="宋体" w:eastAsia="仿宋_GB2312"/>
      <w:b/>
      <w:bCs/>
      <w:snapToGrid w:val="0"/>
      <w:color w:val="000000"/>
      <w:kern w:val="0"/>
    </w:rPr>
  </w:style>
  <w:style w:type="paragraph" w:customStyle="1" w:styleId="1054">
    <w:name w:val="标题1"/>
    <w:basedOn w:val="2"/>
    <w:semiHidden/>
    <w:qFormat/>
    <w:uiPriority w:val="0"/>
    <w:pPr>
      <w:tabs>
        <w:tab w:val="left" w:pos="0"/>
        <w:tab w:val="left" w:pos="425"/>
      </w:tabs>
      <w:adjustRightInd/>
    </w:pPr>
    <w:rPr>
      <w:kern w:val="2"/>
    </w:rPr>
  </w:style>
  <w:style w:type="paragraph" w:customStyle="1" w:styleId="1055">
    <w:name w:val="font11"/>
    <w:basedOn w:val="1"/>
    <w:uiPriority w:val="0"/>
    <w:pPr>
      <w:widowControl/>
      <w:spacing w:before="100" w:beforeAutospacing="1" w:after="100" w:afterAutospacing="1"/>
      <w:jc w:val="left"/>
    </w:pPr>
    <w:rPr>
      <w:kern w:val="0"/>
      <w:sz w:val="22"/>
      <w:szCs w:val="22"/>
    </w:rPr>
  </w:style>
  <w:style w:type="paragraph" w:customStyle="1" w:styleId="1056">
    <w:name w:val="Char Char Char Char Char Char Char Char Char1 Char Char Char Char Char Char Char Char Char Char Char Char Char2"/>
    <w:basedOn w:val="1"/>
    <w:semiHidden/>
    <w:qFormat/>
    <w:uiPriority w:val="0"/>
    <w:rPr>
      <w:rFonts w:ascii="宋体" w:hAnsi="宋体"/>
      <w:b/>
      <w:sz w:val="24"/>
    </w:rPr>
  </w:style>
  <w:style w:type="paragraph" w:customStyle="1" w:styleId="1057">
    <w:name w:val="xl48"/>
    <w:basedOn w:val="1"/>
    <w:semiHidden/>
    <w:qFormat/>
    <w:uiPriority w:val="0"/>
    <w:pPr>
      <w:widowControl/>
      <w:pBdr>
        <w:top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058">
    <w:name w:val="样式 样式24 +"/>
    <w:basedOn w:val="1"/>
    <w:semiHidden/>
    <w:qFormat/>
    <w:uiPriority w:val="0"/>
    <w:pPr>
      <w:spacing w:line="300" w:lineRule="exact"/>
      <w:ind w:left="-120" w:leftChars="-50" w:right="-120" w:rightChars="-50"/>
      <w:jc w:val="center"/>
    </w:pPr>
    <w:rPr>
      <w:rFonts w:eastAsia="华文中宋"/>
      <w:kern w:val="0"/>
    </w:rPr>
  </w:style>
  <w:style w:type="paragraph" w:customStyle="1" w:styleId="1059">
    <w:name w:val="Char Char Char Char Char Char1 Char4"/>
    <w:basedOn w:val="1"/>
    <w:semiHidden/>
    <w:qFormat/>
    <w:uiPriority w:val="0"/>
    <w:pPr>
      <w:spacing w:line="360" w:lineRule="auto"/>
      <w:ind w:firstLine="200" w:firstLineChars="200"/>
    </w:pPr>
    <w:rPr>
      <w:rFonts w:ascii="宋体" w:hAnsi="宋体"/>
      <w:sz w:val="24"/>
    </w:rPr>
  </w:style>
  <w:style w:type="paragraph" w:customStyle="1" w:styleId="1060">
    <w:name w:val="文件正文00"/>
    <w:basedOn w:val="1"/>
    <w:semiHidden/>
    <w:uiPriority w:val="0"/>
    <w:pPr>
      <w:spacing w:line="420" w:lineRule="exact"/>
      <w:ind w:firstLine="480" w:firstLineChars="200"/>
      <w:jc w:val="left"/>
    </w:pPr>
    <w:rPr>
      <w:rFonts w:ascii="TimesNewRomanPSMT" w:hAnsi="TimesNewRomanPSMT"/>
      <w:kern w:val="0"/>
      <w:sz w:val="24"/>
      <w:szCs w:val="20"/>
    </w:rPr>
  </w:style>
  <w:style w:type="paragraph" w:customStyle="1" w:styleId="1061">
    <w:name w:val="列出段落2"/>
    <w:basedOn w:val="1"/>
    <w:semiHidden/>
    <w:qFormat/>
    <w:uiPriority w:val="34"/>
    <w:pPr>
      <w:adjustRightInd w:val="0"/>
      <w:spacing w:line="360" w:lineRule="atLeast"/>
      <w:ind w:firstLine="420" w:firstLineChars="200"/>
      <w:textAlignment w:val="baseline"/>
    </w:pPr>
    <w:rPr>
      <w:rFonts w:ascii="宋体"/>
      <w:kern w:val="0"/>
      <w:sz w:val="24"/>
      <w:szCs w:val="20"/>
    </w:rPr>
  </w:style>
  <w:style w:type="paragraph" w:customStyle="1" w:styleId="1062">
    <w:name w:val="n"/>
    <w:basedOn w:val="1"/>
    <w:semiHidden/>
    <w:uiPriority w:val="0"/>
    <w:pPr>
      <w:autoSpaceDE w:val="0"/>
      <w:autoSpaceDN w:val="0"/>
      <w:adjustRightInd w:val="0"/>
      <w:spacing w:line="400" w:lineRule="atLeast"/>
      <w:textAlignment w:val="baseline"/>
    </w:pPr>
    <w:rPr>
      <w:rFonts w:ascii="宋体"/>
      <w:kern w:val="0"/>
      <w:sz w:val="24"/>
      <w:szCs w:val="20"/>
    </w:rPr>
  </w:style>
  <w:style w:type="paragraph" w:customStyle="1" w:styleId="1063">
    <w:name w:val="xl11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064">
    <w:name w:val="默认段落字体 Para Char Char Char Char"/>
    <w:basedOn w:val="1"/>
    <w:semiHidden/>
    <w:uiPriority w:val="0"/>
    <w:rPr>
      <w:b/>
    </w:rPr>
  </w:style>
  <w:style w:type="paragraph" w:customStyle="1" w:styleId="1065">
    <w:name w:val="无间隔11"/>
    <w:semiHidden/>
    <w:qFormat/>
    <w:uiPriority w:val="1"/>
    <w:pPr>
      <w:widowControl w:val="0"/>
      <w:spacing w:line="460" w:lineRule="exact"/>
      <w:ind w:firstLine="200" w:firstLineChars="200"/>
      <w:jc w:val="both"/>
    </w:pPr>
    <w:rPr>
      <w:rFonts w:ascii="Calibri" w:hAnsi="Calibri" w:eastAsia="宋体" w:cs="Times New Roman"/>
      <w:kern w:val="2"/>
      <w:sz w:val="24"/>
      <w:szCs w:val="22"/>
      <w:lang w:val="en-US" w:eastAsia="zh-CN" w:bidi="ar-SA"/>
    </w:rPr>
  </w:style>
  <w:style w:type="paragraph" w:customStyle="1" w:styleId="1066">
    <w:name w:val="xl105"/>
    <w:basedOn w:val="1"/>
    <w:semiHidden/>
    <w:qFormat/>
    <w:uiPriority w:val="0"/>
    <w:pPr>
      <w:widowControl/>
      <w:shd w:val="clear" w:color="000000" w:fill="00B0F0"/>
      <w:spacing w:before="100" w:beforeAutospacing="1" w:after="100" w:afterAutospacing="1"/>
      <w:jc w:val="center"/>
    </w:pPr>
    <w:rPr>
      <w:kern w:val="0"/>
      <w:sz w:val="24"/>
    </w:rPr>
  </w:style>
  <w:style w:type="paragraph" w:customStyle="1" w:styleId="1067">
    <w:name w:val="fujian"/>
    <w:basedOn w:val="1"/>
    <w:semiHidden/>
    <w:qFormat/>
    <w:uiPriority w:val="0"/>
    <w:pPr>
      <w:widowControl/>
      <w:spacing w:line="680" w:lineRule="exact"/>
      <w:ind w:firstLine="640" w:firstLineChars="200"/>
      <w:outlineLvl w:val="0"/>
    </w:pPr>
    <w:rPr>
      <w:rFonts w:ascii="仿宋_GB2312" w:hAnsi="宋体" w:eastAsia="仿宋_GB2312"/>
      <w:kern w:val="0"/>
      <w:sz w:val="32"/>
      <w:szCs w:val="20"/>
    </w:rPr>
  </w:style>
  <w:style w:type="paragraph" w:customStyle="1" w:styleId="1068">
    <w:name w:val="样式3 (1)"/>
    <w:basedOn w:val="224"/>
    <w:semiHidden/>
    <w:uiPriority w:val="0"/>
    <w:pPr>
      <w:tabs>
        <w:tab w:val="left" w:pos="510"/>
        <w:tab w:val="left" w:pos="760"/>
      </w:tabs>
      <w:adjustRightInd w:val="0"/>
      <w:ind w:left="760" w:hanging="360"/>
    </w:pPr>
  </w:style>
  <w:style w:type="paragraph" w:customStyle="1" w:styleId="1069">
    <w:name w:val="样式 标题 2 + 四号 段前: 0 磅 段后: 0 磅 行距: 1.5 倍行距"/>
    <w:basedOn w:val="3"/>
    <w:semiHidden/>
    <w:uiPriority w:val="0"/>
    <w:pPr>
      <w:adjustRightInd w:val="0"/>
      <w:snapToGrid w:val="0"/>
    </w:pPr>
    <w:rPr>
      <w:b/>
      <w:bCs/>
      <w:snapToGrid/>
      <w:kern w:val="2"/>
    </w:rPr>
  </w:style>
  <w:style w:type="paragraph" w:customStyle="1" w:styleId="1070">
    <w:name w:val="样式 标题 2 + 段前: 0.5 行 段后: 0.5 行"/>
    <w:basedOn w:val="3"/>
    <w:semiHidden/>
    <w:qFormat/>
    <w:uiPriority w:val="0"/>
    <w:pPr>
      <w:keepNext w:val="0"/>
      <w:keepLines w:val="0"/>
      <w:spacing w:before="100" w:after="100"/>
    </w:pPr>
    <w:rPr>
      <w:rFonts w:ascii="黑体"/>
      <w:b/>
      <w:bCs/>
      <w:snapToGrid/>
      <w:kern w:val="28"/>
    </w:rPr>
  </w:style>
  <w:style w:type="paragraph" w:customStyle="1" w:styleId="1071">
    <w:name w:val="xl70"/>
    <w:basedOn w:val="1"/>
    <w:qFormat/>
    <w:uiPriority w:val="0"/>
    <w:pPr>
      <w:widowControl/>
      <w:pBdr>
        <w:top w:val="single" w:color="auto" w:sz="4" w:space="0"/>
        <w:bottom w:val="single" w:color="auto" w:sz="4" w:space="0"/>
      </w:pBdr>
      <w:spacing w:before="100" w:beforeAutospacing="1" w:after="100" w:afterAutospacing="1"/>
      <w:jc w:val="center"/>
      <w:textAlignment w:val="center"/>
    </w:pPr>
    <w:rPr>
      <w:kern w:val="0"/>
      <w:sz w:val="18"/>
      <w:szCs w:val="18"/>
    </w:rPr>
  </w:style>
  <w:style w:type="paragraph" w:customStyle="1" w:styleId="1072">
    <w:name w:val="et4"/>
    <w:basedOn w:val="1"/>
    <w:semiHidden/>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olor w:val="000000"/>
      <w:kern w:val="0"/>
      <w:sz w:val="20"/>
      <w:szCs w:val="20"/>
    </w:rPr>
  </w:style>
  <w:style w:type="paragraph" w:customStyle="1" w:styleId="1073">
    <w:name w:val="xl114"/>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jc w:val="center"/>
    </w:pPr>
    <w:rPr>
      <w:kern w:val="0"/>
      <w:sz w:val="24"/>
    </w:rPr>
  </w:style>
  <w:style w:type="paragraph" w:customStyle="1" w:styleId="1074">
    <w:name w:val="et2"/>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kern w:val="0"/>
      <w:sz w:val="24"/>
      <w:u w:val="single"/>
    </w:rPr>
  </w:style>
  <w:style w:type="paragraph" w:customStyle="1" w:styleId="1075">
    <w:name w:val="Char Char Char Char Char Char Char Char Char Char Char1 Char1 Char Char Char Char Char Char Char Char Char Char Char Char Char Char Char Char Char Char Char Char Char Char Char Char Char Char1 Char Char Char Char Char Char1"/>
    <w:basedOn w:val="1"/>
    <w:semiHidden/>
    <w:qFormat/>
    <w:uiPriority w:val="0"/>
    <w:pPr>
      <w:widowControl/>
      <w:spacing w:before="100" w:beforeAutospacing="1" w:after="100" w:afterAutospacing="1" w:line="330" w:lineRule="atLeast"/>
      <w:ind w:left="360"/>
      <w:jc w:val="left"/>
    </w:pPr>
    <w:rPr>
      <w:rFonts w:ascii="ˎ̥" w:hAnsi="ˎ̥"/>
      <w:color w:val="51585D"/>
      <w:kern w:val="0"/>
      <w:szCs w:val="18"/>
    </w:rPr>
  </w:style>
  <w:style w:type="paragraph" w:customStyle="1" w:styleId="1076">
    <w:name w:val="Char1 Char Char Char Char Char Char Char Char Char1"/>
    <w:basedOn w:val="2"/>
    <w:semiHidden/>
    <w:qFormat/>
    <w:uiPriority w:val="0"/>
    <w:pPr>
      <w:spacing w:beforeLines="20" w:afterLines="20"/>
    </w:pPr>
    <w:rPr>
      <w:b/>
      <w:snapToGrid/>
      <w:kern w:val="44"/>
      <w:sz w:val="28"/>
      <w:szCs w:val="28"/>
      <w:lang w:val="sq-AL"/>
    </w:rPr>
  </w:style>
  <w:style w:type="paragraph" w:customStyle="1" w:styleId="1077">
    <w:name w:val="样式5"/>
    <w:basedOn w:val="4"/>
    <w:semiHidden/>
    <w:qFormat/>
    <w:uiPriority w:val="0"/>
    <w:pPr>
      <w:keepNext w:val="0"/>
      <w:keepLines w:val="0"/>
      <w:adjustRightInd w:val="0"/>
      <w:snapToGrid w:val="0"/>
      <w:spacing w:before="0" w:after="0"/>
    </w:pPr>
    <w:rPr>
      <w:b/>
      <w:snapToGrid/>
      <w:kern w:val="2"/>
    </w:rPr>
  </w:style>
  <w:style w:type="paragraph" w:customStyle="1" w:styleId="1078">
    <w:name w:val="Char Char Char Char Char Char Char"/>
    <w:basedOn w:val="1"/>
    <w:semiHidden/>
    <w:qFormat/>
    <w:uiPriority w:val="0"/>
    <w:pPr>
      <w:pageBreakBefore/>
      <w:snapToGrid w:val="0"/>
      <w:spacing w:line="360" w:lineRule="auto"/>
      <w:ind w:firstLine="200" w:firstLineChars="200"/>
    </w:pPr>
    <w:rPr>
      <w:rFonts w:ascii="宋体" w:hAnsi="宋体" w:eastAsia="System"/>
      <w:b/>
      <w:kern w:val="0"/>
    </w:rPr>
  </w:style>
  <w:style w:type="paragraph" w:customStyle="1" w:styleId="1079">
    <w:name w:val="样式 标题 3 + 小三"/>
    <w:basedOn w:val="4"/>
    <w:semiHidden/>
    <w:qFormat/>
    <w:uiPriority w:val="0"/>
    <w:pPr>
      <w:keepNext w:val="0"/>
      <w:keepLines w:val="0"/>
      <w:adjustRightInd w:val="0"/>
      <w:snapToGrid w:val="0"/>
      <w:spacing w:line="360" w:lineRule="auto"/>
    </w:pPr>
    <w:rPr>
      <w:rFonts w:eastAsia="Times New Roman"/>
      <w:snapToGrid/>
      <w:sz w:val="28"/>
    </w:rPr>
  </w:style>
  <w:style w:type="paragraph" w:customStyle="1" w:styleId="1080">
    <w:name w:val="13"/>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1">
    <w:name w:val="样式 标题 2 + 首行缩进:  0.99 厘米"/>
    <w:basedOn w:val="3"/>
    <w:semiHidden/>
    <w:qFormat/>
    <w:uiPriority w:val="0"/>
    <w:pPr>
      <w:snapToGrid w:val="0"/>
      <w:spacing w:before="144" w:beforeLines="60" w:after="0" w:line="430" w:lineRule="exact"/>
      <w:jc w:val="left"/>
    </w:pPr>
    <w:rPr>
      <w:rFonts w:ascii="宋体" w:hAnsi="宋体" w:eastAsia="宋体"/>
      <w:snapToGrid/>
      <w:kern w:val="2"/>
      <w:szCs w:val="20"/>
    </w:rPr>
  </w:style>
  <w:style w:type="paragraph" w:customStyle="1" w:styleId="1082">
    <w:name w:val="Char Char2 Char Char Char Char4"/>
    <w:basedOn w:val="1"/>
    <w:semiHidden/>
    <w:qFormat/>
    <w:uiPriority w:val="0"/>
    <w:pPr>
      <w:spacing w:line="400" w:lineRule="atLeast"/>
    </w:pPr>
  </w:style>
  <w:style w:type="paragraph" w:customStyle="1" w:styleId="1083">
    <w:name w:val="msonormal"/>
    <w:basedOn w:val="1"/>
    <w:qFormat/>
    <w:uiPriority w:val="0"/>
    <w:pPr>
      <w:widowControl/>
      <w:spacing w:before="100" w:beforeAutospacing="1" w:after="100" w:afterAutospacing="1"/>
      <w:jc w:val="left"/>
    </w:pPr>
    <w:rPr>
      <w:rFonts w:ascii="宋体" w:hAnsi="宋体"/>
      <w:kern w:val="0"/>
      <w:sz w:val="24"/>
    </w:rPr>
  </w:style>
  <w:style w:type="paragraph" w:customStyle="1" w:styleId="1084">
    <w:name w:val="4"/>
    <w:basedOn w:val="1"/>
    <w:next w:val="1"/>
    <w:semiHidden/>
    <w:qFormat/>
    <w:uiPriority w:val="0"/>
  </w:style>
  <w:style w:type="paragraph" w:customStyle="1" w:styleId="1085">
    <w:name w:val="Char2 Char Char Char Char Char Char Char Char Char2"/>
    <w:basedOn w:val="1"/>
    <w:semiHidden/>
    <w:qFormat/>
    <w:uiPriority w:val="0"/>
    <w:pPr>
      <w:spacing w:line="360" w:lineRule="auto"/>
      <w:ind w:firstLine="200" w:firstLineChars="200"/>
    </w:pPr>
    <w:rPr>
      <w:rFonts w:ascii="宋体" w:hAnsi="宋体"/>
      <w:sz w:val="24"/>
    </w:rPr>
  </w:style>
  <w:style w:type="paragraph" w:customStyle="1" w:styleId="1086">
    <w:name w:val="正文11"/>
    <w:basedOn w:val="1"/>
    <w:semiHidden/>
    <w:uiPriority w:val="0"/>
    <w:pPr>
      <w:tabs>
        <w:tab w:val="left" w:pos="3240"/>
      </w:tabs>
    </w:pPr>
    <w:rPr>
      <w:rFonts w:hAnsi="宋体" w:eastAsia="仿宋_GB2312"/>
      <w:snapToGrid w:val="0"/>
      <w:kern w:val="0"/>
      <w:sz w:val="28"/>
    </w:rPr>
  </w:style>
  <w:style w:type="paragraph" w:customStyle="1" w:styleId="1087">
    <w:name w:val="默认段落字体 Para Char"/>
    <w:basedOn w:val="1"/>
    <w:semiHidden/>
    <w:uiPriority w:val="0"/>
    <w:pPr>
      <w:tabs>
        <w:tab w:val="left" w:pos="360"/>
      </w:tabs>
    </w:pPr>
    <w:rPr>
      <w:sz w:val="24"/>
    </w:rPr>
  </w:style>
  <w:style w:type="paragraph" w:customStyle="1" w:styleId="1088">
    <w:name w:val="font13"/>
    <w:basedOn w:val="1"/>
    <w:semiHidden/>
    <w:uiPriority w:val="0"/>
    <w:pPr>
      <w:widowControl/>
      <w:spacing w:before="100" w:beforeAutospacing="1" w:after="100" w:afterAutospacing="1"/>
      <w:jc w:val="left"/>
    </w:pPr>
    <w:rPr>
      <w:rFonts w:hint="eastAsia" w:ascii="宋体" w:hAnsi="宋体"/>
      <w:b/>
      <w:bCs/>
      <w:kern w:val="0"/>
      <w:sz w:val="22"/>
      <w:szCs w:val="22"/>
    </w:rPr>
  </w:style>
  <w:style w:type="paragraph" w:customStyle="1" w:styleId="1089">
    <w:name w:val="样式 标题 2 + (西文) Times New Roman (中文) 宋体 五号 行距: 1.5 倍行距"/>
    <w:basedOn w:val="3"/>
    <w:semiHidden/>
    <w:qFormat/>
    <w:uiPriority w:val="0"/>
    <w:pPr>
      <w:spacing w:before="0" w:after="0"/>
    </w:pPr>
    <w:rPr>
      <w:bCs/>
    </w:rPr>
  </w:style>
  <w:style w:type="paragraph" w:customStyle="1" w:styleId="1090">
    <w:name w:val="5号表格"/>
    <w:basedOn w:val="1"/>
    <w:next w:val="29"/>
    <w:semiHidden/>
    <w:uiPriority w:val="0"/>
    <w:pPr>
      <w:widowControl/>
      <w:jc w:val="center"/>
    </w:pPr>
    <w:rPr>
      <w:rFonts w:ascii="宋体" w:hAnsi="宋体"/>
      <w:kern w:val="0"/>
    </w:rPr>
  </w:style>
  <w:style w:type="paragraph" w:customStyle="1" w:styleId="1091">
    <w:name w:val="xl40"/>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092">
    <w:name w:val="xl97"/>
    <w:basedOn w:val="1"/>
    <w:semiHidden/>
    <w:uiPriority w:val="0"/>
    <w:pPr>
      <w:widowControl/>
      <w:pBdr>
        <w:top w:val="single" w:color="auto" w:sz="4" w:space="0"/>
        <w:bottom w:val="single" w:color="auto" w:sz="4" w:space="0"/>
      </w:pBdr>
      <w:spacing w:before="100" w:beforeAutospacing="1" w:after="100" w:afterAutospacing="1"/>
      <w:jc w:val="center"/>
    </w:pPr>
    <w:rPr>
      <w:rFonts w:ascii="宋体" w:hAnsi="宋体"/>
      <w:kern w:val="0"/>
      <w:sz w:val="20"/>
      <w:szCs w:val="20"/>
    </w:rPr>
  </w:style>
  <w:style w:type="paragraph" w:customStyle="1" w:styleId="1093">
    <w:name w:val="样式 正文a + 行距: 最小值 28.9 磅"/>
    <w:basedOn w:val="1014"/>
    <w:semiHidden/>
    <w:uiPriority w:val="0"/>
    <w:rPr>
      <w:szCs w:val="28"/>
    </w:rPr>
  </w:style>
  <w:style w:type="paragraph" w:customStyle="1" w:styleId="1094">
    <w:name w:val="p0"/>
    <w:basedOn w:val="1"/>
    <w:semiHidden/>
    <w:qFormat/>
    <w:uiPriority w:val="0"/>
    <w:pPr>
      <w:widowControl/>
    </w:pPr>
    <w:rPr>
      <w:kern w:val="0"/>
    </w:rPr>
  </w:style>
  <w:style w:type="paragraph" w:customStyle="1" w:styleId="1095">
    <w:name w:val="Char1 Char Char Char3"/>
    <w:basedOn w:val="1"/>
    <w:semiHidden/>
    <w:uiPriority w:val="0"/>
    <w:pPr>
      <w:widowControl/>
      <w:spacing w:before="100" w:beforeAutospacing="1" w:after="100" w:afterAutospacing="1" w:line="330" w:lineRule="atLeast"/>
      <w:ind w:left="360"/>
      <w:jc w:val="left"/>
    </w:pPr>
    <w:rPr>
      <w:rFonts w:ascii="ˎ̥" w:hAnsi="ˎ̥"/>
      <w:color w:val="51585D"/>
      <w:kern w:val="0"/>
      <w:sz w:val="24"/>
      <w:szCs w:val="18"/>
    </w:rPr>
  </w:style>
  <w:style w:type="paragraph" w:customStyle="1" w:styleId="1096">
    <w:name w:val="Char Char Char Char Char Char1 Char3"/>
    <w:basedOn w:val="1"/>
    <w:semiHidden/>
    <w:uiPriority w:val="0"/>
    <w:pPr>
      <w:spacing w:line="360" w:lineRule="auto"/>
      <w:ind w:firstLine="200" w:firstLineChars="200"/>
    </w:pPr>
    <w:rPr>
      <w:rFonts w:ascii="宋体" w:hAnsi="宋体"/>
      <w:sz w:val="24"/>
    </w:rPr>
  </w:style>
  <w:style w:type="paragraph" w:customStyle="1" w:styleId="1097">
    <w:name w:val="样式 标题 3条标题1.1.1小标题H3B HeadBSH-3二级节名h33rd level3l3CT标..."/>
    <w:basedOn w:val="4"/>
    <w:semiHidden/>
    <w:uiPriority w:val="0"/>
    <w:pPr>
      <w:adjustRightInd w:val="0"/>
      <w:snapToGrid w:val="0"/>
      <w:spacing w:line="480" w:lineRule="exact"/>
    </w:pPr>
    <w:rPr>
      <w:bCs/>
      <w:szCs w:val="24"/>
    </w:rPr>
  </w:style>
  <w:style w:type="paragraph" w:customStyle="1" w:styleId="1098">
    <w:name w:val="xl49"/>
    <w:basedOn w:val="1"/>
    <w:semiHidden/>
    <w:qFormat/>
    <w:uiPriority w:val="0"/>
    <w:pPr>
      <w:widowControl/>
      <w:spacing w:before="100" w:beforeAutospacing="1" w:after="100" w:afterAutospacing="1"/>
      <w:jc w:val="center"/>
      <w:textAlignment w:val="center"/>
    </w:pPr>
    <w:rPr>
      <w:rFonts w:ascii="宋体" w:hAnsi="宋体"/>
      <w:kern w:val="0"/>
      <w:sz w:val="22"/>
      <w:szCs w:val="22"/>
    </w:rPr>
  </w:style>
  <w:style w:type="paragraph" w:customStyle="1" w:styleId="1099">
    <w:name w:val="样式10"/>
    <w:basedOn w:val="4"/>
    <w:semiHidden/>
    <w:qFormat/>
    <w:uiPriority w:val="0"/>
    <w:pPr>
      <w:adjustRightInd w:val="0"/>
      <w:snapToGrid w:val="0"/>
      <w:spacing w:line="360" w:lineRule="auto"/>
    </w:pPr>
    <w:rPr>
      <w:rFonts w:ascii="宋体" w:hAnsi="宋体" w:eastAsia="宋体"/>
      <w:snapToGrid/>
      <w:kern w:val="2"/>
    </w:rPr>
  </w:style>
  <w:style w:type="paragraph" w:customStyle="1" w:styleId="1100">
    <w:name w:val="样式123"/>
    <w:basedOn w:val="1"/>
    <w:semiHidden/>
    <w:qFormat/>
    <w:uiPriority w:val="0"/>
    <w:pPr>
      <w:adjustRightInd w:val="0"/>
      <w:snapToGrid w:val="0"/>
      <w:spacing w:line="460" w:lineRule="exact"/>
      <w:jc w:val="center"/>
    </w:pPr>
    <w:rPr>
      <w:rFonts w:hAnsi="宋体" w:eastAsia="黑体"/>
      <w:sz w:val="24"/>
    </w:rPr>
  </w:style>
  <w:style w:type="paragraph" w:customStyle="1" w:styleId="1101">
    <w:name w:val="14"/>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2">
    <w:name w:val="样式 标题 3标题 3 Char标题 3XWSottoparagrafo一标题 33小标题 1一、Section..."/>
    <w:basedOn w:val="4"/>
    <w:semiHidden/>
    <w:uiPriority w:val="0"/>
    <w:pPr>
      <w:keepNext w:val="0"/>
      <w:spacing w:before="120" w:after="120"/>
    </w:pPr>
    <w:rPr>
      <w:rFonts w:ascii="方正书宋简体" w:eastAsia="方正书宋简体"/>
      <w:b/>
      <w:bCs/>
      <w:sz w:val="32"/>
      <w:szCs w:val="24"/>
    </w:rPr>
  </w:style>
  <w:style w:type="paragraph" w:customStyle="1" w:styleId="1103">
    <w:name w:val="纯文本11"/>
    <w:basedOn w:val="1"/>
    <w:semiHidden/>
    <w:uiPriority w:val="0"/>
    <w:pPr>
      <w:adjustRightInd w:val="0"/>
      <w:jc w:val="left"/>
      <w:textAlignment w:val="baseline"/>
    </w:pPr>
    <w:rPr>
      <w:rFonts w:ascii="宋体" w:hAnsi="Courier New" w:cs="Courier New"/>
    </w:rPr>
  </w:style>
  <w:style w:type="paragraph" w:customStyle="1" w:styleId="1104">
    <w:name w:val="孙普文字"/>
    <w:basedOn w:val="1"/>
    <w:next w:val="29"/>
    <w:semiHidden/>
    <w:qFormat/>
    <w:uiPriority w:val="0"/>
    <w:pPr>
      <w:spacing w:line="440" w:lineRule="exact"/>
    </w:pPr>
    <w:rPr>
      <w:rFonts w:ascii="宋体"/>
      <w:sz w:val="28"/>
    </w:rPr>
  </w:style>
  <w:style w:type="paragraph" w:customStyle="1" w:styleId="1105">
    <w:name w:val="样式 标题 1 + 非加粗 段前: 8 磅 段后: 8 磅 行距: 1.5 倍行距"/>
    <w:basedOn w:val="2"/>
    <w:semiHidden/>
    <w:qFormat/>
    <w:uiPriority w:val="0"/>
    <w:pPr>
      <w:adjustRightInd/>
      <w:snapToGrid/>
      <w:spacing w:after="160"/>
    </w:pPr>
    <w:rPr>
      <w:bCs w:val="0"/>
      <w:sz w:val="36"/>
      <w:szCs w:val="36"/>
    </w:rPr>
  </w:style>
  <w:style w:type="paragraph" w:customStyle="1" w:styleId="1106">
    <w:name w:val="样式 首行缩进:  0.85 厘米 行距: 1.5 倍行距"/>
    <w:basedOn w:val="1"/>
    <w:semiHidden/>
    <w:qFormat/>
    <w:uiPriority w:val="0"/>
    <w:pPr>
      <w:spacing w:line="360" w:lineRule="auto"/>
      <w:ind w:firstLine="480"/>
    </w:pPr>
    <w:rPr>
      <w:sz w:val="24"/>
      <w:szCs w:val="20"/>
    </w:rPr>
  </w:style>
  <w:style w:type="paragraph" w:customStyle="1" w:styleId="1107">
    <w:name w:val="缩进正文"/>
    <w:basedOn w:val="1"/>
    <w:semiHidden/>
    <w:qFormat/>
    <w:uiPriority w:val="0"/>
    <w:pPr>
      <w:adjustRightInd w:val="0"/>
      <w:snapToGrid w:val="0"/>
      <w:spacing w:line="560" w:lineRule="atLeast"/>
      <w:ind w:firstLine="629"/>
    </w:pPr>
    <w:rPr>
      <w:rFonts w:eastAsia="仿宋_GB2312"/>
      <w:sz w:val="32"/>
    </w:rPr>
  </w:style>
  <w:style w:type="paragraph" w:customStyle="1" w:styleId="1108">
    <w:name w:val="样式 (中文) 黑体 小四 居中1"/>
    <w:basedOn w:val="1"/>
    <w:semiHidden/>
    <w:qFormat/>
    <w:uiPriority w:val="0"/>
    <w:pPr>
      <w:spacing w:line="480" w:lineRule="exact"/>
      <w:jc w:val="center"/>
    </w:pPr>
    <w:rPr>
      <w:rFonts w:eastAsia="黑体"/>
      <w:sz w:val="24"/>
      <w:szCs w:val="20"/>
    </w:rPr>
  </w:style>
  <w:style w:type="paragraph" w:customStyle="1" w:styleId="1109">
    <w:name w:val="样式48"/>
    <w:basedOn w:val="1"/>
    <w:semiHidden/>
    <w:qFormat/>
    <w:uiPriority w:val="0"/>
    <w:pPr>
      <w:spacing w:line="460" w:lineRule="exact"/>
      <w:ind w:firstLine="480" w:firstLineChars="200"/>
    </w:pPr>
    <w:rPr>
      <w:sz w:val="24"/>
    </w:rPr>
  </w:style>
  <w:style w:type="paragraph" w:customStyle="1" w:styleId="1110">
    <w:name w:val="标333333333333"/>
    <w:basedOn w:val="4"/>
    <w:semiHidden/>
    <w:qFormat/>
    <w:uiPriority w:val="0"/>
    <w:pPr>
      <w:keepNext w:val="0"/>
      <w:keepLines w:val="0"/>
      <w:tabs>
        <w:tab w:val="left" w:pos="742"/>
      </w:tabs>
      <w:adjustRightInd w:val="0"/>
      <w:snapToGrid w:val="0"/>
    </w:pPr>
    <w:rPr>
      <w:rFonts w:cs="方正大标宋简体"/>
      <w:kern w:val="2"/>
      <w:sz w:val="28"/>
      <w:szCs w:val="22"/>
    </w:rPr>
  </w:style>
  <w:style w:type="table" w:customStyle="1" w:styleId="1111">
    <w:name w:val="网格型7"/>
    <w:basedOn w:val="79"/>
    <w:semiHidden/>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典雅型22"/>
    <w:basedOn w:val="79"/>
    <w:unhideWhenUs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13">
    <w:name w:val="网格型3"/>
    <w:basedOn w:val="79"/>
    <w:semiHidden/>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典雅型1"/>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15">
    <w:name w:val="典雅型2"/>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16">
    <w:name w:val="典雅型3"/>
    <w:basedOn w:val="79"/>
    <w:unhideWhenUs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17">
    <w:name w:val="网格型4"/>
    <w:basedOn w:val="79"/>
    <w:semiHidden/>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18">
    <w:name w:val="典雅型41"/>
    <w:basedOn w:val="79"/>
    <w:semiHidden/>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19">
    <w:name w:val="典雅型312"/>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20">
    <w:name w:val="典雅型32"/>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21">
    <w:name w:val="网格型6"/>
    <w:basedOn w:val="79"/>
    <w:semiHidden/>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22">
    <w:name w:val="网格型8"/>
    <w:basedOn w:val="79"/>
    <w:semiHidden/>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典雅型311"/>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24">
    <w:name w:val="典雅型211"/>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25">
    <w:name w:val="典雅型13"/>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26">
    <w:name w:val="典雅型42"/>
    <w:basedOn w:val="79"/>
    <w:semiHidden/>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27">
    <w:name w:val="典雅型4"/>
    <w:basedOn w:val="79"/>
    <w:semiHidden/>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28">
    <w:name w:val="典雅型6"/>
    <w:basedOn w:val="79"/>
    <w:semiHidden/>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29">
    <w:name w:val="典雅型33"/>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30">
    <w:name w:val="网格型1"/>
    <w:basedOn w:val="79"/>
    <w:semiHidden/>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典雅型212"/>
    <w:basedOn w:val="79"/>
    <w:unhideWhenUs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32">
    <w:name w:val="典雅型111"/>
    <w:basedOn w:val="79"/>
    <w:unhideWhenUs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33">
    <w:name w:val="典雅型5"/>
    <w:basedOn w:val="79"/>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34">
    <w:name w:val="典雅型23"/>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35">
    <w:name w:val="典雅型12"/>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36">
    <w:name w:val="典雅型112"/>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37">
    <w:name w:val="典雅型21"/>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38">
    <w:name w:val="网格型2"/>
    <w:basedOn w:val="79"/>
    <w:semiHidden/>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典雅型11"/>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40">
    <w:name w:val="典雅型31"/>
    <w:basedOn w:val="7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141">
    <w:name w:val="网格型5"/>
    <w:basedOn w:val="79"/>
    <w:semiHidden/>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42">
    <w:name w:val="网格型9"/>
    <w:basedOn w:val="79"/>
    <w:semiHidden/>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3">
    <w:name w:val="表内文字"/>
    <w:basedOn w:val="1"/>
    <w:qFormat/>
    <w:uiPriority w:val="0"/>
    <w:pPr>
      <w:widowControl/>
      <w:jc w:val="center"/>
    </w:pPr>
    <w:rPr>
      <w:color w:val="000000"/>
      <w:kern w:val="0"/>
      <w:szCs w:val="22"/>
    </w:rPr>
  </w:style>
  <w:style w:type="paragraph" w:customStyle="1" w:styleId="1144">
    <w:name w:val="插图"/>
    <w:basedOn w:val="18"/>
    <w:qFormat/>
    <w:uiPriority w:val="0"/>
    <w:pPr>
      <w:snapToGrid w:val="0"/>
      <w:spacing w:before="120" w:beforeLines="50"/>
      <w:ind w:firstLine="0" w:firstLineChars="0"/>
      <w:jc w:val="center"/>
    </w:pPr>
    <w:rPr>
      <w:kern w:val="0"/>
      <w:sz w:val="24"/>
    </w:rPr>
  </w:style>
  <w:style w:type="character" w:styleId="1145">
    <w:name w:val="Placeholder Text"/>
    <w:basedOn w:val="82"/>
    <w:unhideWhenUsed/>
    <w:qFormat/>
    <w:uiPriority w:val="99"/>
    <w:rPr>
      <w:rFonts w:ascii="Tahoma" w:hAnsi="Tahoma" w:eastAsia="宋体" w:cs="Tahoma"/>
      <w:color w:val="808080"/>
      <w:kern w:val="2"/>
      <w:sz w:val="24"/>
      <w:szCs w:val="24"/>
      <w:lang w:val="en-US" w:eastAsia="zh-CN" w:bidi="ar-SA"/>
    </w:rPr>
  </w:style>
  <w:style w:type="paragraph" w:customStyle="1" w:styleId="1146">
    <w:name w:val="样式16"/>
    <w:qFormat/>
    <w:uiPriority w:val="0"/>
    <w:pPr>
      <w:widowControl w:val="0"/>
      <w:adjustRightInd w:val="0"/>
      <w:snapToGrid w:val="0"/>
      <w:spacing w:line="480" w:lineRule="exact"/>
      <w:jc w:val="center"/>
    </w:pPr>
    <w:rPr>
      <w:rFonts w:ascii="Times New Roman" w:hAnsi="Times New Roman" w:eastAsia="黑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2.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46.jpeg"/><Relationship Id="rId90" Type="http://schemas.openxmlformats.org/officeDocument/2006/relationships/image" Target="media/image45.jpeg"/><Relationship Id="rId9" Type="http://schemas.openxmlformats.org/officeDocument/2006/relationships/footer" Target="footer7.xml"/><Relationship Id="rId89" Type="http://schemas.openxmlformats.org/officeDocument/2006/relationships/image" Target="media/image44.jpeg"/><Relationship Id="rId88" Type="http://schemas.openxmlformats.org/officeDocument/2006/relationships/image" Target="media/image43.jpeg"/><Relationship Id="rId87" Type="http://schemas.openxmlformats.org/officeDocument/2006/relationships/image" Target="media/image42.jpeg"/><Relationship Id="rId86" Type="http://schemas.openxmlformats.org/officeDocument/2006/relationships/image" Target="media/image41.jpeg"/><Relationship Id="rId85" Type="http://schemas.openxmlformats.org/officeDocument/2006/relationships/image" Target="media/image40.png"/><Relationship Id="rId84" Type="http://schemas.openxmlformats.org/officeDocument/2006/relationships/image" Target="media/image39.png"/><Relationship Id="rId83" Type="http://schemas.openxmlformats.org/officeDocument/2006/relationships/image" Target="media/image38.png"/><Relationship Id="rId82" Type="http://schemas.openxmlformats.org/officeDocument/2006/relationships/image" Target="media/image37.jpeg"/><Relationship Id="rId81" Type="http://schemas.openxmlformats.org/officeDocument/2006/relationships/image" Target="media/image36.jpeg"/><Relationship Id="rId80" Type="http://schemas.openxmlformats.org/officeDocument/2006/relationships/image" Target="media/image35.png"/><Relationship Id="rId8" Type="http://schemas.openxmlformats.org/officeDocument/2006/relationships/footer" Target="footer6.xml"/><Relationship Id="rId79" Type="http://schemas.openxmlformats.org/officeDocument/2006/relationships/image" Target="media/image34.png"/><Relationship Id="rId78" Type="http://schemas.openxmlformats.org/officeDocument/2006/relationships/image" Target="media/image33.png"/><Relationship Id="rId77" Type="http://schemas.openxmlformats.org/officeDocument/2006/relationships/image" Target="media/image32.png"/><Relationship Id="rId76" Type="http://schemas.openxmlformats.org/officeDocument/2006/relationships/image" Target="media/image31.png"/><Relationship Id="rId75" Type="http://schemas.openxmlformats.org/officeDocument/2006/relationships/image" Target="media/image30.png"/><Relationship Id="rId74" Type="http://schemas.openxmlformats.org/officeDocument/2006/relationships/image" Target="media/image29.png"/><Relationship Id="rId73" Type="http://schemas.openxmlformats.org/officeDocument/2006/relationships/image" Target="media/image28.jpeg"/><Relationship Id="rId72" Type="http://schemas.openxmlformats.org/officeDocument/2006/relationships/image" Target="media/image27.jpeg"/><Relationship Id="rId71" Type="http://schemas.openxmlformats.org/officeDocument/2006/relationships/image" Target="media/image26.jpeg"/><Relationship Id="rId70" Type="http://schemas.openxmlformats.org/officeDocument/2006/relationships/image" Target="media/image25.jpeg"/><Relationship Id="rId7" Type="http://schemas.openxmlformats.org/officeDocument/2006/relationships/footer" Target="footer5.xml"/><Relationship Id="rId69" Type="http://schemas.openxmlformats.org/officeDocument/2006/relationships/image" Target="media/image24.jpeg"/><Relationship Id="rId68" Type="http://schemas.openxmlformats.org/officeDocument/2006/relationships/image" Target="media/image23.jpeg"/><Relationship Id="rId67" Type="http://schemas.openxmlformats.org/officeDocument/2006/relationships/image" Target="media/image22.jpeg"/><Relationship Id="rId66" Type="http://schemas.openxmlformats.org/officeDocument/2006/relationships/image" Target="media/image21.jpeg"/><Relationship Id="rId65" Type="http://schemas.openxmlformats.org/officeDocument/2006/relationships/image" Target="media/image20.jpeg"/><Relationship Id="rId64" Type="http://schemas.openxmlformats.org/officeDocument/2006/relationships/image" Target="media/image19.jpeg"/><Relationship Id="rId63" Type="http://schemas.openxmlformats.org/officeDocument/2006/relationships/image" Target="media/image18.jpeg"/><Relationship Id="rId62" Type="http://schemas.openxmlformats.org/officeDocument/2006/relationships/image" Target="media/image17.jpeg"/><Relationship Id="rId61" Type="http://schemas.openxmlformats.org/officeDocument/2006/relationships/image" Target="media/image16.emf"/><Relationship Id="rId60" Type="http://schemas.openxmlformats.org/officeDocument/2006/relationships/image" Target="media/image15.jpeg"/><Relationship Id="rId6" Type="http://schemas.openxmlformats.org/officeDocument/2006/relationships/footer" Target="footer4.xml"/><Relationship Id="rId59" Type="http://schemas.openxmlformats.org/officeDocument/2006/relationships/image" Target="media/image14.jpeg"/><Relationship Id="rId58" Type="http://schemas.openxmlformats.org/officeDocument/2006/relationships/image" Target="media/image13.jpeg"/><Relationship Id="rId57" Type="http://schemas.openxmlformats.org/officeDocument/2006/relationships/image" Target="media/image12.jpeg"/><Relationship Id="rId56" Type="http://schemas.openxmlformats.org/officeDocument/2006/relationships/image" Target="media/image11.jpeg"/><Relationship Id="rId55" Type="http://schemas.openxmlformats.org/officeDocument/2006/relationships/image" Target="media/image10.jpeg"/><Relationship Id="rId54" Type="http://schemas.openxmlformats.org/officeDocument/2006/relationships/image" Target="media/image9.jpeg"/><Relationship Id="rId53" Type="http://schemas.openxmlformats.org/officeDocument/2006/relationships/image" Target="media/image8.jpeg"/><Relationship Id="rId52" Type="http://schemas.openxmlformats.org/officeDocument/2006/relationships/image" Target="media/image7.jpeg"/><Relationship Id="rId51" Type="http://schemas.openxmlformats.org/officeDocument/2006/relationships/image" Target="media/image6.jpeg"/><Relationship Id="rId50" Type="http://schemas.openxmlformats.org/officeDocument/2006/relationships/image" Target="media/image5.jpeg"/><Relationship Id="rId5" Type="http://schemas.openxmlformats.org/officeDocument/2006/relationships/footer" Target="footer3.xml"/><Relationship Id="rId49" Type="http://schemas.openxmlformats.org/officeDocument/2006/relationships/image" Target="media/image4.jpeg"/><Relationship Id="rId48" Type="http://schemas.openxmlformats.org/officeDocument/2006/relationships/image" Target="media/image3.jpe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footer" Target="footer2.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er" Target="foot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header" Target="header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32A61A-BB62-46FA-AE5B-8BBE8C115D1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152</Pages>
  <Words>14127</Words>
  <Characters>80524</Characters>
  <Lines>671</Lines>
  <Paragraphs>188</Paragraphs>
  <TotalTime>16</TotalTime>
  <ScaleCrop>false</ScaleCrop>
  <LinksUpToDate>false</LinksUpToDate>
  <CharactersWithSpaces>94463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2022-02-15T02:54:00Z</dcterms:created>
  <dc:creator>星宫</dc:creator>
  <cp:lastModifiedBy>。。</cp:lastModifiedBy>
  <cp:lastPrinted>2021-12-20T17:10:00Z</cp:lastPrinted>
  <dcterms:modified xsi:type="dcterms:W3CDTF">2022-02-21T03:04:21Z</dcterms:modified>
  <dc:title> </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E91F0DD60C5A4C8FB9896B5D3806B569</vt:lpwstr>
  </property>
</Properties>
</file>